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0E745"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36E4A3E" w14:textId="77777777" w:rsidTr="006B3298">
        <w:tc>
          <w:tcPr>
            <w:tcW w:w="810" w:type="dxa"/>
            <w:tcBorders>
              <w:bottom w:val="single" w:sz="4" w:space="0" w:color="auto"/>
            </w:tcBorders>
          </w:tcPr>
          <w:p w14:paraId="1E850F2C" w14:textId="77777777" w:rsidR="00193F4D" w:rsidRPr="009E07F2" w:rsidRDefault="005A3F36" w:rsidP="00C849B1">
            <w:pPr>
              <w:pStyle w:val="DefaultText"/>
              <w:jc w:val="center"/>
              <w:rPr>
                <w:rFonts w:ascii="Arial" w:hAnsi="Arial" w:cs="Arial"/>
                <w:sz w:val="20"/>
              </w:rPr>
            </w:pPr>
            <w:r>
              <w:rPr>
                <w:rFonts w:ascii="Arial" w:hAnsi="Arial" w:cs="Arial"/>
                <w:sz w:val="20"/>
              </w:rPr>
              <w:t>X</w:t>
            </w:r>
          </w:p>
        </w:tc>
        <w:tc>
          <w:tcPr>
            <w:tcW w:w="3960" w:type="dxa"/>
          </w:tcPr>
          <w:p w14:paraId="71A3BAF0"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1476C9E" w14:textId="77777777" w:rsidR="00193F4D" w:rsidRPr="009E07F2" w:rsidRDefault="005A3F36" w:rsidP="00C849B1">
            <w:pPr>
              <w:pStyle w:val="DefaultText"/>
              <w:jc w:val="center"/>
              <w:rPr>
                <w:rFonts w:ascii="Arial" w:hAnsi="Arial" w:cs="Arial"/>
                <w:sz w:val="20"/>
              </w:rPr>
            </w:pPr>
            <w:r>
              <w:rPr>
                <w:rFonts w:ascii="Arial" w:hAnsi="Arial" w:cs="Arial"/>
                <w:sz w:val="20"/>
              </w:rPr>
              <w:t>X</w:t>
            </w:r>
          </w:p>
        </w:tc>
        <w:tc>
          <w:tcPr>
            <w:tcW w:w="3690" w:type="dxa"/>
          </w:tcPr>
          <w:p w14:paraId="1C1EC4BD"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11C88C2A" w14:textId="77777777" w:rsidTr="006B3298">
        <w:tc>
          <w:tcPr>
            <w:tcW w:w="810" w:type="dxa"/>
            <w:tcBorders>
              <w:top w:val="single" w:sz="4" w:space="0" w:color="auto"/>
              <w:bottom w:val="single" w:sz="4" w:space="0" w:color="auto"/>
            </w:tcBorders>
          </w:tcPr>
          <w:p w14:paraId="19232696" w14:textId="77777777" w:rsidR="00193F4D" w:rsidRPr="009E07F2" w:rsidRDefault="00193F4D" w:rsidP="00C849B1">
            <w:pPr>
              <w:pStyle w:val="DefaultText"/>
              <w:jc w:val="center"/>
              <w:rPr>
                <w:rFonts w:ascii="Arial" w:hAnsi="Arial" w:cs="Arial"/>
                <w:sz w:val="20"/>
              </w:rPr>
            </w:pPr>
          </w:p>
        </w:tc>
        <w:tc>
          <w:tcPr>
            <w:tcW w:w="3960" w:type="dxa"/>
          </w:tcPr>
          <w:p w14:paraId="748BF7D8"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8B011E1" w14:textId="77777777" w:rsidR="00193F4D" w:rsidRPr="009E07F2" w:rsidRDefault="00193F4D" w:rsidP="00C849B1">
            <w:pPr>
              <w:pStyle w:val="DefaultText"/>
              <w:jc w:val="center"/>
              <w:rPr>
                <w:rFonts w:ascii="Arial" w:hAnsi="Arial" w:cs="Arial"/>
                <w:sz w:val="20"/>
              </w:rPr>
            </w:pPr>
          </w:p>
        </w:tc>
        <w:tc>
          <w:tcPr>
            <w:tcW w:w="3690" w:type="dxa"/>
          </w:tcPr>
          <w:p w14:paraId="55AABAA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3704DCAB" w14:textId="77777777" w:rsidTr="006B3298">
        <w:tc>
          <w:tcPr>
            <w:tcW w:w="810" w:type="dxa"/>
            <w:tcBorders>
              <w:top w:val="single" w:sz="4" w:space="0" w:color="auto"/>
              <w:bottom w:val="single" w:sz="4" w:space="0" w:color="auto"/>
            </w:tcBorders>
          </w:tcPr>
          <w:p w14:paraId="55B5F0C3" w14:textId="77777777" w:rsidR="00193F4D" w:rsidRPr="009E07F2" w:rsidRDefault="00193F4D" w:rsidP="00C849B1">
            <w:pPr>
              <w:pStyle w:val="DefaultText"/>
              <w:jc w:val="center"/>
              <w:rPr>
                <w:rFonts w:ascii="Arial" w:hAnsi="Arial" w:cs="Arial"/>
                <w:sz w:val="20"/>
              </w:rPr>
            </w:pPr>
          </w:p>
        </w:tc>
        <w:tc>
          <w:tcPr>
            <w:tcW w:w="3960" w:type="dxa"/>
          </w:tcPr>
          <w:p w14:paraId="3FE249F2"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673BB256" w14:textId="77777777" w:rsidR="00193F4D" w:rsidRPr="009E07F2" w:rsidRDefault="00193F4D" w:rsidP="006B3298">
            <w:pPr>
              <w:pStyle w:val="DefaultText"/>
              <w:rPr>
                <w:rFonts w:ascii="Arial" w:hAnsi="Arial" w:cs="Arial"/>
                <w:sz w:val="20"/>
              </w:rPr>
            </w:pPr>
          </w:p>
        </w:tc>
        <w:tc>
          <w:tcPr>
            <w:tcW w:w="3690" w:type="dxa"/>
          </w:tcPr>
          <w:p w14:paraId="78357CE2" w14:textId="77777777" w:rsidR="00193F4D" w:rsidRPr="009E07F2" w:rsidRDefault="00193F4D" w:rsidP="006B3298">
            <w:pPr>
              <w:pStyle w:val="DefaultText"/>
              <w:rPr>
                <w:rFonts w:ascii="Arial" w:hAnsi="Arial" w:cs="Arial"/>
                <w:sz w:val="20"/>
              </w:rPr>
            </w:pPr>
          </w:p>
        </w:tc>
      </w:tr>
    </w:tbl>
    <w:p w14:paraId="50925B9F"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13502D6D" w14:textId="77777777" w:rsidTr="006B3298">
        <w:tc>
          <w:tcPr>
            <w:tcW w:w="4770" w:type="dxa"/>
            <w:gridSpan w:val="2"/>
          </w:tcPr>
          <w:p w14:paraId="19D1B1E3"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CA2241D"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3A969409" w14:textId="77777777" w:rsidTr="006B3298">
        <w:tc>
          <w:tcPr>
            <w:tcW w:w="810" w:type="dxa"/>
            <w:tcBorders>
              <w:bottom w:val="single" w:sz="4" w:space="0" w:color="auto"/>
            </w:tcBorders>
          </w:tcPr>
          <w:p w14:paraId="05EB6D9E" w14:textId="77777777"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960" w:type="dxa"/>
          </w:tcPr>
          <w:p w14:paraId="33D8F0A9"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49547F5" w14:textId="77777777" w:rsidR="00193F4D" w:rsidRPr="009E07F2" w:rsidRDefault="00193F4D" w:rsidP="00C849B1">
            <w:pPr>
              <w:pStyle w:val="DefaultText"/>
              <w:jc w:val="center"/>
              <w:rPr>
                <w:rFonts w:ascii="Arial" w:hAnsi="Arial" w:cs="Arial"/>
                <w:sz w:val="20"/>
              </w:rPr>
            </w:pPr>
          </w:p>
        </w:tc>
        <w:tc>
          <w:tcPr>
            <w:tcW w:w="3690" w:type="dxa"/>
          </w:tcPr>
          <w:p w14:paraId="0DF63D33"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6692812A" w14:textId="77777777" w:rsidTr="006B3298">
        <w:tc>
          <w:tcPr>
            <w:tcW w:w="810" w:type="dxa"/>
            <w:tcBorders>
              <w:top w:val="single" w:sz="4" w:space="0" w:color="auto"/>
              <w:bottom w:val="single" w:sz="4" w:space="0" w:color="auto"/>
            </w:tcBorders>
          </w:tcPr>
          <w:p w14:paraId="3DB9F430" w14:textId="77777777" w:rsidR="00193F4D" w:rsidRPr="009E07F2" w:rsidRDefault="00193F4D" w:rsidP="00C849B1">
            <w:pPr>
              <w:pStyle w:val="DefaultText"/>
              <w:jc w:val="center"/>
              <w:rPr>
                <w:rFonts w:ascii="Arial" w:hAnsi="Arial" w:cs="Arial"/>
                <w:sz w:val="20"/>
              </w:rPr>
            </w:pPr>
          </w:p>
        </w:tc>
        <w:tc>
          <w:tcPr>
            <w:tcW w:w="3960" w:type="dxa"/>
          </w:tcPr>
          <w:p w14:paraId="21D9A3E4"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35711C20" w14:textId="77777777" w:rsidR="00193F4D" w:rsidRPr="009E07F2" w:rsidRDefault="00193F4D" w:rsidP="00C849B1">
            <w:pPr>
              <w:pStyle w:val="DefaultText"/>
              <w:jc w:val="center"/>
              <w:rPr>
                <w:rFonts w:ascii="Arial" w:hAnsi="Arial" w:cs="Arial"/>
                <w:sz w:val="20"/>
              </w:rPr>
            </w:pPr>
          </w:p>
        </w:tc>
        <w:tc>
          <w:tcPr>
            <w:tcW w:w="3690" w:type="dxa"/>
          </w:tcPr>
          <w:p w14:paraId="4F50B73D"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755C76CE" w14:textId="77777777" w:rsidTr="006B3298">
        <w:tc>
          <w:tcPr>
            <w:tcW w:w="810" w:type="dxa"/>
            <w:tcBorders>
              <w:top w:val="single" w:sz="4" w:space="0" w:color="auto"/>
              <w:bottom w:val="single" w:sz="4" w:space="0" w:color="auto"/>
            </w:tcBorders>
          </w:tcPr>
          <w:p w14:paraId="1D721894" w14:textId="77777777" w:rsidR="00193F4D" w:rsidRPr="009E07F2" w:rsidRDefault="00193F4D" w:rsidP="00C849B1">
            <w:pPr>
              <w:pStyle w:val="DefaultText"/>
              <w:jc w:val="center"/>
              <w:rPr>
                <w:rFonts w:ascii="Arial" w:hAnsi="Arial" w:cs="Arial"/>
                <w:sz w:val="20"/>
              </w:rPr>
            </w:pPr>
          </w:p>
        </w:tc>
        <w:tc>
          <w:tcPr>
            <w:tcW w:w="3960" w:type="dxa"/>
          </w:tcPr>
          <w:p w14:paraId="3D25A3F5"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80FBEB3" w14:textId="77777777" w:rsidR="00193F4D" w:rsidRPr="009E07F2" w:rsidRDefault="00193F4D" w:rsidP="00C849B1">
            <w:pPr>
              <w:pStyle w:val="DefaultText"/>
              <w:jc w:val="center"/>
              <w:rPr>
                <w:rFonts w:ascii="Arial" w:hAnsi="Arial" w:cs="Arial"/>
                <w:sz w:val="20"/>
              </w:rPr>
            </w:pPr>
          </w:p>
        </w:tc>
        <w:tc>
          <w:tcPr>
            <w:tcW w:w="3690" w:type="dxa"/>
          </w:tcPr>
          <w:p w14:paraId="3F13CAEB"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7550BBBF" w14:textId="77777777" w:rsidTr="006B3298">
        <w:tc>
          <w:tcPr>
            <w:tcW w:w="810" w:type="dxa"/>
            <w:tcBorders>
              <w:top w:val="single" w:sz="4" w:space="0" w:color="auto"/>
              <w:bottom w:val="single" w:sz="4" w:space="0" w:color="auto"/>
            </w:tcBorders>
          </w:tcPr>
          <w:p w14:paraId="7746AA14" w14:textId="77777777" w:rsidR="00193F4D" w:rsidRPr="009E07F2" w:rsidRDefault="00193F4D" w:rsidP="00C849B1">
            <w:pPr>
              <w:pStyle w:val="DefaultText"/>
              <w:jc w:val="center"/>
              <w:rPr>
                <w:rFonts w:ascii="Arial" w:hAnsi="Arial" w:cs="Arial"/>
                <w:sz w:val="20"/>
              </w:rPr>
            </w:pPr>
          </w:p>
        </w:tc>
        <w:tc>
          <w:tcPr>
            <w:tcW w:w="3960" w:type="dxa"/>
          </w:tcPr>
          <w:p w14:paraId="6CF7BB2C"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6D47533" w14:textId="77777777" w:rsidR="00193F4D" w:rsidRPr="009E07F2" w:rsidRDefault="00193F4D" w:rsidP="00C849B1">
            <w:pPr>
              <w:pStyle w:val="DefaultText"/>
              <w:jc w:val="center"/>
              <w:rPr>
                <w:rFonts w:ascii="Arial" w:hAnsi="Arial" w:cs="Arial"/>
                <w:sz w:val="20"/>
              </w:rPr>
            </w:pPr>
          </w:p>
        </w:tc>
        <w:tc>
          <w:tcPr>
            <w:tcW w:w="3690" w:type="dxa"/>
          </w:tcPr>
          <w:p w14:paraId="4FA12D39"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62789A43" w14:textId="77777777" w:rsidTr="006B3298">
        <w:tc>
          <w:tcPr>
            <w:tcW w:w="810" w:type="dxa"/>
            <w:tcBorders>
              <w:bottom w:val="single" w:sz="4" w:space="0" w:color="auto"/>
            </w:tcBorders>
          </w:tcPr>
          <w:p w14:paraId="353F78A3" w14:textId="77777777" w:rsidR="00193F4D" w:rsidRPr="009E07F2" w:rsidRDefault="00193F4D" w:rsidP="00C849B1">
            <w:pPr>
              <w:pStyle w:val="DefaultText"/>
              <w:jc w:val="center"/>
              <w:rPr>
                <w:rFonts w:ascii="Arial" w:hAnsi="Arial" w:cs="Arial"/>
                <w:sz w:val="20"/>
              </w:rPr>
            </w:pPr>
          </w:p>
        </w:tc>
        <w:tc>
          <w:tcPr>
            <w:tcW w:w="3960" w:type="dxa"/>
          </w:tcPr>
          <w:p w14:paraId="5F03CE91"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30188A36" w14:textId="77777777" w:rsidR="00193F4D" w:rsidRPr="009E07F2" w:rsidRDefault="00193F4D" w:rsidP="00C849B1">
            <w:pPr>
              <w:pStyle w:val="DefaultText"/>
              <w:jc w:val="center"/>
              <w:rPr>
                <w:rFonts w:ascii="Arial" w:hAnsi="Arial" w:cs="Arial"/>
                <w:sz w:val="20"/>
              </w:rPr>
            </w:pPr>
          </w:p>
        </w:tc>
        <w:tc>
          <w:tcPr>
            <w:tcW w:w="3690" w:type="dxa"/>
          </w:tcPr>
          <w:p w14:paraId="387B04E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1B660B5" w14:textId="77777777" w:rsidTr="006B3298">
        <w:tc>
          <w:tcPr>
            <w:tcW w:w="810" w:type="dxa"/>
            <w:tcBorders>
              <w:top w:val="single" w:sz="4" w:space="0" w:color="auto"/>
              <w:bottom w:val="single" w:sz="4" w:space="0" w:color="auto"/>
            </w:tcBorders>
          </w:tcPr>
          <w:p w14:paraId="47C2F5F3" w14:textId="77777777" w:rsidR="00193F4D" w:rsidRPr="009E07F2" w:rsidRDefault="00193F4D" w:rsidP="00C849B1">
            <w:pPr>
              <w:pStyle w:val="DefaultText"/>
              <w:jc w:val="center"/>
              <w:rPr>
                <w:rFonts w:ascii="Arial" w:hAnsi="Arial" w:cs="Arial"/>
                <w:sz w:val="20"/>
              </w:rPr>
            </w:pPr>
          </w:p>
        </w:tc>
        <w:tc>
          <w:tcPr>
            <w:tcW w:w="3960" w:type="dxa"/>
          </w:tcPr>
          <w:p w14:paraId="1D623D8D"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5CE00EA1" w14:textId="77777777" w:rsidR="00193F4D" w:rsidRPr="009E07F2" w:rsidRDefault="00193F4D" w:rsidP="00C849B1">
            <w:pPr>
              <w:pStyle w:val="DefaultText"/>
              <w:jc w:val="center"/>
              <w:rPr>
                <w:rFonts w:ascii="Arial" w:hAnsi="Arial" w:cs="Arial"/>
                <w:sz w:val="20"/>
              </w:rPr>
            </w:pPr>
          </w:p>
        </w:tc>
        <w:tc>
          <w:tcPr>
            <w:tcW w:w="3690" w:type="dxa"/>
          </w:tcPr>
          <w:p w14:paraId="1A9E3079"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5FF0E2B6" w14:textId="77777777" w:rsidTr="006B3298">
        <w:tc>
          <w:tcPr>
            <w:tcW w:w="810" w:type="dxa"/>
            <w:tcBorders>
              <w:top w:val="single" w:sz="4" w:space="0" w:color="auto"/>
              <w:bottom w:val="single" w:sz="4" w:space="0" w:color="auto"/>
            </w:tcBorders>
          </w:tcPr>
          <w:p w14:paraId="0CA8D5ED" w14:textId="77777777"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960" w:type="dxa"/>
          </w:tcPr>
          <w:p w14:paraId="4423943A"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23FA5894" w14:textId="77777777" w:rsidR="00193F4D" w:rsidRPr="009E07F2" w:rsidRDefault="005A3F36" w:rsidP="00C849B1">
            <w:pPr>
              <w:pStyle w:val="DefaultText"/>
              <w:jc w:val="center"/>
              <w:rPr>
                <w:rFonts w:ascii="Arial" w:hAnsi="Arial" w:cs="Arial"/>
                <w:sz w:val="20"/>
              </w:rPr>
            </w:pPr>
            <w:r>
              <w:rPr>
                <w:rFonts w:ascii="Arial" w:hAnsi="Arial" w:cs="Arial"/>
                <w:sz w:val="20"/>
              </w:rPr>
              <w:t>X</w:t>
            </w:r>
          </w:p>
        </w:tc>
        <w:tc>
          <w:tcPr>
            <w:tcW w:w="3690" w:type="dxa"/>
          </w:tcPr>
          <w:p w14:paraId="5624E1A2"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2438B09A" w14:textId="77777777" w:rsidTr="006B3298">
        <w:tc>
          <w:tcPr>
            <w:tcW w:w="810" w:type="dxa"/>
            <w:tcBorders>
              <w:top w:val="single" w:sz="4" w:space="0" w:color="auto"/>
              <w:bottom w:val="single" w:sz="4" w:space="0" w:color="auto"/>
            </w:tcBorders>
          </w:tcPr>
          <w:p w14:paraId="3736384F" w14:textId="77777777" w:rsidR="00193F4D" w:rsidRPr="009E07F2" w:rsidRDefault="00193F4D" w:rsidP="00C849B1">
            <w:pPr>
              <w:pStyle w:val="DefaultText"/>
              <w:jc w:val="center"/>
              <w:rPr>
                <w:rFonts w:ascii="Arial" w:hAnsi="Arial" w:cs="Arial"/>
                <w:sz w:val="20"/>
              </w:rPr>
            </w:pPr>
          </w:p>
        </w:tc>
        <w:tc>
          <w:tcPr>
            <w:tcW w:w="3960" w:type="dxa"/>
          </w:tcPr>
          <w:p w14:paraId="361B0086"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44EFD5A4" w14:textId="77777777" w:rsidR="00193F4D" w:rsidRPr="009E07F2" w:rsidRDefault="00193F4D" w:rsidP="00C849B1">
            <w:pPr>
              <w:pStyle w:val="DefaultText"/>
              <w:jc w:val="center"/>
              <w:rPr>
                <w:rFonts w:ascii="Arial" w:hAnsi="Arial" w:cs="Arial"/>
                <w:sz w:val="20"/>
              </w:rPr>
            </w:pPr>
          </w:p>
        </w:tc>
        <w:tc>
          <w:tcPr>
            <w:tcW w:w="3690" w:type="dxa"/>
          </w:tcPr>
          <w:p w14:paraId="3FE3E0ED"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436586D9" w14:textId="77777777" w:rsidTr="006B3298">
        <w:tc>
          <w:tcPr>
            <w:tcW w:w="810" w:type="dxa"/>
            <w:tcBorders>
              <w:top w:val="single" w:sz="4" w:space="0" w:color="auto"/>
              <w:bottom w:val="single" w:sz="4" w:space="0" w:color="auto"/>
            </w:tcBorders>
          </w:tcPr>
          <w:p w14:paraId="2DDBC8E1" w14:textId="77777777" w:rsidR="00193F4D" w:rsidRPr="009E07F2" w:rsidRDefault="00193F4D" w:rsidP="00C849B1">
            <w:pPr>
              <w:pStyle w:val="DefaultText"/>
              <w:jc w:val="center"/>
              <w:rPr>
                <w:rFonts w:ascii="Arial" w:hAnsi="Arial" w:cs="Arial"/>
                <w:sz w:val="20"/>
              </w:rPr>
            </w:pPr>
          </w:p>
        </w:tc>
        <w:tc>
          <w:tcPr>
            <w:tcW w:w="3960" w:type="dxa"/>
          </w:tcPr>
          <w:p w14:paraId="63B63DC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616CAD32" w14:textId="77777777" w:rsidR="00193F4D" w:rsidRPr="009E07F2" w:rsidRDefault="00193F4D" w:rsidP="00C849B1">
            <w:pPr>
              <w:pStyle w:val="DefaultText"/>
              <w:jc w:val="center"/>
              <w:rPr>
                <w:rFonts w:ascii="Arial" w:hAnsi="Arial" w:cs="Arial"/>
                <w:sz w:val="20"/>
              </w:rPr>
            </w:pPr>
          </w:p>
        </w:tc>
        <w:tc>
          <w:tcPr>
            <w:tcW w:w="3690" w:type="dxa"/>
          </w:tcPr>
          <w:p w14:paraId="213D2FF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29001F2F" w14:textId="77777777" w:rsidTr="006B3298">
        <w:tc>
          <w:tcPr>
            <w:tcW w:w="810" w:type="dxa"/>
            <w:tcBorders>
              <w:top w:val="single" w:sz="4" w:space="0" w:color="auto"/>
              <w:bottom w:val="single" w:sz="4" w:space="0" w:color="auto"/>
            </w:tcBorders>
          </w:tcPr>
          <w:p w14:paraId="28F2F931" w14:textId="77777777" w:rsidR="00193F4D" w:rsidRPr="009E07F2" w:rsidRDefault="00193F4D" w:rsidP="00C849B1">
            <w:pPr>
              <w:pStyle w:val="DefaultText"/>
              <w:jc w:val="center"/>
              <w:rPr>
                <w:rFonts w:ascii="Arial" w:hAnsi="Arial" w:cs="Arial"/>
                <w:sz w:val="20"/>
              </w:rPr>
            </w:pPr>
          </w:p>
        </w:tc>
        <w:tc>
          <w:tcPr>
            <w:tcW w:w="3960" w:type="dxa"/>
          </w:tcPr>
          <w:p w14:paraId="0C4E95C9"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3DD4F059" w14:textId="77777777" w:rsidR="00193F4D" w:rsidRPr="009E07F2" w:rsidRDefault="00193F4D" w:rsidP="00C849B1">
            <w:pPr>
              <w:pStyle w:val="DefaultText"/>
              <w:jc w:val="center"/>
              <w:rPr>
                <w:rFonts w:ascii="Arial" w:hAnsi="Arial" w:cs="Arial"/>
                <w:sz w:val="20"/>
              </w:rPr>
            </w:pPr>
          </w:p>
        </w:tc>
        <w:tc>
          <w:tcPr>
            <w:tcW w:w="3690" w:type="dxa"/>
          </w:tcPr>
          <w:p w14:paraId="2D15663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6979F90D" w14:textId="77777777" w:rsidTr="006B3298">
        <w:tc>
          <w:tcPr>
            <w:tcW w:w="810" w:type="dxa"/>
            <w:tcBorders>
              <w:top w:val="single" w:sz="4" w:space="0" w:color="auto"/>
              <w:bottom w:val="single" w:sz="4" w:space="0" w:color="auto"/>
            </w:tcBorders>
          </w:tcPr>
          <w:p w14:paraId="04B90C92" w14:textId="77777777" w:rsidR="00193F4D" w:rsidRPr="009E07F2" w:rsidRDefault="00193F4D" w:rsidP="00C849B1">
            <w:pPr>
              <w:pStyle w:val="DefaultText"/>
              <w:jc w:val="center"/>
              <w:rPr>
                <w:rFonts w:ascii="Arial" w:hAnsi="Arial" w:cs="Arial"/>
                <w:sz w:val="20"/>
              </w:rPr>
            </w:pPr>
          </w:p>
        </w:tc>
        <w:tc>
          <w:tcPr>
            <w:tcW w:w="3960" w:type="dxa"/>
          </w:tcPr>
          <w:p w14:paraId="4A23DCE2"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CDDAB82" w14:textId="77777777" w:rsidR="00193F4D" w:rsidRPr="009E07F2" w:rsidRDefault="00193F4D" w:rsidP="00C849B1">
            <w:pPr>
              <w:pStyle w:val="DefaultText"/>
              <w:jc w:val="center"/>
              <w:rPr>
                <w:rFonts w:ascii="Arial" w:hAnsi="Arial" w:cs="Arial"/>
                <w:sz w:val="20"/>
              </w:rPr>
            </w:pPr>
          </w:p>
        </w:tc>
        <w:tc>
          <w:tcPr>
            <w:tcW w:w="3690" w:type="dxa"/>
          </w:tcPr>
          <w:p w14:paraId="3F097929"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0C65386A" w14:textId="77777777" w:rsidTr="006B3298">
        <w:tc>
          <w:tcPr>
            <w:tcW w:w="810" w:type="dxa"/>
            <w:tcBorders>
              <w:top w:val="single" w:sz="4" w:space="0" w:color="auto"/>
              <w:bottom w:val="single" w:sz="4" w:space="0" w:color="auto"/>
            </w:tcBorders>
          </w:tcPr>
          <w:p w14:paraId="07545BCA" w14:textId="77777777" w:rsidR="00193F4D" w:rsidRPr="009E07F2" w:rsidRDefault="00193F4D" w:rsidP="00C849B1">
            <w:pPr>
              <w:pStyle w:val="DefaultText"/>
              <w:jc w:val="center"/>
              <w:rPr>
                <w:rFonts w:ascii="Arial" w:hAnsi="Arial" w:cs="Arial"/>
                <w:sz w:val="20"/>
              </w:rPr>
            </w:pPr>
          </w:p>
        </w:tc>
        <w:tc>
          <w:tcPr>
            <w:tcW w:w="3960" w:type="dxa"/>
          </w:tcPr>
          <w:p w14:paraId="4A5215B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A181CAB" w14:textId="77777777" w:rsidR="00193F4D" w:rsidRPr="009E07F2" w:rsidRDefault="00193F4D" w:rsidP="00C849B1">
            <w:pPr>
              <w:pStyle w:val="DefaultText"/>
              <w:jc w:val="center"/>
              <w:rPr>
                <w:rFonts w:ascii="Arial" w:hAnsi="Arial" w:cs="Arial"/>
                <w:sz w:val="20"/>
              </w:rPr>
            </w:pPr>
          </w:p>
        </w:tc>
        <w:tc>
          <w:tcPr>
            <w:tcW w:w="3690" w:type="dxa"/>
          </w:tcPr>
          <w:p w14:paraId="1A10AA62"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2231E093" w14:textId="77777777" w:rsidR="001875DA" w:rsidRDefault="001875DA" w:rsidP="00882ECD">
      <w:pPr>
        <w:pStyle w:val="DefaultText"/>
        <w:spacing w:after="120"/>
        <w:rPr>
          <w:rFonts w:ascii="Arial" w:hAnsi="Arial"/>
          <w:sz w:val="20"/>
        </w:rPr>
      </w:pPr>
    </w:p>
    <w:p w14:paraId="6E81255E" w14:textId="77777777" w:rsidR="001875DA" w:rsidRPr="00882ECD" w:rsidRDefault="001875DA" w:rsidP="00882ECD">
      <w:pPr>
        <w:pStyle w:val="DefaultText"/>
        <w:spacing w:after="120"/>
        <w:rPr>
          <w:rFonts w:ascii="Arial" w:hAnsi="Arial"/>
          <w:b/>
          <w:sz w:val="22"/>
        </w:rPr>
      </w:pPr>
      <w:r>
        <w:rPr>
          <w:rFonts w:ascii="Arial" w:hAnsi="Arial"/>
          <w:b/>
          <w:sz w:val="22"/>
        </w:rPr>
        <w:t>3.  RECOMMENDATION</w:t>
      </w:r>
    </w:p>
    <w:p w14:paraId="6801FE05" w14:textId="77777777" w:rsidR="009A2526" w:rsidRDefault="001875DA" w:rsidP="009A2526">
      <w:pPr>
        <w:pStyle w:val="TableText"/>
        <w:spacing w:after="120"/>
        <w:ind w:left="144"/>
        <w:jc w:val="both"/>
        <w:rPr>
          <w:rFonts w:ascii="Arial" w:hAnsi="Arial"/>
          <w:sz w:val="20"/>
        </w:rPr>
      </w:pPr>
      <w:r>
        <w:rPr>
          <w:rFonts w:ascii="Arial" w:hAnsi="Arial"/>
          <w:b/>
          <w:sz w:val="22"/>
        </w:rPr>
        <w:t>SUMMARY:</w:t>
      </w:r>
      <w:r w:rsidR="009A2526" w:rsidRPr="009A2526">
        <w:rPr>
          <w:rFonts w:ascii="Arial" w:hAnsi="Arial"/>
          <w:sz w:val="20"/>
        </w:rPr>
        <w:t xml:space="preserve"> </w:t>
      </w:r>
    </w:p>
    <w:p w14:paraId="245F5052" w14:textId="22E4D2B7" w:rsidR="009A2526" w:rsidRPr="000967E1" w:rsidRDefault="009A2526" w:rsidP="009A2526">
      <w:pPr>
        <w:pStyle w:val="TableText"/>
        <w:spacing w:after="120"/>
        <w:ind w:left="144"/>
        <w:jc w:val="both"/>
        <w:rPr>
          <w:rFonts w:ascii="Arial" w:hAnsi="Arial"/>
          <w:i/>
          <w:sz w:val="20"/>
        </w:rPr>
      </w:pPr>
      <w:r>
        <w:rPr>
          <w:rFonts w:ascii="Arial" w:hAnsi="Arial"/>
          <w:sz w:val="20"/>
        </w:rPr>
        <w:t>Per Argus Media, Inc.’s request dated April 25, 2019, Argus proposes to change NAESB WGQ Base Contract (NAESB Standard 6.3.1) Section 2.25 Spot Price Publication to include “Argus Natural Gas Americas VWA” as a spot price publication reference.</w:t>
      </w:r>
    </w:p>
    <w:p w14:paraId="77991102" w14:textId="2EF90941" w:rsidR="009A2526" w:rsidRDefault="009A2526" w:rsidP="009A2526">
      <w:pPr>
        <w:pStyle w:val="TableText"/>
        <w:spacing w:after="120"/>
        <w:ind w:left="144"/>
        <w:jc w:val="both"/>
        <w:rPr>
          <w:rFonts w:ascii="Arial" w:hAnsi="Arial"/>
          <w:sz w:val="20"/>
        </w:rPr>
      </w:pPr>
      <w:r>
        <w:rPr>
          <w:rFonts w:ascii="Arial" w:hAnsi="Arial"/>
          <w:sz w:val="20"/>
        </w:rPr>
        <w:t>The Contracts SC held meetings on July 12, 2019 and July 31, 2019 to review and discuss the NAESB WGQ Contracts standards and related documents and recommended updating of the NAESB Base Contract Section 2.31 (correct designation for spot price publication reference).</w:t>
      </w:r>
    </w:p>
    <w:p w14:paraId="61F3D8F7" w14:textId="1DB11ED8" w:rsidR="001A0D1A" w:rsidRPr="009A2526" w:rsidRDefault="009A2526" w:rsidP="009A2526">
      <w:pPr>
        <w:pStyle w:val="TableText"/>
        <w:spacing w:after="120"/>
        <w:ind w:left="144"/>
        <w:jc w:val="both"/>
        <w:rPr>
          <w:rFonts w:ascii="Arial" w:hAnsi="Arial"/>
          <w:sz w:val="20"/>
        </w:rPr>
      </w:pPr>
      <w:r>
        <w:rPr>
          <w:rFonts w:ascii="Arial" w:hAnsi="Arial"/>
          <w:sz w:val="20"/>
        </w:rPr>
        <w:t>As a result of the review and discussions, Contracts SC recommended that modifications be made to the NAESB WGQ Standard No. 6.3.1, Section 2.31 as set forth in Exhibit A.</w:t>
      </w:r>
    </w:p>
    <w:p w14:paraId="62D77364" w14:textId="77777777" w:rsidR="001A0D1A" w:rsidRDefault="001A0D1A">
      <w:pPr>
        <w:rPr>
          <w:rFonts w:ascii="Arial" w:hAnsi="Arial"/>
          <w:b/>
          <w:sz w:val="22"/>
        </w:rPr>
      </w:pPr>
      <w:r>
        <w:rPr>
          <w:rFonts w:ascii="Arial" w:hAnsi="Arial"/>
          <w:b/>
          <w:sz w:val="22"/>
        </w:rPr>
        <w:br w:type="page"/>
      </w:r>
    </w:p>
    <w:p w14:paraId="7E72A03C" w14:textId="14CF4830" w:rsidR="001875DA" w:rsidRDefault="001875DA" w:rsidP="00882ECD">
      <w:pPr>
        <w:pStyle w:val="DefaultText"/>
        <w:spacing w:after="120"/>
        <w:rPr>
          <w:rFonts w:ascii="Arial" w:hAnsi="Arial"/>
          <w:b/>
          <w:sz w:val="22"/>
        </w:rPr>
      </w:pPr>
      <w:r>
        <w:rPr>
          <w:rFonts w:ascii="Arial" w:hAnsi="Arial"/>
          <w:b/>
          <w:sz w:val="22"/>
        </w:rPr>
        <w:lastRenderedPageBreak/>
        <w:t>STANDARDS LANGUAGE:</w:t>
      </w:r>
    </w:p>
    <w:p w14:paraId="6F110F15" w14:textId="2AC81742" w:rsidR="00502353" w:rsidRPr="00502353" w:rsidRDefault="00502353" w:rsidP="00882ECD">
      <w:pPr>
        <w:pStyle w:val="DefaultText"/>
        <w:spacing w:after="120"/>
        <w:rPr>
          <w:rFonts w:ascii="Arial" w:hAnsi="Arial"/>
          <w:bCs/>
          <w:sz w:val="22"/>
        </w:rPr>
      </w:pPr>
      <w:r w:rsidRPr="00502353">
        <w:rPr>
          <w:rFonts w:ascii="Arial" w:hAnsi="Arial"/>
          <w:bCs/>
          <w:sz w:val="22"/>
        </w:rPr>
        <w:t>See attached Exhibit A</w:t>
      </w:r>
      <w:r w:rsidR="00B5765B">
        <w:rPr>
          <w:rFonts w:ascii="Arial" w:hAnsi="Arial"/>
          <w:bCs/>
          <w:sz w:val="22"/>
        </w:rPr>
        <w:t xml:space="preserve">: </w:t>
      </w:r>
      <w:hyperlink r:id="rId7" w:history="1">
        <w:r w:rsidR="003A3E4C" w:rsidRPr="00DE74B3">
          <w:rPr>
            <w:rStyle w:val="Hyperlink"/>
            <w:rFonts w:ascii="Arial" w:hAnsi="Arial"/>
            <w:bCs/>
            <w:sz w:val="22"/>
          </w:rPr>
          <w:t>https://www.naesb.org/member_login_check.asp?doc=wgq_r19006_rec_attach.doc</w:t>
        </w:r>
      </w:hyperlink>
      <w:r w:rsidR="003A3E4C">
        <w:rPr>
          <w:rFonts w:ascii="Arial" w:hAnsi="Arial"/>
          <w:bCs/>
          <w:sz w:val="22"/>
        </w:rPr>
        <w:t xml:space="preserve"> </w:t>
      </w:r>
    </w:p>
    <w:p w14:paraId="14298AD3" w14:textId="77777777" w:rsidR="00502353" w:rsidRPr="00882ECD" w:rsidRDefault="00502353" w:rsidP="00882ECD">
      <w:pPr>
        <w:pStyle w:val="DefaultText"/>
        <w:spacing w:after="120"/>
        <w:rPr>
          <w:rFonts w:ascii="Arial" w:hAnsi="Arial"/>
          <w:b/>
          <w:sz w:val="22"/>
        </w:rPr>
      </w:pPr>
    </w:p>
    <w:p w14:paraId="5FC30952" w14:textId="18BF7C86" w:rsidR="00502353" w:rsidRDefault="001875DA" w:rsidP="00882ECD">
      <w:pPr>
        <w:pStyle w:val="DefaultText"/>
        <w:spacing w:after="120"/>
        <w:rPr>
          <w:rFonts w:ascii="Arial" w:hAnsi="Arial" w:cs="Arial"/>
          <w:b/>
          <w:sz w:val="20"/>
        </w:rPr>
      </w:pPr>
      <w:r w:rsidRPr="00B531DA">
        <w:rPr>
          <w:rFonts w:ascii="Arial" w:hAnsi="Arial" w:cs="Arial"/>
          <w:b/>
          <w:sz w:val="20"/>
        </w:rPr>
        <w:t>4.  SUPPORTING DOCUMENTATION</w:t>
      </w:r>
    </w:p>
    <w:p w14:paraId="0518D92E" w14:textId="77777777" w:rsidR="00502353" w:rsidRPr="00502353" w:rsidRDefault="00502353" w:rsidP="00882ECD">
      <w:pPr>
        <w:pStyle w:val="DefaultText"/>
        <w:spacing w:after="120"/>
        <w:rPr>
          <w:rFonts w:ascii="Arial" w:hAnsi="Arial" w:cs="Arial"/>
          <w:b/>
          <w:sz w:val="20"/>
        </w:rPr>
      </w:pPr>
    </w:p>
    <w:p w14:paraId="7F36A839" w14:textId="77777777" w:rsidR="001875DA" w:rsidRPr="00B531DA" w:rsidRDefault="001875DA" w:rsidP="00882ECD">
      <w:pPr>
        <w:spacing w:after="120"/>
        <w:rPr>
          <w:rFonts w:ascii="Arial" w:hAnsi="Arial" w:cs="Arial"/>
          <w:b/>
        </w:rPr>
      </w:pPr>
      <w:r w:rsidRPr="00B531DA">
        <w:rPr>
          <w:rFonts w:ascii="Arial" w:hAnsi="Arial" w:cs="Arial"/>
          <w:b/>
        </w:rPr>
        <w:t>a.  Description of Request:</w:t>
      </w:r>
    </w:p>
    <w:p w14:paraId="6EE09D9F" w14:textId="5B16B449" w:rsidR="001C19BC" w:rsidRPr="001C19BC" w:rsidRDefault="001C19BC" w:rsidP="001C19BC">
      <w:pPr>
        <w:pStyle w:val="DefaultText"/>
        <w:spacing w:after="120"/>
        <w:rPr>
          <w:rFonts w:ascii="Arial" w:hAnsi="Arial" w:cs="Arial"/>
          <w:sz w:val="20"/>
        </w:rPr>
      </w:pPr>
      <w:r>
        <w:rPr>
          <w:rFonts w:ascii="Arial" w:hAnsi="Arial" w:cs="Arial"/>
          <w:sz w:val="20"/>
        </w:rPr>
        <w:t>O</w:t>
      </w:r>
      <w:r w:rsidRPr="001C19BC">
        <w:rPr>
          <w:rFonts w:ascii="Arial" w:hAnsi="Arial" w:cs="Arial"/>
          <w:sz w:val="20"/>
        </w:rPr>
        <w:t xml:space="preserve">n April </w:t>
      </w:r>
      <w:r w:rsidR="001A0D1A">
        <w:rPr>
          <w:rFonts w:ascii="Arial" w:hAnsi="Arial" w:cs="Arial"/>
          <w:sz w:val="20"/>
        </w:rPr>
        <w:t>25</w:t>
      </w:r>
      <w:r w:rsidRPr="001C19BC">
        <w:rPr>
          <w:rFonts w:ascii="Arial" w:hAnsi="Arial" w:cs="Arial"/>
          <w:sz w:val="20"/>
        </w:rPr>
        <w:t>, 201</w:t>
      </w:r>
      <w:r w:rsidR="001A0D1A">
        <w:rPr>
          <w:rFonts w:ascii="Arial" w:hAnsi="Arial" w:cs="Arial"/>
          <w:sz w:val="20"/>
        </w:rPr>
        <w:t>9</w:t>
      </w:r>
      <w:r w:rsidRPr="001C19BC">
        <w:rPr>
          <w:rFonts w:ascii="Arial" w:hAnsi="Arial" w:cs="Arial"/>
          <w:sz w:val="20"/>
        </w:rPr>
        <w:t xml:space="preserve">, </w:t>
      </w:r>
      <w:r w:rsidR="001A0D1A">
        <w:rPr>
          <w:rFonts w:ascii="Arial" w:hAnsi="Arial" w:cs="Arial"/>
          <w:sz w:val="20"/>
        </w:rPr>
        <w:t>Argus Media, Inc. pro</w:t>
      </w:r>
      <w:r w:rsidRPr="001C19BC">
        <w:rPr>
          <w:rFonts w:ascii="Arial" w:hAnsi="Arial" w:cs="Arial"/>
          <w:sz w:val="20"/>
        </w:rPr>
        <w:t xml:space="preserve">posed a </w:t>
      </w:r>
      <w:r w:rsidR="001A0D1A">
        <w:rPr>
          <w:rFonts w:ascii="Arial" w:hAnsi="Arial" w:cs="Arial"/>
          <w:sz w:val="20"/>
        </w:rPr>
        <w:t xml:space="preserve">change to </w:t>
      </w:r>
      <w:r w:rsidRPr="001C19BC">
        <w:rPr>
          <w:rFonts w:ascii="Arial" w:hAnsi="Arial" w:cs="Arial"/>
          <w:sz w:val="20"/>
        </w:rPr>
        <w:t xml:space="preserve">NAESB Standard No. </w:t>
      </w:r>
      <w:r w:rsidR="001A0D1A">
        <w:rPr>
          <w:rFonts w:ascii="Arial" w:hAnsi="Arial" w:cs="Arial"/>
          <w:sz w:val="20"/>
        </w:rPr>
        <w:t>6.3.1 (Base Contract) Section 2.25 (correct</w:t>
      </w:r>
      <w:r w:rsidR="00F43D9C">
        <w:rPr>
          <w:rFonts w:ascii="Arial" w:hAnsi="Arial" w:cs="Arial"/>
          <w:sz w:val="20"/>
        </w:rPr>
        <w:t xml:space="preserve"> Base Contract </w:t>
      </w:r>
      <w:r w:rsidR="009A2526">
        <w:rPr>
          <w:rFonts w:ascii="Arial" w:hAnsi="Arial" w:cs="Arial"/>
          <w:sz w:val="20"/>
        </w:rPr>
        <w:t>s</w:t>
      </w:r>
      <w:r w:rsidR="001A0D1A">
        <w:rPr>
          <w:rFonts w:ascii="Arial" w:hAnsi="Arial" w:cs="Arial"/>
          <w:sz w:val="20"/>
        </w:rPr>
        <w:t>ection reference is Section 2.31)</w:t>
      </w:r>
      <w:r w:rsidR="00502353">
        <w:rPr>
          <w:rFonts w:ascii="Arial" w:hAnsi="Arial" w:cs="Arial"/>
          <w:sz w:val="20"/>
        </w:rPr>
        <w:t>.</w:t>
      </w:r>
    </w:p>
    <w:p w14:paraId="3A0BD3F9" w14:textId="77777777" w:rsidR="001875DA" w:rsidRPr="00B531DA" w:rsidRDefault="001875DA" w:rsidP="001C19BC">
      <w:pPr>
        <w:pStyle w:val="DefaultText"/>
        <w:spacing w:after="120"/>
        <w:rPr>
          <w:rFonts w:ascii="Arial" w:hAnsi="Arial" w:cs="Arial"/>
          <w:b/>
          <w:sz w:val="20"/>
        </w:rPr>
      </w:pPr>
      <w:r w:rsidRPr="00B531DA">
        <w:rPr>
          <w:rFonts w:ascii="Arial" w:hAnsi="Arial" w:cs="Arial"/>
          <w:b/>
          <w:sz w:val="20"/>
        </w:rPr>
        <w:t>b.  Description of Recommendation:</w:t>
      </w:r>
    </w:p>
    <w:p w14:paraId="72CFD0FE" w14:textId="77777777" w:rsidR="001875DA" w:rsidRDefault="001875DA" w:rsidP="00882ECD">
      <w:pPr>
        <w:pStyle w:val="DefaultText"/>
        <w:spacing w:after="120"/>
        <w:rPr>
          <w:rFonts w:ascii="Arial" w:hAnsi="Arial"/>
          <w:sz w:val="20"/>
        </w:rPr>
      </w:pPr>
      <w:r>
        <w:rPr>
          <w:rFonts w:ascii="Arial" w:hAnsi="Arial"/>
          <w:b/>
          <w:sz w:val="20"/>
        </w:rPr>
        <w:t>WGQ Contracts Subcommittee</w:t>
      </w:r>
    </w:p>
    <w:p w14:paraId="2991A2CD" w14:textId="57B9371F" w:rsidR="001875DA" w:rsidRDefault="00702B2B" w:rsidP="003577DD">
      <w:pPr>
        <w:pStyle w:val="DefaultText"/>
        <w:spacing w:after="120"/>
        <w:ind w:left="720"/>
        <w:jc w:val="both"/>
        <w:rPr>
          <w:rFonts w:ascii="Arial" w:hAnsi="Arial"/>
          <w:sz w:val="20"/>
        </w:rPr>
      </w:pPr>
      <w:r>
        <w:rPr>
          <w:rFonts w:ascii="Arial" w:hAnsi="Arial"/>
          <w:sz w:val="20"/>
        </w:rPr>
        <w:t xml:space="preserve">The </w:t>
      </w:r>
      <w:r w:rsidR="001875DA">
        <w:rPr>
          <w:rFonts w:ascii="Arial" w:hAnsi="Arial"/>
          <w:sz w:val="20"/>
        </w:rPr>
        <w:t>WGQ Contracts Subcommittee</w:t>
      </w:r>
      <w:r w:rsidR="005A3F36">
        <w:rPr>
          <w:rFonts w:ascii="Arial" w:hAnsi="Arial"/>
          <w:sz w:val="20"/>
        </w:rPr>
        <w:t xml:space="preserve"> (</w:t>
      </w:r>
      <w:r w:rsidR="001C19BC">
        <w:rPr>
          <w:rFonts w:ascii="Arial" w:hAnsi="Arial"/>
          <w:sz w:val="20"/>
        </w:rPr>
        <w:t>Cont</w:t>
      </w:r>
      <w:r w:rsidR="00502353">
        <w:rPr>
          <w:rFonts w:ascii="Arial" w:hAnsi="Arial"/>
          <w:sz w:val="20"/>
        </w:rPr>
        <w:t>r</w:t>
      </w:r>
      <w:r w:rsidR="001C19BC">
        <w:rPr>
          <w:rFonts w:ascii="Arial" w:hAnsi="Arial"/>
          <w:sz w:val="20"/>
        </w:rPr>
        <w:t xml:space="preserve">acts </w:t>
      </w:r>
      <w:r w:rsidR="005A3F36">
        <w:rPr>
          <w:rFonts w:ascii="Arial" w:hAnsi="Arial"/>
          <w:sz w:val="20"/>
        </w:rPr>
        <w:t>SC)</w:t>
      </w:r>
      <w:r w:rsidR="001875DA">
        <w:rPr>
          <w:rFonts w:ascii="Arial" w:hAnsi="Arial"/>
          <w:sz w:val="20"/>
        </w:rPr>
        <w:t xml:space="preserve"> recommend</w:t>
      </w:r>
      <w:r w:rsidR="001D3FCD">
        <w:rPr>
          <w:rFonts w:ascii="Arial" w:hAnsi="Arial"/>
          <w:sz w:val="20"/>
        </w:rPr>
        <w:t>s</w:t>
      </w:r>
      <w:r w:rsidR="005D0618">
        <w:rPr>
          <w:rFonts w:ascii="Arial" w:hAnsi="Arial"/>
          <w:sz w:val="20"/>
        </w:rPr>
        <w:t xml:space="preserve"> </w:t>
      </w:r>
      <w:r w:rsidR="009A2526">
        <w:rPr>
          <w:rFonts w:ascii="Arial" w:hAnsi="Arial"/>
          <w:sz w:val="20"/>
        </w:rPr>
        <w:t xml:space="preserve">that </w:t>
      </w:r>
      <w:r w:rsidR="005D0618">
        <w:rPr>
          <w:rFonts w:ascii="Arial" w:hAnsi="Arial"/>
          <w:sz w:val="20"/>
        </w:rPr>
        <w:t>NAESB adopt</w:t>
      </w:r>
      <w:r w:rsidR="001D3FCD">
        <w:rPr>
          <w:rFonts w:ascii="Arial" w:hAnsi="Arial"/>
          <w:sz w:val="20"/>
        </w:rPr>
        <w:t xml:space="preserve"> </w:t>
      </w:r>
      <w:r w:rsidR="005A3F36">
        <w:rPr>
          <w:rFonts w:ascii="Arial" w:hAnsi="Arial"/>
          <w:sz w:val="20"/>
        </w:rPr>
        <w:t xml:space="preserve">the </w:t>
      </w:r>
      <w:r w:rsidR="00864E27">
        <w:rPr>
          <w:rFonts w:ascii="Arial" w:hAnsi="Arial"/>
          <w:sz w:val="20"/>
        </w:rPr>
        <w:t>update to the current NAESB WGQ Standard</w:t>
      </w:r>
      <w:r w:rsidR="001A0D1A">
        <w:rPr>
          <w:rFonts w:ascii="Arial" w:hAnsi="Arial"/>
          <w:sz w:val="20"/>
        </w:rPr>
        <w:t xml:space="preserve"> 6.3.1 (Base Contract) Section 2.31 </w:t>
      </w:r>
      <w:r w:rsidR="00864E27">
        <w:rPr>
          <w:rFonts w:ascii="Arial" w:hAnsi="Arial"/>
          <w:sz w:val="20"/>
        </w:rPr>
        <w:t xml:space="preserve">in response to request </w:t>
      </w:r>
      <w:r w:rsidR="00F43D9C">
        <w:rPr>
          <w:rFonts w:ascii="Arial" w:hAnsi="Arial"/>
          <w:sz w:val="20"/>
        </w:rPr>
        <w:t>R1</w:t>
      </w:r>
      <w:r w:rsidR="001A0D1A">
        <w:rPr>
          <w:rFonts w:ascii="Arial" w:hAnsi="Arial"/>
          <w:sz w:val="20"/>
        </w:rPr>
        <w:t>9006</w:t>
      </w:r>
      <w:r w:rsidR="001C19BC">
        <w:rPr>
          <w:rFonts w:ascii="Arial" w:hAnsi="Arial"/>
          <w:sz w:val="20"/>
        </w:rPr>
        <w:t>.</w:t>
      </w:r>
    </w:p>
    <w:p w14:paraId="531F5622" w14:textId="77849107" w:rsidR="009D04BD" w:rsidRDefault="002B430B" w:rsidP="003577DD">
      <w:pPr>
        <w:pStyle w:val="DefaultText"/>
        <w:spacing w:after="120"/>
        <w:ind w:left="720"/>
        <w:jc w:val="both"/>
        <w:rPr>
          <w:rFonts w:ascii="Arial" w:hAnsi="Arial"/>
          <w:sz w:val="20"/>
        </w:rPr>
      </w:pPr>
      <w:r>
        <w:rPr>
          <w:rFonts w:ascii="Arial" w:hAnsi="Arial"/>
          <w:sz w:val="20"/>
        </w:rPr>
        <w:t xml:space="preserve">The </w:t>
      </w:r>
      <w:r w:rsidR="001C19BC">
        <w:rPr>
          <w:rFonts w:ascii="Arial" w:hAnsi="Arial"/>
          <w:sz w:val="20"/>
        </w:rPr>
        <w:t xml:space="preserve">Contracts </w:t>
      </w:r>
      <w:r>
        <w:rPr>
          <w:rFonts w:ascii="Arial" w:hAnsi="Arial"/>
          <w:sz w:val="20"/>
        </w:rPr>
        <w:t>SC held meeting</w:t>
      </w:r>
      <w:r w:rsidR="00462F36">
        <w:rPr>
          <w:rFonts w:ascii="Arial" w:hAnsi="Arial"/>
          <w:sz w:val="20"/>
        </w:rPr>
        <w:t>s</w:t>
      </w:r>
      <w:r w:rsidR="001A0D1A">
        <w:rPr>
          <w:rFonts w:ascii="Arial" w:hAnsi="Arial"/>
          <w:sz w:val="20"/>
        </w:rPr>
        <w:t xml:space="preserve"> </w:t>
      </w:r>
      <w:r w:rsidR="00E615F8">
        <w:rPr>
          <w:rFonts w:ascii="Arial" w:hAnsi="Arial"/>
          <w:sz w:val="20"/>
        </w:rPr>
        <w:t xml:space="preserve">on </w:t>
      </w:r>
      <w:r w:rsidR="001A0D1A">
        <w:rPr>
          <w:rFonts w:ascii="Arial" w:hAnsi="Arial"/>
          <w:sz w:val="20"/>
        </w:rPr>
        <w:t>July 12, 2019</w:t>
      </w:r>
      <w:r w:rsidR="00462F36">
        <w:rPr>
          <w:rFonts w:ascii="Arial" w:hAnsi="Arial"/>
          <w:sz w:val="20"/>
        </w:rPr>
        <w:t xml:space="preserve"> and July 31, 2019 </w:t>
      </w:r>
      <w:r>
        <w:rPr>
          <w:rFonts w:ascii="Arial" w:hAnsi="Arial"/>
          <w:sz w:val="20"/>
        </w:rPr>
        <w:t xml:space="preserve">to review, discuss, and develop </w:t>
      </w:r>
      <w:r w:rsidR="00462F36">
        <w:rPr>
          <w:rFonts w:ascii="Arial" w:hAnsi="Arial"/>
          <w:sz w:val="20"/>
        </w:rPr>
        <w:t xml:space="preserve">a recommendation on </w:t>
      </w:r>
      <w:r w:rsidR="001A0D1A">
        <w:rPr>
          <w:rFonts w:ascii="Arial" w:hAnsi="Arial"/>
          <w:sz w:val="20"/>
        </w:rPr>
        <w:t xml:space="preserve">the </w:t>
      </w:r>
      <w:r w:rsidR="009D04BD">
        <w:rPr>
          <w:rFonts w:ascii="Arial" w:hAnsi="Arial"/>
          <w:sz w:val="20"/>
        </w:rPr>
        <w:t xml:space="preserve">update to the NAESB </w:t>
      </w:r>
      <w:r w:rsidR="001A0D1A">
        <w:rPr>
          <w:rFonts w:ascii="Arial" w:hAnsi="Arial"/>
          <w:sz w:val="20"/>
        </w:rPr>
        <w:t>Base Cont</w:t>
      </w:r>
      <w:r w:rsidR="00502353">
        <w:rPr>
          <w:rFonts w:ascii="Arial" w:hAnsi="Arial"/>
          <w:sz w:val="20"/>
        </w:rPr>
        <w:t>r</w:t>
      </w:r>
      <w:r w:rsidR="001A0D1A">
        <w:rPr>
          <w:rFonts w:ascii="Arial" w:hAnsi="Arial"/>
          <w:sz w:val="20"/>
        </w:rPr>
        <w:t>act</w:t>
      </w:r>
      <w:r w:rsidR="009D04BD">
        <w:rPr>
          <w:rFonts w:ascii="Arial" w:hAnsi="Arial"/>
          <w:sz w:val="20"/>
        </w:rPr>
        <w:t xml:space="preserve">.  </w:t>
      </w:r>
      <w:r>
        <w:rPr>
          <w:rFonts w:ascii="Arial" w:hAnsi="Arial"/>
          <w:sz w:val="20"/>
        </w:rPr>
        <w:t>As a result of the discussions</w:t>
      </w:r>
      <w:r w:rsidR="00CE738F">
        <w:rPr>
          <w:rFonts w:ascii="Arial" w:hAnsi="Arial"/>
          <w:sz w:val="20"/>
        </w:rPr>
        <w:t>,</w:t>
      </w:r>
      <w:r w:rsidR="00462F36">
        <w:rPr>
          <w:rFonts w:ascii="Arial" w:hAnsi="Arial"/>
          <w:sz w:val="20"/>
        </w:rPr>
        <w:t xml:space="preserve"> on July 31, 2019</w:t>
      </w:r>
      <w:r w:rsidR="009A2526">
        <w:rPr>
          <w:rFonts w:ascii="Arial" w:hAnsi="Arial"/>
          <w:sz w:val="20"/>
        </w:rPr>
        <w:t>,</w:t>
      </w:r>
      <w:r w:rsidR="00CE738F">
        <w:rPr>
          <w:rFonts w:ascii="Arial" w:hAnsi="Arial"/>
          <w:sz w:val="20"/>
        </w:rPr>
        <w:t xml:space="preserve"> the </w:t>
      </w:r>
      <w:r w:rsidR="009D04BD">
        <w:rPr>
          <w:rFonts w:ascii="Arial" w:hAnsi="Arial"/>
          <w:sz w:val="20"/>
        </w:rPr>
        <w:t xml:space="preserve">Contracts </w:t>
      </w:r>
      <w:r w:rsidR="00CE738F">
        <w:rPr>
          <w:rFonts w:ascii="Arial" w:hAnsi="Arial"/>
          <w:sz w:val="20"/>
        </w:rPr>
        <w:t xml:space="preserve">SC voted </w:t>
      </w:r>
      <w:r w:rsidR="004E034A">
        <w:rPr>
          <w:rFonts w:ascii="Arial" w:hAnsi="Arial"/>
          <w:sz w:val="20"/>
        </w:rPr>
        <w:t xml:space="preserve">on the recommendation for the NAESB WGQ Executive Committee to adopt </w:t>
      </w:r>
      <w:r w:rsidR="00CE738F">
        <w:rPr>
          <w:rFonts w:ascii="Arial" w:hAnsi="Arial"/>
          <w:sz w:val="20"/>
        </w:rPr>
        <w:t>the</w:t>
      </w:r>
      <w:r w:rsidR="009D04BD">
        <w:rPr>
          <w:rFonts w:ascii="Arial" w:hAnsi="Arial"/>
          <w:sz w:val="20"/>
        </w:rPr>
        <w:t xml:space="preserve"> update to the NASB WGQ </w:t>
      </w:r>
      <w:r w:rsidR="001A0D1A">
        <w:rPr>
          <w:rFonts w:ascii="Arial" w:hAnsi="Arial"/>
          <w:sz w:val="20"/>
        </w:rPr>
        <w:t>Base Cont</w:t>
      </w:r>
      <w:r w:rsidR="00502353">
        <w:rPr>
          <w:rFonts w:ascii="Arial" w:hAnsi="Arial"/>
          <w:sz w:val="20"/>
        </w:rPr>
        <w:t>r</w:t>
      </w:r>
      <w:r w:rsidR="001A0D1A">
        <w:rPr>
          <w:rFonts w:ascii="Arial" w:hAnsi="Arial"/>
          <w:sz w:val="20"/>
        </w:rPr>
        <w:t>act as set forth in Exhibit A</w:t>
      </w:r>
      <w:r w:rsidR="00CE738F">
        <w:rPr>
          <w:rFonts w:ascii="Arial" w:hAnsi="Arial"/>
          <w:sz w:val="20"/>
        </w:rPr>
        <w:t>.</w:t>
      </w:r>
    </w:p>
    <w:p w14:paraId="4716A7D1" w14:textId="69F92F73" w:rsidR="009827CE" w:rsidRDefault="00CE738F" w:rsidP="003577DD">
      <w:pPr>
        <w:pStyle w:val="DefaultText"/>
        <w:spacing w:after="120"/>
        <w:ind w:left="720"/>
        <w:jc w:val="both"/>
        <w:rPr>
          <w:rFonts w:ascii="Arial" w:hAnsi="Arial"/>
          <w:sz w:val="20"/>
        </w:rPr>
      </w:pPr>
      <w:r>
        <w:rPr>
          <w:rFonts w:ascii="Arial" w:hAnsi="Arial"/>
          <w:sz w:val="20"/>
        </w:rPr>
        <w:t xml:space="preserve">The </w:t>
      </w:r>
      <w:r w:rsidR="0058389F">
        <w:rPr>
          <w:rFonts w:ascii="Arial" w:hAnsi="Arial"/>
          <w:sz w:val="20"/>
        </w:rPr>
        <w:t>r</w:t>
      </w:r>
      <w:r>
        <w:rPr>
          <w:rFonts w:ascii="Arial" w:hAnsi="Arial"/>
          <w:sz w:val="20"/>
        </w:rPr>
        <w:t xml:space="preserve">esults </w:t>
      </w:r>
      <w:r w:rsidR="0058389F">
        <w:rPr>
          <w:rFonts w:ascii="Arial" w:hAnsi="Arial"/>
          <w:sz w:val="20"/>
        </w:rPr>
        <w:t xml:space="preserve">of the </w:t>
      </w:r>
      <w:r w:rsidR="00502353">
        <w:rPr>
          <w:rFonts w:ascii="Arial" w:hAnsi="Arial"/>
          <w:sz w:val="20"/>
        </w:rPr>
        <w:t xml:space="preserve">Contracts </w:t>
      </w:r>
      <w:r w:rsidR="0058389F">
        <w:rPr>
          <w:rFonts w:ascii="Arial" w:hAnsi="Arial"/>
          <w:sz w:val="20"/>
        </w:rPr>
        <w:t xml:space="preserve">SC vote </w:t>
      </w:r>
      <w:r w:rsidR="009040E4">
        <w:rPr>
          <w:rFonts w:ascii="Arial" w:hAnsi="Arial"/>
          <w:sz w:val="20"/>
        </w:rPr>
        <w:t xml:space="preserve">on the recommendation </w:t>
      </w:r>
      <w:r>
        <w:rPr>
          <w:rFonts w:ascii="Arial" w:hAnsi="Arial"/>
          <w:sz w:val="20"/>
        </w:rPr>
        <w:t>w</w:t>
      </w:r>
      <w:r w:rsidR="00F43D9C">
        <w:rPr>
          <w:rFonts w:ascii="Arial" w:hAnsi="Arial"/>
          <w:sz w:val="20"/>
        </w:rPr>
        <w:t>as</w:t>
      </w:r>
      <w:r>
        <w:rPr>
          <w:rFonts w:ascii="Arial" w:hAnsi="Arial"/>
          <w:sz w:val="20"/>
        </w:rPr>
        <w:t>:</w:t>
      </w:r>
    </w:p>
    <w:p w14:paraId="179E3BE0" w14:textId="77777777" w:rsidR="009827CE" w:rsidRDefault="009827CE" w:rsidP="003577DD">
      <w:pPr>
        <w:pStyle w:val="DefaultText"/>
        <w:spacing w:after="120"/>
        <w:ind w:left="720"/>
        <w:jc w:val="both"/>
        <w:rPr>
          <w:rFonts w:ascii="Arial" w:hAnsi="Arial"/>
          <w:sz w:val="20"/>
        </w:rPr>
      </w:pPr>
    </w:p>
    <w:tbl>
      <w:tblPr>
        <w:tblW w:w="7580" w:type="dxa"/>
        <w:jc w:val="center"/>
        <w:tblLook w:val="04A0" w:firstRow="1" w:lastRow="0" w:firstColumn="1" w:lastColumn="0" w:noHBand="0" w:noVBand="1"/>
      </w:tblPr>
      <w:tblGrid>
        <w:gridCol w:w="1820"/>
        <w:gridCol w:w="1087"/>
        <w:gridCol w:w="833"/>
        <w:gridCol w:w="1003"/>
        <w:gridCol w:w="1087"/>
        <w:gridCol w:w="833"/>
        <w:gridCol w:w="1109"/>
      </w:tblGrid>
      <w:tr w:rsidR="009827CE" w:rsidRPr="009827CE" w14:paraId="0472153C" w14:textId="77777777" w:rsidTr="00EF469B">
        <w:trPr>
          <w:trHeight w:val="250"/>
          <w:jc w:val="center"/>
        </w:trPr>
        <w:tc>
          <w:tcPr>
            <w:tcW w:w="1820" w:type="dxa"/>
            <w:tcBorders>
              <w:top w:val="single" w:sz="8" w:space="0" w:color="auto"/>
              <w:left w:val="single" w:sz="8" w:space="0" w:color="auto"/>
              <w:bottom w:val="single" w:sz="4" w:space="0" w:color="auto"/>
              <w:right w:val="single" w:sz="4" w:space="0" w:color="auto"/>
            </w:tcBorders>
            <w:noWrap/>
            <w:hideMark/>
          </w:tcPr>
          <w:p w14:paraId="4B30DFC1" w14:textId="77777777" w:rsidR="009827CE" w:rsidRPr="009827CE" w:rsidRDefault="009827CE" w:rsidP="009827CE">
            <w:pPr>
              <w:rPr>
                <w:sz w:val="24"/>
                <w:szCs w:val="22"/>
              </w:rPr>
            </w:pPr>
            <w:r w:rsidRPr="009827CE">
              <w:rPr>
                <w:sz w:val="24"/>
                <w:szCs w:val="22"/>
              </w:rPr>
              <w:t>Segment</w:t>
            </w:r>
          </w:p>
        </w:tc>
        <w:tc>
          <w:tcPr>
            <w:tcW w:w="1920" w:type="dxa"/>
            <w:gridSpan w:val="2"/>
            <w:tcBorders>
              <w:top w:val="single" w:sz="8" w:space="0" w:color="auto"/>
              <w:left w:val="nil"/>
              <w:bottom w:val="single" w:sz="4" w:space="0" w:color="auto"/>
              <w:right w:val="nil"/>
            </w:tcBorders>
            <w:noWrap/>
            <w:hideMark/>
          </w:tcPr>
          <w:p w14:paraId="2D04DF5B" w14:textId="77777777" w:rsidR="009827CE" w:rsidRPr="009827CE" w:rsidRDefault="009827CE" w:rsidP="009827CE">
            <w:pPr>
              <w:rPr>
                <w:sz w:val="24"/>
                <w:szCs w:val="22"/>
              </w:rPr>
            </w:pPr>
            <w:r w:rsidRPr="009827CE">
              <w:rPr>
                <w:sz w:val="24"/>
                <w:szCs w:val="22"/>
              </w:rPr>
              <w:t>Votes Cast</w:t>
            </w:r>
          </w:p>
        </w:tc>
        <w:tc>
          <w:tcPr>
            <w:tcW w:w="960" w:type="dxa"/>
            <w:tcBorders>
              <w:top w:val="single" w:sz="8" w:space="0" w:color="auto"/>
              <w:left w:val="nil"/>
              <w:bottom w:val="single" w:sz="4" w:space="0" w:color="auto"/>
              <w:right w:val="single" w:sz="8" w:space="0" w:color="auto"/>
            </w:tcBorders>
            <w:noWrap/>
            <w:hideMark/>
          </w:tcPr>
          <w:p w14:paraId="2EF983A5" w14:textId="77777777" w:rsidR="009827CE" w:rsidRPr="009827CE" w:rsidRDefault="009827CE" w:rsidP="009827CE">
            <w:pPr>
              <w:rPr>
                <w:sz w:val="24"/>
                <w:szCs w:val="22"/>
              </w:rPr>
            </w:pPr>
          </w:p>
        </w:tc>
        <w:tc>
          <w:tcPr>
            <w:tcW w:w="1920" w:type="dxa"/>
            <w:gridSpan w:val="2"/>
            <w:tcBorders>
              <w:top w:val="single" w:sz="8" w:space="0" w:color="auto"/>
              <w:left w:val="nil"/>
              <w:bottom w:val="single" w:sz="4" w:space="0" w:color="auto"/>
              <w:right w:val="nil"/>
            </w:tcBorders>
            <w:noWrap/>
            <w:hideMark/>
          </w:tcPr>
          <w:p w14:paraId="353C25C3" w14:textId="77777777" w:rsidR="009827CE" w:rsidRPr="009827CE" w:rsidRDefault="009827CE" w:rsidP="009827CE">
            <w:pPr>
              <w:rPr>
                <w:sz w:val="24"/>
                <w:szCs w:val="22"/>
              </w:rPr>
            </w:pPr>
          </w:p>
        </w:tc>
        <w:tc>
          <w:tcPr>
            <w:tcW w:w="960" w:type="dxa"/>
            <w:tcBorders>
              <w:top w:val="single" w:sz="8" w:space="0" w:color="auto"/>
              <w:left w:val="nil"/>
              <w:bottom w:val="single" w:sz="4" w:space="0" w:color="auto"/>
              <w:right w:val="single" w:sz="8" w:space="0" w:color="auto"/>
            </w:tcBorders>
            <w:noWrap/>
            <w:hideMark/>
          </w:tcPr>
          <w:p w14:paraId="5F8174FE" w14:textId="77777777" w:rsidR="009827CE" w:rsidRPr="009827CE" w:rsidRDefault="009827CE" w:rsidP="009827CE">
            <w:pPr>
              <w:rPr>
                <w:sz w:val="24"/>
                <w:szCs w:val="22"/>
              </w:rPr>
            </w:pPr>
            <w:r w:rsidRPr="009827CE">
              <w:rPr>
                <w:sz w:val="24"/>
                <w:szCs w:val="22"/>
              </w:rPr>
              <w:t>Balanced Vote</w:t>
            </w:r>
          </w:p>
        </w:tc>
      </w:tr>
      <w:tr w:rsidR="009827CE" w:rsidRPr="009827CE" w14:paraId="6B3C6374" w14:textId="77777777" w:rsidTr="00EF469B">
        <w:trPr>
          <w:trHeight w:val="250"/>
          <w:jc w:val="center"/>
        </w:trPr>
        <w:tc>
          <w:tcPr>
            <w:tcW w:w="1820" w:type="dxa"/>
            <w:tcBorders>
              <w:top w:val="nil"/>
              <w:left w:val="single" w:sz="8" w:space="0" w:color="auto"/>
              <w:bottom w:val="nil"/>
              <w:right w:val="single" w:sz="4" w:space="0" w:color="auto"/>
            </w:tcBorders>
            <w:noWrap/>
            <w:hideMark/>
          </w:tcPr>
          <w:p w14:paraId="27A553EC" w14:textId="77777777" w:rsidR="009827CE" w:rsidRPr="009827CE" w:rsidRDefault="009827CE" w:rsidP="009827CE">
            <w:pPr>
              <w:rPr>
                <w:sz w:val="24"/>
                <w:szCs w:val="22"/>
              </w:rPr>
            </w:pPr>
          </w:p>
        </w:tc>
        <w:tc>
          <w:tcPr>
            <w:tcW w:w="1087" w:type="dxa"/>
            <w:noWrap/>
            <w:hideMark/>
          </w:tcPr>
          <w:p w14:paraId="0C915643" w14:textId="77777777" w:rsidR="009827CE" w:rsidRPr="009827CE" w:rsidRDefault="009827CE" w:rsidP="009827CE">
            <w:pPr>
              <w:rPr>
                <w:sz w:val="24"/>
                <w:szCs w:val="22"/>
              </w:rPr>
            </w:pPr>
            <w:r w:rsidRPr="009827CE">
              <w:rPr>
                <w:sz w:val="24"/>
                <w:szCs w:val="22"/>
              </w:rPr>
              <w:t>YES</w:t>
            </w:r>
          </w:p>
        </w:tc>
        <w:tc>
          <w:tcPr>
            <w:tcW w:w="833" w:type="dxa"/>
            <w:noWrap/>
            <w:hideMark/>
          </w:tcPr>
          <w:p w14:paraId="3EA6ED6E" w14:textId="77777777" w:rsidR="009827CE" w:rsidRPr="009827CE" w:rsidRDefault="009827CE" w:rsidP="009827CE">
            <w:pPr>
              <w:rPr>
                <w:sz w:val="24"/>
                <w:szCs w:val="22"/>
              </w:rPr>
            </w:pPr>
            <w:r w:rsidRPr="009827CE">
              <w:rPr>
                <w:sz w:val="24"/>
                <w:szCs w:val="22"/>
              </w:rPr>
              <w:t>NO</w:t>
            </w:r>
          </w:p>
        </w:tc>
        <w:tc>
          <w:tcPr>
            <w:tcW w:w="960" w:type="dxa"/>
            <w:tcBorders>
              <w:top w:val="nil"/>
              <w:left w:val="nil"/>
              <w:bottom w:val="nil"/>
              <w:right w:val="single" w:sz="8" w:space="0" w:color="auto"/>
            </w:tcBorders>
            <w:noWrap/>
            <w:hideMark/>
          </w:tcPr>
          <w:p w14:paraId="24EF6B6E" w14:textId="77777777" w:rsidR="009827CE" w:rsidRPr="009827CE" w:rsidRDefault="009827CE" w:rsidP="009827CE">
            <w:pPr>
              <w:rPr>
                <w:sz w:val="24"/>
                <w:szCs w:val="22"/>
              </w:rPr>
            </w:pPr>
            <w:r w:rsidRPr="009827CE">
              <w:rPr>
                <w:sz w:val="24"/>
                <w:szCs w:val="22"/>
              </w:rPr>
              <w:t>TOTAL</w:t>
            </w:r>
          </w:p>
        </w:tc>
        <w:tc>
          <w:tcPr>
            <w:tcW w:w="1087" w:type="dxa"/>
            <w:noWrap/>
            <w:hideMark/>
          </w:tcPr>
          <w:p w14:paraId="0FF925F8" w14:textId="77777777" w:rsidR="009827CE" w:rsidRPr="009827CE" w:rsidRDefault="009827CE" w:rsidP="009827CE">
            <w:pPr>
              <w:rPr>
                <w:sz w:val="24"/>
                <w:szCs w:val="22"/>
              </w:rPr>
            </w:pPr>
            <w:r w:rsidRPr="009827CE">
              <w:rPr>
                <w:sz w:val="24"/>
                <w:szCs w:val="22"/>
              </w:rPr>
              <w:t>YES</w:t>
            </w:r>
          </w:p>
        </w:tc>
        <w:tc>
          <w:tcPr>
            <w:tcW w:w="833" w:type="dxa"/>
            <w:noWrap/>
            <w:vAlign w:val="bottom"/>
            <w:hideMark/>
          </w:tcPr>
          <w:p w14:paraId="643247C0" w14:textId="77777777" w:rsidR="009827CE" w:rsidRPr="009827CE" w:rsidRDefault="009827CE" w:rsidP="009827CE">
            <w:pPr>
              <w:rPr>
                <w:sz w:val="24"/>
                <w:szCs w:val="22"/>
              </w:rPr>
            </w:pPr>
            <w:r w:rsidRPr="009827CE">
              <w:rPr>
                <w:sz w:val="24"/>
                <w:szCs w:val="22"/>
              </w:rPr>
              <w:t>NO</w:t>
            </w:r>
          </w:p>
        </w:tc>
        <w:tc>
          <w:tcPr>
            <w:tcW w:w="960" w:type="dxa"/>
            <w:tcBorders>
              <w:top w:val="nil"/>
              <w:left w:val="nil"/>
              <w:bottom w:val="nil"/>
              <w:right w:val="single" w:sz="8" w:space="0" w:color="auto"/>
            </w:tcBorders>
            <w:noWrap/>
            <w:vAlign w:val="bottom"/>
            <w:hideMark/>
          </w:tcPr>
          <w:p w14:paraId="77F7747A" w14:textId="77777777" w:rsidR="009827CE" w:rsidRPr="009827CE" w:rsidRDefault="009827CE" w:rsidP="009827CE">
            <w:pPr>
              <w:rPr>
                <w:sz w:val="24"/>
                <w:szCs w:val="22"/>
              </w:rPr>
            </w:pPr>
            <w:r w:rsidRPr="009827CE">
              <w:rPr>
                <w:sz w:val="24"/>
                <w:szCs w:val="22"/>
              </w:rPr>
              <w:t>TOTAL</w:t>
            </w:r>
          </w:p>
        </w:tc>
      </w:tr>
      <w:tr w:rsidR="009827CE" w:rsidRPr="009827CE" w14:paraId="5C7D9129" w14:textId="77777777" w:rsidTr="00EF469B">
        <w:trPr>
          <w:trHeight w:val="250"/>
          <w:jc w:val="center"/>
        </w:trPr>
        <w:tc>
          <w:tcPr>
            <w:tcW w:w="1820" w:type="dxa"/>
            <w:tcBorders>
              <w:top w:val="nil"/>
              <w:left w:val="single" w:sz="8" w:space="0" w:color="auto"/>
              <w:bottom w:val="nil"/>
              <w:right w:val="single" w:sz="4" w:space="0" w:color="auto"/>
            </w:tcBorders>
            <w:noWrap/>
            <w:hideMark/>
          </w:tcPr>
          <w:p w14:paraId="06C05227" w14:textId="77777777" w:rsidR="009827CE" w:rsidRPr="009827CE" w:rsidRDefault="009827CE" w:rsidP="009827CE">
            <w:pPr>
              <w:rPr>
                <w:sz w:val="24"/>
                <w:szCs w:val="22"/>
              </w:rPr>
            </w:pPr>
            <w:r w:rsidRPr="009827CE">
              <w:rPr>
                <w:sz w:val="24"/>
                <w:szCs w:val="22"/>
              </w:rPr>
              <w:t>End Users</w:t>
            </w:r>
          </w:p>
        </w:tc>
        <w:tc>
          <w:tcPr>
            <w:tcW w:w="1087" w:type="dxa"/>
            <w:noWrap/>
            <w:hideMark/>
          </w:tcPr>
          <w:p w14:paraId="1B1C6322" w14:textId="77777777" w:rsidR="009827CE" w:rsidRPr="009827CE" w:rsidRDefault="009827CE" w:rsidP="009827CE">
            <w:pPr>
              <w:rPr>
                <w:sz w:val="24"/>
                <w:szCs w:val="22"/>
              </w:rPr>
            </w:pPr>
            <w:r w:rsidRPr="009827CE">
              <w:rPr>
                <w:sz w:val="24"/>
                <w:szCs w:val="22"/>
              </w:rPr>
              <w:t>1</w:t>
            </w:r>
          </w:p>
        </w:tc>
        <w:tc>
          <w:tcPr>
            <w:tcW w:w="833" w:type="dxa"/>
            <w:noWrap/>
            <w:hideMark/>
          </w:tcPr>
          <w:p w14:paraId="2B13D556" w14:textId="77777777" w:rsidR="009827CE" w:rsidRPr="009827CE" w:rsidRDefault="009827CE" w:rsidP="009827CE">
            <w:pPr>
              <w:rPr>
                <w:sz w:val="24"/>
                <w:szCs w:val="22"/>
              </w:rPr>
            </w:pPr>
            <w:r w:rsidRPr="009827CE">
              <w:rPr>
                <w:sz w:val="24"/>
                <w:szCs w:val="22"/>
              </w:rPr>
              <w:t>0</w:t>
            </w:r>
          </w:p>
        </w:tc>
        <w:tc>
          <w:tcPr>
            <w:tcW w:w="960" w:type="dxa"/>
            <w:tcBorders>
              <w:top w:val="nil"/>
              <w:left w:val="nil"/>
              <w:bottom w:val="nil"/>
              <w:right w:val="single" w:sz="8" w:space="0" w:color="auto"/>
            </w:tcBorders>
            <w:noWrap/>
            <w:hideMark/>
          </w:tcPr>
          <w:p w14:paraId="32EC10BF" w14:textId="77777777" w:rsidR="009827CE" w:rsidRPr="009827CE" w:rsidRDefault="009827CE" w:rsidP="009827CE">
            <w:pPr>
              <w:rPr>
                <w:sz w:val="24"/>
                <w:szCs w:val="22"/>
              </w:rPr>
            </w:pPr>
            <w:r w:rsidRPr="009827CE">
              <w:rPr>
                <w:sz w:val="24"/>
                <w:szCs w:val="22"/>
              </w:rPr>
              <w:t>1</w:t>
            </w:r>
          </w:p>
        </w:tc>
        <w:tc>
          <w:tcPr>
            <w:tcW w:w="1087" w:type="dxa"/>
            <w:noWrap/>
            <w:hideMark/>
          </w:tcPr>
          <w:p w14:paraId="254B3453" w14:textId="77777777" w:rsidR="009827CE" w:rsidRPr="009827CE" w:rsidRDefault="009827CE" w:rsidP="009827CE">
            <w:pPr>
              <w:rPr>
                <w:sz w:val="24"/>
                <w:szCs w:val="22"/>
              </w:rPr>
            </w:pPr>
            <w:r w:rsidRPr="009827CE">
              <w:rPr>
                <w:sz w:val="24"/>
                <w:szCs w:val="22"/>
              </w:rPr>
              <w:t>1</w:t>
            </w:r>
          </w:p>
        </w:tc>
        <w:tc>
          <w:tcPr>
            <w:tcW w:w="833" w:type="dxa"/>
            <w:noWrap/>
            <w:vAlign w:val="bottom"/>
            <w:hideMark/>
          </w:tcPr>
          <w:p w14:paraId="51230BD3" w14:textId="77777777" w:rsidR="009827CE" w:rsidRPr="009827CE" w:rsidRDefault="009827CE" w:rsidP="009827CE">
            <w:pPr>
              <w:rPr>
                <w:sz w:val="24"/>
                <w:szCs w:val="22"/>
              </w:rPr>
            </w:pPr>
            <w:r w:rsidRPr="009827CE">
              <w:rPr>
                <w:sz w:val="24"/>
                <w:szCs w:val="22"/>
              </w:rPr>
              <w:t>0</w:t>
            </w:r>
          </w:p>
        </w:tc>
        <w:tc>
          <w:tcPr>
            <w:tcW w:w="960" w:type="dxa"/>
            <w:tcBorders>
              <w:top w:val="nil"/>
              <w:left w:val="nil"/>
              <w:bottom w:val="nil"/>
              <w:right w:val="single" w:sz="8" w:space="0" w:color="auto"/>
            </w:tcBorders>
            <w:noWrap/>
            <w:vAlign w:val="bottom"/>
            <w:hideMark/>
          </w:tcPr>
          <w:p w14:paraId="488975EB" w14:textId="77777777" w:rsidR="009827CE" w:rsidRPr="009827CE" w:rsidRDefault="009827CE" w:rsidP="009827CE">
            <w:pPr>
              <w:rPr>
                <w:sz w:val="24"/>
                <w:szCs w:val="22"/>
              </w:rPr>
            </w:pPr>
            <w:r w:rsidRPr="009827CE">
              <w:rPr>
                <w:sz w:val="24"/>
                <w:szCs w:val="22"/>
              </w:rPr>
              <w:t>0</w:t>
            </w:r>
          </w:p>
        </w:tc>
      </w:tr>
      <w:tr w:rsidR="009827CE" w:rsidRPr="009827CE" w14:paraId="1612B75E" w14:textId="77777777" w:rsidTr="00EF469B">
        <w:trPr>
          <w:trHeight w:val="250"/>
          <w:jc w:val="center"/>
        </w:trPr>
        <w:tc>
          <w:tcPr>
            <w:tcW w:w="1820" w:type="dxa"/>
            <w:tcBorders>
              <w:top w:val="nil"/>
              <w:left w:val="single" w:sz="8" w:space="0" w:color="auto"/>
              <w:bottom w:val="nil"/>
              <w:right w:val="single" w:sz="4" w:space="0" w:color="auto"/>
            </w:tcBorders>
            <w:noWrap/>
            <w:hideMark/>
          </w:tcPr>
          <w:p w14:paraId="5836B519" w14:textId="77777777" w:rsidR="009827CE" w:rsidRPr="009827CE" w:rsidRDefault="009827CE" w:rsidP="009827CE">
            <w:pPr>
              <w:rPr>
                <w:sz w:val="24"/>
                <w:szCs w:val="22"/>
              </w:rPr>
            </w:pPr>
            <w:r w:rsidRPr="009827CE">
              <w:rPr>
                <w:sz w:val="24"/>
                <w:szCs w:val="22"/>
              </w:rPr>
              <w:t>LDCs</w:t>
            </w:r>
          </w:p>
        </w:tc>
        <w:tc>
          <w:tcPr>
            <w:tcW w:w="1087" w:type="dxa"/>
            <w:noWrap/>
            <w:hideMark/>
          </w:tcPr>
          <w:p w14:paraId="45CE6CCE" w14:textId="77777777" w:rsidR="009827CE" w:rsidRPr="009827CE" w:rsidRDefault="009827CE" w:rsidP="009827CE">
            <w:pPr>
              <w:rPr>
                <w:sz w:val="24"/>
                <w:szCs w:val="22"/>
              </w:rPr>
            </w:pPr>
            <w:r w:rsidRPr="009827CE">
              <w:rPr>
                <w:sz w:val="24"/>
                <w:szCs w:val="22"/>
              </w:rPr>
              <w:t>1</w:t>
            </w:r>
          </w:p>
        </w:tc>
        <w:tc>
          <w:tcPr>
            <w:tcW w:w="833" w:type="dxa"/>
            <w:noWrap/>
            <w:hideMark/>
          </w:tcPr>
          <w:p w14:paraId="1B30E3D2" w14:textId="77777777" w:rsidR="009827CE" w:rsidRPr="009827CE" w:rsidRDefault="009827CE" w:rsidP="009827CE">
            <w:pPr>
              <w:rPr>
                <w:sz w:val="24"/>
                <w:szCs w:val="22"/>
              </w:rPr>
            </w:pPr>
            <w:r w:rsidRPr="009827CE">
              <w:rPr>
                <w:sz w:val="24"/>
                <w:szCs w:val="22"/>
              </w:rPr>
              <w:t>0</w:t>
            </w:r>
          </w:p>
        </w:tc>
        <w:tc>
          <w:tcPr>
            <w:tcW w:w="960" w:type="dxa"/>
            <w:tcBorders>
              <w:top w:val="nil"/>
              <w:left w:val="nil"/>
              <w:bottom w:val="nil"/>
              <w:right w:val="single" w:sz="8" w:space="0" w:color="auto"/>
            </w:tcBorders>
            <w:noWrap/>
            <w:hideMark/>
          </w:tcPr>
          <w:p w14:paraId="3DA09F9E" w14:textId="77777777" w:rsidR="009827CE" w:rsidRPr="009827CE" w:rsidRDefault="009827CE" w:rsidP="009827CE">
            <w:pPr>
              <w:rPr>
                <w:sz w:val="24"/>
                <w:szCs w:val="22"/>
              </w:rPr>
            </w:pPr>
            <w:r w:rsidRPr="009827CE">
              <w:rPr>
                <w:sz w:val="24"/>
                <w:szCs w:val="22"/>
              </w:rPr>
              <w:t>1</w:t>
            </w:r>
          </w:p>
        </w:tc>
        <w:tc>
          <w:tcPr>
            <w:tcW w:w="1087" w:type="dxa"/>
            <w:noWrap/>
            <w:hideMark/>
          </w:tcPr>
          <w:p w14:paraId="5618504E" w14:textId="77777777" w:rsidR="009827CE" w:rsidRPr="009827CE" w:rsidRDefault="009827CE" w:rsidP="009827CE">
            <w:pPr>
              <w:rPr>
                <w:sz w:val="24"/>
                <w:szCs w:val="22"/>
              </w:rPr>
            </w:pPr>
            <w:r w:rsidRPr="009827CE">
              <w:rPr>
                <w:sz w:val="24"/>
                <w:szCs w:val="22"/>
              </w:rPr>
              <w:t>1</w:t>
            </w:r>
          </w:p>
        </w:tc>
        <w:tc>
          <w:tcPr>
            <w:tcW w:w="833" w:type="dxa"/>
            <w:noWrap/>
            <w:vAlign w:val="bottom"/>
            <w:hideMark/>
          </w:tcPr>
          <w:p w14:paraId="7DCDAD5A" w14:textId="77777777" w:rsidR="009827CE" w:rsidRPr="009827CE" w:rsidRDefault="009827CE" w:rsidP="009827CE">
            <w:pPr>
              <w:rPr>
                <w:sz w:val="24"/>
                <w:szCs w:val="22"/>
              </w:rPr>
            </w:pPr>
            <w:r w:rsidRPr="009827CE">
              <w:rPr>
                <w:sz w:val="24"/>
                <w:szCs w:val="22"/>
              </w:rPr>
              <w:t>0</w:t>
            </w:r>
          </w:p>
        </w:tc>
        <w:tc>
          <w:tcPr>
            <w:tcW w:w="960" w:type="dxa"/>
            <w:tcBorders>
              <w:top w:val="nil"/>
              <w:left w:val="nil"/>
              <w:bottom w:val="nil"/>
              <w:right w:val="single" w:sz="8" w:space="0" w:color="auto"/>
            </w:tcBorders>
            <w:noWrap/>
            <w:vAlign w:val="bottom"/>
            <w:hideMark/>
          </w:tcPr>
          <w:p w14:paraId="568060E9" w14:textId="77777777" w:rsidR="009827CE" w:rsidRPr="009827CE" w:rsidRDefault="009827CE" w:rsidP="009827CE">
            <w:pPr>
              <w:rPr>
                <w:sz w:val="24"/>
                <w:szCs w:val="22"/>
              </w:rPr>
            </w:pPr>
            <w:r w:rsidRPr="009827CE">
              <w:rPr>
                <w:sz w:val="24"/>
                <w:szCs w:val="22"/>
              </w:rPr>
              <w:t>1</w:t>
            </w:r>
          </w:p>
        </w:tc>
      </w:tr>
      <w:tr w:rsidR="009827CE" w:rsidRPr="009827CE" w14:paraId="3C675BAA" w14:textId="77777777" w:rsidTr="00EF469B">
        <w:trPr>
          <w:trHeight w:val="250"/>
          <w:jc w:val="center"/>
        </w:trPr>
        <w:tc>
          <w:tcPr>
            <w:tcW w:w="1820" w:type="dxa"/>
            <w:tcBorders>
              <w:top w:val="nil"/>
              <w:left w:val="single" w:sz="8" w:space="0" w:color="auto"/>
              <w:bottom w:val="nil"/>
              <w:right w:val="single" w:sz="4" w:space="0" w:color="auto"/>
            </w:tcBorders>
            <w:noWrap/>
            <w:hideMark/>
          </w:tcPr>
          <w:p w14:paraId="67115A20" w14:textId="77777777" w:rsidR="009827CE" w:rsidRPr="009827CE" w:rsidRDefault="009827CE" w:rsidP="009827CE">
            <w:pPr>
              <w:rPr>
                <w:sz w:val="24"/>
                <w:szCs w:val="22"/>
              </w:rPr>
            </w:pPr>
            <w:r w:rsidRPr="009827CE">
              <w:rPr>
                <w:sz w:val="24"/>
                <w:szCs w:val="22"/>
              </w:rPr>
              <w:t>Pipeline</w:t>
            </w:r>
          </w:p>
        </w:tc>
        <w:tc>
          <w:tcPr>
            <w:tcW w:w="1087" w:type="dxa"/>
            <w:noWrap/>
            <w:hideMark/>
          </w:tcPr>
          <w:p w14:paraId="1FBB7AAF" w14:textId="77777777" w:rsidR="009827CE" w:rsidRPr="009827CE" w:rsidRDefault="009827CE" w:rsidP="009827CE">
            <w:pPr>
              <w:rPr>
                <w:sz w:val="24"/>
                <w:szCs w:val="22"/>
              </w:rPr>
            </w:pPr>
            <w:r w:rsidRPr="009827CE">
              <w:rPr>
                <w:sz w:val="24"/>
                <w:szCs w:val="22"/>
              </w:rPr>
              <w:t>3</w:t>
            </w:r>
          </w:p>
        </w:tc>
        <w:tc>
          <w:tcPr>
            <w:tcW w:w="833" w:type="dxa"/>
            <w:noWrap/>
            <w:hideMark/>
          </w:tcPr>
          <w:p w14:paraId="765E451E" w14:textId="77777777" w:rsidR="009827CE" w:rsidRPr="009827CE" w:rsidRDefault="009827CE" w:rsidP="009827CE">
            <w:pPr>
              <w:rPr>
                <w:sz w:val="24"/>
                <w:szCs w:val="22"/>
              </w:rPr>
            </w:pPr>
            <w:r w:rsidRPr="009827CE">
              <w:rPr>
                <w:sz w:val="24"/>
                <w:szCs w:val="22"/>
              </w:rPr>
              <w:t>1</w:t>
            </w:r>
          </w:p>
        </w:tc>
        <w:tc>
          <w:tcPr>
            <w:tcW w:w="960" w:type="dxa"/>
            <w:tcBorders>
              <w:top w:val="nil"/>
              <w:left w:val="nil"/>
              <w:bottom w:val="nil"/>
              <w:right w:val="single" w:sz="8" w:space="0" w:color="auto"/>
            </w:tcBorders>
            <w:noWrap/>
            <w:hideMark/>
          </w:tcPr>
          <w:p w14:paraId="198E7CEC" w14:textId="77777777" w:rsidR="009827CE" w:rsidRPr="009827CE" w:rsidRDefault="009827CE" w:rsidP="009827CE">
            <w:pPr>
              <w:rPr>
                <w:sz w:val="24"/>
                <w:szCs w:val="22"/>
              </w:rPr>
            </w:pPr>
            <w:r w:rsidRPr="009827CE">
              <w:rPr>
                <w:sz w:val="24"/>
                <w:szCs w:val="22"/>
              </w:rPr>
              <w:t>4</w:t>
            </w:r>
          </w:p>
        </w:tc>
        <w:tc>
          <w:tcPr>
            <w:tcW w:w="1087" w:type="dxa"/>
            <w:noWrap/>
            <w:hideMark/>
          </w:tcPr>
          <w:p w14:paraId="0A5B284E" w14:textId="77777777" w:rsidR="009827CE" w:rsidRPr="009827CE" w:rsidRDefault="009827CE" w:rsidP="009827CE">
            <w:pPr>
              <w:rPr>
                <w:sz w:val="24"/>
                <w:szCs w:val="22"/>
              </w:rPr>
            </w:pPr>
            <w:r w:rsidRPr="009827CE">
              <w:rPr>
                <w:sz w:val="24"/>
                <w:szCs w:val="22"/>
              </w:rPr>
              <w:t>1.5</w:t>
            </w:r>
          </w:p>
        </w:tc>
        <w:tc>
          <w:tcPr>
            <w:tcW w:w="833" w:type="dxa"/>
            <w:noWrap/>
            <w:vAlign w:val="bottom"/>
            <w:hideMark/>
          </w:tcPr>
          <w:p w14:paraId="6625DF26" w14:textId="77777777" w:rsidR="009827CE" w:rsidRPr="009827CE" w:rsidRDefault="009827CE" w:rsidP="009827CE">
            <w:pPr>
              <w:rPr>
                <w:sz w:val="24"/>
                <w:szCs w:val="22"/>
              </w:rPr>
            </w:pPr>
            <w:r w:rsidRPr="009827CE">
              <w:rPr>
                <w:sz w:val="24"/>
                <w:szCs w:val="22"/>
              </w:rPr>
              <w:t>0.5</w:t>
            </w:r>
          </w:p>
        </w:tc>
        <w:tc>
          <w:tcPr>
            <w:tcW w:w="960" w:type="dxa"/>
            <w:tcBorders>
              <w:top w:val="nil"/>
              <w:left w:val="nil"/>
              <w:bottom w:val="nil"/>
              <w:right w:val="single" w:sz="8" w:space="0" w:color="auto"/>
            </w:tcBorders>
            <w:noWrap/>
            <w:vAlign w:val="bottom"/>
            <w:hideMark/>
          </w:tcPr>
          <w:p w14:paraId="55EE9217" w14:textId="77777777" w:rsidR="009827CE" w:rsidRPr="009827CE" w:rsidRDefault="009827CE" w:rsidP="009827CE">
            <w:pPr>
              <w:rPr>
                <w:sz w:val="24"/>
                <w:szCs w:val="22"/>
              </w:rPr>
            </w:pPr>
            <w:r w:rsidRPr="009827CE">
              <w:rPr>
                <w:sz w:val="24"/>
                <w:szCs w:val="22"/>
              </w:rPr>
              <w:t>2</w:t>
            </w:r>
          </w:p>
        </w:tc>
      </w:tr>
      <w:tr w:rsidR="009827CE" w:rsidRPr="009827CE" w14:paraId="01E81B02" w14:textId="77777777" w:rsidTr="00EF469B">
        <w:trPr>
          <w:trHeight w:val="250"/>
          <w:jc w:val="center"/>
        </w:trPr>
        <w:tc>
          <w:tcPr>
            <w:tcW w:w="1820" w:type="dxa"/>
            <w:tcBorders>
              <w:top w:val="nil"/>
              <w:left w:val="single" w:sz="8" w:space="0" w:color="auto"/>
              <w:bottom w:val="nil"/>
              <w:right w:val="single" w:sz="4" w:space="0" w:color="auto"/>
            </w:tcBorders>
            <w:noWrap/>
            <w:hideMark/>
          </w:tcPr>
          <w:p w14:paraId="64346465" w14:textId="77777777" w:rsidR="009827CE" w:rsidRPr="009827CE" w:rsidRDefault="009827CE" w:rsidP="009827CE">
            <w:pPr>
              <w:rPr>
                <w:sz w:val="24"/>
                <w:szCs w:val="22"/>
              </w:rPr>
            </w:pPr>
            <w:r w:rsidRPr="009827CE">
              <w:rPr>
                <w:sz w:val="24"/>
                <w:szCs w:val="22"/>
              </w:rPr>
              <w:t>Producer</w:t>
            </w:r>
          </w:p>
        </w:tc>
        <w:tc>
          <w:tcPr>
            <w:tcW w:w="1087" w:type="dxa"/>
            <w:noWrap/>
            <w:hideMark/>
          </w:tcPr>
          <w:p w14:paraId="48FC5626" w14:textId="77777777" w:rsidR="009827CE" w:rsidRPr="009827CE" w:rsidRDefault="009827CE" w:rsidP="009827CE">
            <w:pPr>
              <w:rPr>
                <w:sz w:val="24"/>
                <w:szCs w:val="22"/>
              </w:rPr>
            </w:pPr>
            <w:r w:rsidRPr="009827CE">
              <w:rPr>
                <w:sz w:val="24"/>
                <w:szCs w:val="22"/>
              </w:rPr>
              <w:t>1</w:t>
            </w:r>
          </w:p>
        </w:tc>
        <w:tc>
          <w:tcPr>
            <w:tcW w:w="833" w:type="dxa"/>
            <w:noWrap/>
            <w:hideMark/>
          </w:tcPr>
          <w:p w14:paraId="1381D962" w14:textId="77777777" w:rsidR="009827CE" w:rsidRPr="009827CE" w:rsidRDefault="009827CE" w:rsidP="009827CE">
            <w:pPr>
              <w:rPr>
                <w:sz w:val="24"/>
                <w:szCs w:val="22"/>
              </w:rPr>
            </w:pPr>
            <w:r w:rsidRPr="009827CE">
              <w:rPr>
                <w:sz w:val="24"/>
                <w:szCs w:val="22"/>
              </w:rPr>
              <w:t>0</w:t>
            </w:r>
          </w:p>
        </w:tc>
        <w:tc>
          <w:tcPr>
            <w:tcW w:w="960" w:type="dxa"/>
            <w:tcBorders>
              <w:top w:val="nil"/>
              <w:left w:val="nil"/>
              <w:bottom w:val="nil"/>
              <w:right w:val="single" w:sz="8" w:space="0" w:color="auto"/>
            </w:tcBorders>
            <w:noWrap/>
            <w:hideMark/>
          </w:tcPr>
          <w:p w14:paraId="777D3574" w14:textId="77777777" w:rsidR="009827CE" w:rsidRPr="009827CE" w:rsidRDefault="009827CE" w:rsidP="009827CE">
            <w:pPr>
              <w:rPr>
                <w:sz w:val="24"/>
                <w:szCs w:val="22"/>
              </w:rPr>
            </w:pPr>
            <w:r w:rsidRPr="009827CE">
              <w:rPr>
                <w:sz w:val="24"/>
                <w:szCs w:val="22"/>
              </w:rPr>
              <w:t>1</w:t>
            </w:r>
          </w:p>
        </w:tc>
        <w:tc>
          <w:tcPr>
            <w:tcW w:w="1087" w:type="dxa"/>
            <w:noWrap/>
            <w:hideMark/>
          </w:tcPr>
          <w:p w14:paraId="19788D77" w14:textId="77777777" w:rsidR="009827CE" w:rsidRPr="009827CE" w:rsidRDefault="009827CE" w:rsidP="009827CE">
            <w:pPr>
              <w:rPr>
                <w:sz w:val="24"/>
                <w:szCs w:val="22"/>
              </w:rPr>
            </w:pPr>
            <w:r w:rsidRPr="009827CE">
              <w:rPr>
                <w:sz w:val="24"/>
                <w:szCs w:val="22"/>
              </w:rPr>
              <w:t>1</w:t>
            </w:r>
          </w:p>
        </w:tc>
        <w:tc>
          <w:tcPr>
            <w:tcW w:w="833" w:type="dxa"/>
            <w:noWrap/>
            <w:vAlign w:val="bottom"/>
            <w:hideMark/>
          </w:tcPr>
          <w:p w14:paraId="40D7DE7B" w14:textId="77777777" w:rsidR="009827CE" w:rsidRPr="009827CE" w:rsidRDefault="009827CE" w:rsidP="009827CE">
            <w:pPr>
              <w:rPr>
                <w:sz w:val="24"/>
                <w:szCs w:val="22"/>
              </w:rPr>
            </w:pPr>
            <w:r w:rsidRPr="009827CE">
              <w:rPr>
                <w:sz w:val="24"/>
                <w:szCs w:val="22"/>
              </w:rPr>
              <w:t>0</w:t>
            </w:r>
          </w:p>
        </w:tc>
        <w:tc>
          <w:tcPr>
            <w:tcW w:w="960" w:type="dxa"/>
            <w:tcBorders>
              <w:top w:val="nil"/>
              <w:left w:val="nil"/>
              <w:bottom w:val="nil"/>
              <w:right w:val="single" w:sz="8" w:space="0" w:color="auto"/>
            </w:tcBorders>
            <w:noWrap/>
            <w:vAlign w:val="bottom"/>
            <w:hideMark/>
          </w:tcPr>
          <w:p w14:paraId="347EDCC4" w14:textId="77777777" w:rsidR="009827CE" w:rsidRPr="009827CE" w:rsidRDefault="009827CE" w:rsidP="009827CE">
            <w:pPr>
              <w:rPr>
                <w:sz w:val="24"/>
                <w:szCs w:val="22"/>
              </w:rPr>
            </w:pPr>
            <w:r w:rsidRPr="009827CE">
              <w:rPr>
                <w:sz w:val="24"/>
                <w:szCs w:val="22"/>
              </w:rPr>
              <w:t>1</w:t>
            </w:r>
          </w:p>
        </w:tc>
      </w:tr>
      <w:tr w:rsidR="009827CE" w:rsidRPr="009827CE" w14:paraId="48260B74" w14:textId="77777777" w:rsidTr="00EF469B">
        <w:trPr>
          <w:trHeight w:val="250"/>
          <w:jc w:val="center"/>
        </w:trPr>
        <w:tc>
          <w:tcPr>
            <w:tcW w:w="1820" w:type="dxa"/>
            <w:tcBorders>
              <w:top w:val="nil"/>
              <w:left w:val="single" w:sz="8" w:space="0" w:color="auto"/>
              <w:bottom w:val="nil"/>
              <w:right w:val="single" w:sz="4" w:space="0" w:color="auto"/>
            </w:tcBorders>
            <w:noWrap/>
            <w:hideMark/>
          </w:tcPr>
          <w:p w14:paraId="4060B9FF" w14:textId="77777777" w:rsidR="009827CE" w:rsidRPr="009827CE" w:rsidRDefault="009827CE" w:rsidP="009827CE">
            <w:pPr>
              <w:rPr>
                <w:sz w:val="24"/>
                <w:szCs w:val="22"/>
              </w:rPr>
            </w:pPr>
            <w:r w:rsidRPr="009827CE">
              <w:rPr>
                <w:sz w:val="24"/>
                <w:szCs w:val="22"/>
              </w:rPr>
              <w:t>Services</w:t>
            </w:r>
          </w:p>
        </w:tc>
        <w:tc>
          <w:tcPr>
            <w:tcW w:w="1087" w:type="dxa"/>
            <w:noWrap/>
            <w:hideMark/>
          </w:tcPr>
          <w:p w14:paraId="59CC542A" w14:textId="77777777" w:rsidR="009827CE" w:rsidRPr="009827CE" w:rsidRDefault="009827CE" w:rsidP="009827CE">
            <w:pPr>
              <w:rPr>
                <w:sz w:val="24"/>
                <w:szCs w:val="22"/>
              </w:rPr>
            </w:pPr>
            <w:r w:rsidRPr="009827CE">
              <w:rPr>
                <w:sz w:val="24"/>
                <w:szCs w:val="22"/>
              </w:rPr>
              <w:t>3</w:t>
            </w:r>
          </w:p>
        </w:tc>
        <w:tc>
          <w:tcPr>
            <w:tcW w:w="833" w:type="dxa"/>
            <w:noWrap/>
            <w:hideMark/>
          </w:tcPr>
          <w:p w14:paraId="0EC5A8A7" w14:textId="77777777" w:rsidR="009827CE" w:rsidRPr="009827CE" w:rsidRDefault="009827CE" w:rsidP="009827CE">
            <w:pPr>
              <w:rPr>
                <w:sz w:val="24"/>
                <w:szCs w:val="22"/>
              </w:rPr>
            </w:pPr>
            <w:r w:rsidRPr="009827CE">
              <w:rPr>
                <w:sz w:val="24"/>
                <w:szCs w:val="22"/>
              </w:rPr>
              <w:t>0</w:t>
            </w:r>
          </w:p>
        </w:tc>
        <w:tc>
          <w:tcPr>
            <w:tcW w:w="960" w:type="dxa"/>
            <w:tcBorders>
              <w:top w:val="nil"/>
              <w:left w:val="nil"/>
              <w:bottom w:val="nil"/>
              <w:right w:val="single" w:sz="8" w:space="0" w:color="auto"/>
            </w:tcBorders>
            <w:noWrap/>
            <w:hideMark/>
          </w:tcPr>
          <w:p w14:paraId="4FE3B687" w14:textId="77777777" w:rsidR="009827CE" w:rsidRPr="009827CE" w:rsidRDefault="009827CE" w:rsidP="009827CE">
            <w:pPr>
              <w:rPr>
                <w:sz w:val="24"/>
                <w:szCs w:val="22"/>
              </w:rPr>
            </w:pPr>
            <w:r w:rsidRPr="009827CE">
              <w:rPr>
                <w:sz w:val="24"/>
                <w:szCs w:val="22"/>
              </w:rPr>
              <w:t>3</w:t>
            </w:r>
          </w:p>
        </w:tc>
        <w:tc>
          <w:tcPr>
            <w:tcW w:w="1087" w:type="dxa"/>
            <w:noWrap/>
            <w:hideMark/>
          </w:tcPr>
          <w:p w14:paraId="6DDE4B28" w14:textId="77777777" w:rsidR="009827CE" w:rsidRPr="009827CE" w:rsidRDefault="009827CE" w:rsidP="009827CE">
            <w:pPr>
              <w:rPr>
                <w:sz w:val="24"/>
                <w:szCs w:val="22"/>
              </w:rPr>
            </w:pPr>
            <w:r w:rsidRPr="009827CE">
              <w:rPr>
                <w:sz w:val="24"/>
                <w:szCs w:val="22"/>
              </w:rPr>
              <w:t>2</w:t>
            </w:r>
          </w:p>
        </w:tc>
        <w:tc>
          <w:tcPr>
            <w:tcW w:w="833" w:type="dxa"/>
            <w:noWrap/>
            <w:vAlign w:val="bottom"/>
            <w:hideMark/>
          </w:tcPr>
          <w:p w14:paraId="03F62FE0" w14:textId="77777777" w:rsidR="009827CE" w:rsidRPr="009827CE" w:rsidRDefault="009827CE" w:rsidP="009827CE">
            <w:pPr>
              <w:rPr>
                <w:sz w:val="24"/>
                <w:szCs w:val="22"/>
              </w:rPr>
            </w:pPr>
            <w:r w:rsidRPr="009827CE">
              <w:rPr>
                <w:sz w:val="24"/>
                <w:szCs w:val="22"/>
              </w:rPr>
              <w:t>0</w:t>
            </w:r>
          </w:p>
        </w:tc>
        <w:tc>
          <w:tcPr>
            <w:tcW w:w="960" w:type="dxa"/>
            <w:tcBorders>
              <w:top w:val="nil"/>
              <w:left w:val="nil"/>
              <w:bottom w:val="nil"/>
              <w:right w:val="single" w:sz="8" w:space="0" w:color="auto"/>
            </w:tcBorders>
            <w:noWrap/>
            <w:vAlign w:val="bottom"/>
            <w:hideMark/>
          </w:tcPr>
          <w:p w14:paraId="16975F0C" w14:textId="77777777" w:rsidR="009827CE" w:rsidRPr="009827CE" w:rsidRDefault="009827CE" w:rsidP="009827CE">
            <w:pPr>
              <w:rPr>
                <w:sz w:val="24"/>
                <w:szCs w:val="22"/>
              </w:rPr>
            </w:pPr>
            <w:r w:rsidRPr="009827CE">
              <w:rPr>
                <w:sz w:val="24"/>
                <w:szCs w:val="22"/>
              </w:rPr>
              <w:t>2</w:t>
            </w:r>
          </w:p>
        </w:tc>
      </w:tr>
      <w:tr w:rsidR="009827CE" w:rsidRPr="009827CE" w14:paraId="387857C3" w14:textId="77777777" w:rsidTr="00EF469B">
        <w:trPr>
          <w:trHeight w:val="260"/>
          <w:jc w:val="center"/>
        </w:trPr>
        <w:tc>
          <w:tcPr>
            <w:tcW w:w="1820" w:type="dxa"/>
            <w:tcBorders>
              <w:top w:val="single" w:sz="4" w:space="0" w:color="auto"/>
              <w:left w:val="single" w:sz="8" w:space="0" w:color="auto"/>
              <w:bottom w:val="double" w:sz="6" w:space="0" w:color="auto"/>
              <w:right w:val="single" w:sz="4" w:space="0" w:color="auto"/>
            </w:tcBorders>
            <w:noWrap/>
            <w:hideMark/>
          </w:tcPr>
          <w:p w14:paraId="76922E8A" w14:textId="77777777" w:rsidR="009827CE" w:rsidRPr="009827CE" w:rsidRDefault="009827CE" w:rsidP="009827CE">
            <w:pPr>
              <w:rPr>
                <w:sz w:val="24"/>
                <w:szCs w:val="22"/>
              </w:rPr>
            </w:pPr>
            <w:r w:rsidRPr="009827CE">
              <w:rPr>
                <w:sz w:val="24"/>
                <w:szCs w:val="22"/>
              </w:rPr>
              <w:t>Total</w:t>
            </w:r>
          </w:p>
        </w:tc>
        <w:tc>
          <w:tcPr>
            <w:tcW w:w="1087" w:type="dxa"/>
            <w:tcBorders>
              <w:top w:val="single" w:sz="4" w:space="0" w:color="auto"/>
              <w:left w:val="nil"/>
              <w:bottom w:val="double" w:sz="6" w:space="0" w:color="auto"/>
              <w:right w:val="nil"/>
            </w:tcBorders>
            <w:noWrap/>
            <w:hideMark/>
          </w:tcPr>
          <w:p w14:paraId="61105652" w14:textId="77777777" w:rsidR="009827CE" w:rsidRPr="009827CE" w:rsidRDefault="009827CE" w:rsidP="009827CE">
            <w:pPr>
              <w:rPr>
                <w:sz w:val="24"/>
                <w:szCs w:val="22"/>
              </w:rPr>
            </w:pPr>
            <w:r w:rsidRPr="009827CE">
              <w:rPr>
                <w:sz w:val="24"/>
                <w:szCs w:val="22"/>
              </w:rPr>
              <w:t>9</w:t>
            </w:r>
          </w:p>
        </w:tc>
        <w:tc>
          <w:tcPr>
            <w:tcW w:w="833" w:type="dxa"/>
            <w:tcBorders>
              <w:top w:val="single" w:sz="4" w:space="0" w:color="auto"/>
              <w:left w:val="nil"/>
              <w:bottom w:val="double" w:sz="6" w:space="0" w:color="auto"/>
              <w:right w:val="nil"/>
            </w:tcBorders>
            <w:noWrap/>
            <w:hideMark/>
          </w:tcPr>
          <w:p w14:paraId="4ACC8119" w14:textId="77777777" w:rsidR="009827CE" w:rsidRPr="009827CE" w:rsidRDefault="009827CE" w:rsidP="009827CE">
            <w:pPr>
              <w:rPr>
                <w:sz w:val="24"/>
                <w:szCs w:val="22"/>
              </w:rPr>
            </w:pPr>
            <w:r w:rsidRPr="009827CE">
              <w:rPr>
                <w:sz w:val="24"/>
                <w:szCs w:val="22"/>
              </w:rPr>
              <w:t>1</w:t>
            </w:r>
          </w:p>
        </w:tc>
        <w:tc>
          <w:tcPr>
            <w:tcW w:w="960" w:type="dxa"/>
            <w:tcBorders>
              <w:top w:val="single" w:sz="4" w:space="0" w:color="auto"/>
              <w:left w:val="nil"/>
              <w:bottom w:val="double" w:sz="6" w:space="0" w:color="auto"/>
              <w:right w:val="single" w:sz="8" w:space="0" w:color="auto"/>
            </w:tcBorders>
            <w:noWrap/>
            <w:hideMark/>
          </w:tcPr>
          <w:p w14:paraId="228178D8" w14:textId="77777777" w:rsidR="009827CE" w:rsidRPr="009827CE" w:rsidRDefault="009827CE" w:rsidP="009827CE">
            <w:pPr>
              <w:rPr>
                <w:sz w:val="24"/>
                <w:szCs w:val="22"/>
              </w:rPr>
            </w:pPr>
            <w:r w:rsidRPr="009827CE">
              <w:rPr>
                <w:sz w:val="24"/>
                <w:szCs w:val="22"/>
              </w:rPr>
              <w:t>10</w:t>
            </w:r>
          </w:p>
        </w:tc>
        <w:tc>
          <w:tcPr>
            <w:tcW w:w="1087" w:type="dxa"/>
            <w:tcBorders>
              <w:top w:val="single" w:sz="4" w:space="0" w:color="auto"/>
              <w:left w:val="nil"/>
              <w:bottom w:val="double" w:sz="6" w:space="0" w:color="auto"/>
              <w:right w:val="nil"/>
            </w:tcBorders>
            <w:noWrap/>
            <w:hideMark/>
          </w:tcPr>
          <w:p w14:paraId="5C05CB5C" w14:textId="77777777" w:rsidR="009827CE" w:rsidRPr="009827CE" w:rsidRDefault="009827CE" w:rsidP="009827CE">
            <w:pPr>
              <w:rPr>
                <w:sz w:val="24"/>
                <w:szCs w:val="22"/>
              </w:rPr>
            </w:pPr>
            <w:r w:rsidRPr="009827CE">
              <w:rPr>
                <w:sz w:val="24"/>
                <w:szCs w:val="22"/>
              </w:rPr>
              <w:t>6.5</w:t>
            </w:r>
          </w:p>
        </w:tc>
        <w:tc>
          <w:tcPr>
            <w:tcW w:w="833" w:type="dxa"/>
            <w:tcBorders>
              <w:top w:val="single" w:sz="4" w:space="0" w:color="auto"/>
              <w:left w:val="nil"/>
              <w:bottom w:val="double" w:sz="6" w:space="0" w:color="auto"/>
              <w:right w:val="nil"/>
            </w:tcBorders>
            <w:noWrap/>
            <w:vAlign w:val="bottom"/>
            <w:hideMark/>
          </w:tcPr>
          <w:p w14:paraId="655780E8" w14:textId="77777777" w:rsidR="009827CE" w:rsidRPr="009827CE" w:rsidRDefault="009827CE" w:rsidP="009827CE">
            <w:pPr>
              <w:rPr>
                <w:sz w:val="24"/>
                <w:szCs w:val="22"/>
              </w:rPr>
            </w:pPr>
            <w:r w:rsidRPr="009827CE">
              <w:rPr>
                <w:sz w:val="24"/>
                <w:szCs w:val="22"/>
              </w:rPr>
              <w:t>0.5</w:t>
            </w:r>
          </w:p>
        </w:tc>
        <w:tc>
          <w:tcPr>
            <w:tcW w:w="960" w:type="dxa"/>
            <w:tcBorders>
              <w:top w:val="single" w:sz="4" w:space="0" w:color="auto"/>
              <w:left w:val="nil"/>
              <w:bottom w:val="double" w:sz="6" w:space="0" w:color="auto"/>
              <w:right w:val="single" w:sz="8" w:space="0" w:color="auto"/>
            </w:tcBorders>
            <w:noWrap/>
            <w:vAlign w:val="bottom"/>
            <w:hideMark/>
          </w:tcPr>
          <w:p w14:paraId="68F9211D" w14:textId="77777777" w:rsidR="009827CE" w:rsidRPr="009827CE" w:rsidRDefault="009827CE" w:rsidP="009827CE">
            <w:pPr>
              <w:rPr>
                <w:sz w:val="24"/>
                <w:szCs w:val="22"/>
              </w:rPr>
            </w:pPr>
            <w:r w:rsidRPr="009827CE">
              <w:rPr>
                <w:sz w:val="24"/>
                <w:szCs w:val="22"/>
              </w:rPr>
              <w:t>6</w:t>
            </w:r>
          </w:p>
        </w:tc>
      </w:tr>
    </w:tbl>
    <w:p w14:paraId="7BCBA1D6" w14:textId="77777777" w:rsidR="009827CE" w:rsidRPr="009827CE" w:rsidRDefault="009827CE" w:rsidP="009827CE">
      <w:pPr>
        <w:rPr>
          <w:rFonts w:ascii="Calibri" w:hAnsi="Calibri" w:cs="Calibri"/>
          <w:sz w:val="22"/>
          <w:szCs w:val="22"/>
        </w:rPr>
      </w:pPr>
    </w:p>
    <w:p w14:paraId="74383103" w14:textId="27717809" w:rsidR="002B430B" w:rsidRDefault="002B430B" w:rsidP="003577DD">
      <w:pPr>
        <w:pStyle w:val="DefaultText"/>
        <w:spacing w:after="120"/>
        <w:ind w:left="720"/>
        <w:jc w:val="both"/>
        <w:rPr>
          <w:rFonts w:ascii="Arial" w:hAnsi="Arial"/>
          <w:sz w:val="20"/>
        </w:rPr>
      </w:pPr>
    </w:p>
    <w:p w14:paraId="5F8CD28C" w14:textId="01939E9F" w:rsidR="000F6091" w:rsidRPr="00F43D9C" w:rsidRDefault="000F6091" w:rsidP="003577DD">
      <w:pPr>
        <w:pStyle w:val="DefaultText"/>
        <w:spacing w:after="120"/>
        <w:ind w:left="720"/>
        <w:jc w:val="both"/>
        <w:rPr>
          <w:rFonts w:ascii="Arial" w:hAnsi="Arial"/>
          <w:sz w:val="20"/>
          <w:highlight w:val="yellow"/>
        </w:rPr>
      </w:pPr>
    </w:p>
    <w:p w14:paraId="381C1D38" w14:textId="1738DA35" w:rsidR="00CE738F" w:rsidRDefault="00CE738F" w:rsidP="003577DD">
      <w:pPr>
        <w:pStyle w:val="DefaultText"/>
        <w:spacing w:after="120"/>
        <w:ind w:left="720"/>
        <w:jc w:val="both"/>
        <w:rPr>
          <w:rFonts w:ascii="Arial" w:hAnsi="Arial"/>
          <w:sz w:val="20"/>
        </w:rPr>
      </w:pPr>
      <w:bookmarkStart w:id="0" w:name="_GoBack"/>
      <w:bookmarkEnd w:id="0"/>
    </w:p>
    <w:p w14:paraId="7B17EFAE" w14:textId="331A4E9D" w:rsidR="000F6091" w:rsidRDefault="000F6091" w:rsidP="003577DD">
      <w:pPr>
        <w:pStyle w:val="DefaultText"/>
        <w:spacing w:after="120"/>
        <w:ind w:left="720"/>
        <w:jc w:val="both"/>
        <w:rPr>
          <w:rFonts w:ascii="Arial" w:hAnsi="Arial"/>
          <w:sz w:val="20"/>
        </w:rPr>
      </w:pPr>
      <w:r>
        <w:rPr>
          <w:rFonts w:ascii="Arial" w:hAnsi="Arial"/>
          <w:sz w:val="20"/>
        </w:rPr>
        <w:t xml:space="preserve">Motion passed a balanced vote with 5.5 in favor and </w:t>
      </w:r>
      <w:r w:rsidR="00776974">
        <w:rPr>
          <w:rFonts w:ascii="Arial" w:hAnsi="Arial"/>
          <w:sz w:val="20"/>
        </w:rPr>
        <w:t>0</w:t>
      </w:r>
      <w:r>
        <w:rPr>
          <w:rFonts w:ascii="Arial" w:hAnsi="Arial"/>
          <w:sz w:val="20"/>
        </w:rPr>
        <w:t>.5 opposed.</w:t>
      </w:r>
      <w:r w:rsidR="00F06255">
        <w:rPr>
          <w:rFonts w:ascii="Arial" w:hAnsi="Arial"/>
          <w:sz w:val="20"/>
        </w:rPr>
        <w:t xml:space="preserve">  Mr. Connor abstained. </w:t>
      </w:r>
    </w:p>
    <w:p w14:paraId="2999C6A9" w14:textId="77777777" w:rsidR="001875DA" w:rsidRDefault="001875DA" w:rsidP="00882ECD">
      <w:pPr>
        <w:pStyle w:val="DefaultText"/>
        <w:tabs>
          <w:tab w:val="left" w:pos="360"/>
        </w:tabs>
        <w:spacing w:after="120"/>
        <w:ind w:left="360" w:hanging="360"/>
        <w:rPr>
          <w:rFonts w:ascii="Arial" w:hAnsi="Arial"/>
          <w:b/>
          <w:sz w:val="20"/>
        </w:rPr>
      </w:pPr>
      <w:r>
        <w:rPr>
          <w:rFonts w:ascii="Arial" w:hAnsi="Arial"/>
          <w:b/>
          <w:sz w:val="20"/>
        </w:rPr>
        <w:lastRenderedPageBreak/>
        <w:t xml:space="preserve">c.  Business Purpose: </w:t>
      </w:r>
    </w:p>
    <w:p w14:paraId="0B6708A8" w14:textId="62DC92ED" w:rsidR="001875DA" w:rsidRDefault="001875DA" w:rsidP="009A2526">
      <w:pPr>
        <w:spacing w:after="120"/>
        <w:ind w:firstLine="720"/>
        <w:rPr>
          <w:rFonts w:ascii="Arial" w:hAnsi="Arial"/>
        </w:rPr>
      </w:pPr>
      <w:r>
        <w:rPr>
          <w:rFonts w:ascii="Arial" w:hAnsi="Arial"/>
        </w:rPr>
        <w:t xml:space="preserve">See </w:t>
      </w:r>
      <w:r w:rsidR="009A2526">
        <w:rPr>
          <w:rFonts w:ascii="Arial" w:hAnsi="Arial"/>
        </w:rPr>
        <w:t>m</w:t>
      </w:r>
      <w:r>
        <w:rPr>
          <w:rFonts w:ascii="Arial" w:hAnsi="Arial"/>
        </w:rPr>
        <w:t xml:space="preserve">eeting minutes </w:t>
      </w:r>
      <w:r w:rsidR="009A2526">
        <w:rPr>
          <w:rFonts w:ascii="Arial" w:hAnsi="Arial"/>
        </w:rPr>
        <w:t xml:space="preserve">from </w:t>
      </w:r>
      <w:r w:rsidR="009A2526" w:rsidRPr="009A2526">
        <w:rPr>
          <w:rFonts w:ascii="Arial" w:hAnsi="Arial"/>
        </w:rPr>
        <w:t>July 12, 2019 and July 31, 2019.</w:t>
      </w:r>
    </w:p>
    <w:p w14:paraId="0AC3BE8C" w14:textId="77777777" w:rsidR="001875DA" w:rsidRDefault="001875DA" w:rsidP="00882ECD">
      <w:pPr>
        <w:numPr>
          <w:ilvl w:val="0"/>
          <w:numId w:val="8"/>
        </w:numPr>
        <w:spacing w:after="120"/>
        <w:rPr>
          <w:rFonts w:ascii="Arial" w:hAnsi="Arial"/>
          <w:b/>
        </w:rPr>
      </w:pPr>
      <w:r>
        <w:rPr>
          <w:rFonts w:ascii="Arial" w:hAnsi="Arial"/>
          <w:b/>
        </w:rPr>
        <w:t>Commentary/Rationale of Subcommittee(s)/Task Force(s):</w:t>
      </w:r>
    </w:p>
    <w:p w14:paraId="655B9050" w14:textId="1226668B" w:rsidR="009A2526" w:rsidRPr="009A2526" w:rsidRDefault="009A2526" w:rsidP="009A2526">
      <w:pPr>
        <w:pStyle w:val="ListParagraph"/>
        <w:spacing w:after="120"/>
        <w:ind w:left="360" w:firstLine="360"/>
        <w:rPr>
          <w:rFonts w:ascii="Arial" w:hAnsi="Arial"/>
        </w:rPr>
      </w:pPr>
      <w:r w:rsidRPr="009A2526">
        <w:rPr>
          <w:rFonts w:ascii="Arial" w:hAnsi="Arial"/>
        </w:rPr>
        <w:t xml:space="preserve">See </w:t>
      </w:r>
      <w:r>
        <w:rPr>
          <w:rFonts w:ascii="Arial" w:hAnsi="Arial"/>
        </w:rPr>
        <w:t>m</w:t>
      </w:r>
      <w:r w:rsidRPr="009A2526">
        <w:rPr>
          <w:rFonts w:ascii="Arial" w:hAnsi="Arial"/>
        </w:rPr>
        <w:t xml:space="preserve">eeting minutes from </w:t>
      </w:r>
      <w:bookmarkStart w:id="1" w:name="_Hlk15465330"/>
      <w:r w:rsidRPr="009A2526">
        <w:rPr>
          <w:rFonts w:ascii="Arial" w:hAnsi="Arial"/>
        </w:rPr>
        <w:t xml:space="preserve">July 12, 2019 and July 31, 2019. </w:t>
      </w:r>
      <w:bookmarkEnd w:id="1"/>
    </w:p>
    <w:p w14:paraId="2CFDF17D" w14:textId="218DE17C" w:rsidR="004E034A" w:rsidRPr="00882ECD" w:rsidRDefault="009A2526" w:rsidP="00882ECD">
      <w:pPr>
        <w:spacing w:after="120"/>
        <w:ind w:left="720"/>
        <w:rPr>
          <w:rFonts w:ascii="Arial" w:hAnsi="Arial"/>
        </w:rPr>
      </w:pPr>
      <w:r>
        <w:rPr>
          <w:rFonts w:ascii="Arial" w:hAnsi="Arial"/>
        </w:rPr>
        <w:tab/>
      </w:r>
    </w:p>
    <w:sectPr w:rsidR="004E034A" w:rsidRPr="00882EC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4E99" w14:textId="77777777" w:rsidR="00A80D30" w:rsidRDefault="00A80D30">
      <w:r>
        <w:separator/>
      </w:r>
    </w:p>
  </w:endnote>
  <w:endnote w:type="continuationSeparator" w:id="0">
    <w:p w14:paraId="1E3A2EAA" w14:textId="77777777" w:rsidR="00A80D30" w:rsidRDefault="00A8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3CD8" w14:textId="1CF61060" w:rsidR="00045125" w:rsidRPr="001F55B3" w:rsidRDefault="00045125" w:rsidP="001F55B3">
    <w:pPr>
      <w:pStyle w:val="DefaultText"/>
      <w:jc w:val="right"/>
      <w:rPr>
        <w:rFonts w:ascii="Arial" w:hAnsi="Arial" w:cs="Arial"/>
        <w:sz w:val="20"/>
      </w:rPr>
    </w:pPr>
    <w:r>
      <w:rPr>
        <w:rFonts w:ascii="Arial" w:hAnsi="Arial" w:cs="Arial"/>
        <w:sz w:val="20"/>
      </w:rPr>
      <w:t>Ju</w:t>
    </w:r>
    <w:r w:rsidR="001A0D1A">
      <w:rPr>
        <w:rFonts w:ascii="Arial" w:hAnsi="Arial" w:cs="Arial"/>
        <w:sz w:val="20"/>
      </w:rPr>
      <w:t>ly</w:t>
    </w:r>
    <w:r>
      <w:rPr>
        <w:rFonts w:ascii="Arial" w:hAnsi="Arial" w:cs="Arial"/>
        <w:sz w:val="20"/>
      </w:rPr>
      <w:t xml:space="preserve"> </w:t>
    </w:r>
    <w:r w:rsidR="00502353">
      <w:rPr>
        <w:rFonts w:ascii="Arial" w:hAnsi="Arial" w:cs="Arial"/>
        <w:sz w:val="20"/>
      </w:rPr>
      <w:t>31</w:t>
    </w:r>
    <w:r>
      <w:rPr>
        <w:rFonts w:ascii="Arial" w:hAnsi="Arial" w:cs="Arial"/>
        <w:sz w:val="20"/>
      </w:rPr>
      <w:t>, 201</w:t>
    </w:r>
    <w:r w:rsidR="001A0D1A">
      <w:rPr>
        <w:rFonts w:ascii="Arial" w:hAnsi="Arial" w:cs="Arial"/>
        <w:sz w:val="20"/>
      </w:rPr>
      <w:t>9</w:t>
    </w:r>
  </w:p>
  <w:p w14:paraId="7EA12EB7" w14:textId="77777777" w:rsidR="00045125" w:rsidRPr="001F55B3" w:rsidRDefault="00045125"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DD9C" w14:textId="77777777" w:rsidR="00A80D30" w:rsidRDefault="00A80D30">
      <w:r>
        <w:separator/>
      </w:r>
    </w:p>
  </w:footnote>
  <w:footnote w:type="continuationSeparator" w:id="0">
    <w:p w14:paraId="01684002" w14:textId="77777777" w:rsidR="00A80D30" w:rsidRDefault="00A8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D4F1" w14:textId="77777777" w:rsidR="00045125" w:rsidRDefault="00A80D30" w:rsidP="001F55B3">
    <w:pPr>
      <w:pStyle w:val="BodyText"/>
    </w:pPr>
    <w:r>
      <w:object w:dxaOrig="1440" w:dyaOrig="1440" w14:anchorId="14CFA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26161391" r:id="rId2"/>
      </w:object>
    </w:r>
  </w:p>
  <w:p w14:paraId="3A610B80" w14:textId="77777777" w:rsidR="00045125" w:rsidRDefault="0004512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38030132" w14:textId="77777777" w:rsidR="00045125" w:rsidRDefault="00045125"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Wholesale Gas Quadrant</w:t>
    </w:r>
  </w:p>
  <w:p w14:paraId="6651B0E1" w14:textId="77777777" w:rsidR="00045125" w:rsidRDefault="00045125"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Contracts Subcommittee</w:t>
    </w:r>
  </w:p>
  <w:p w14:paraId="66FBA025" w14:textId="77777777" w:rsidR="00045125" w:rsidRDefault="00045125"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R19006</w:t>
    </w:r>
  </w:p>
  <w:p w14:paraId="5E3BA7AC" w14:textId="77777777" w:rsidR="00045125" w:rsidRDefault="00045125" w:rsidP="004F2A7B">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Pr="00045125">
      <w:rPr>
        <w:rFonts w:ascii="Arial" w:hAnsi="Arial" w:cs="Arial"/>
        <w:b/>
        <w:sz w:val="22"/>
      </w:rPr>
      <w:t>Request to change Base Contract for Sale and Purchase of Natural Gas</w:t>
    </w:r>
    <w:r>
      <w:rPr>
        <w:rFonts w:ascii="Arial" w:hAnsi="Arial" w:cs="Arial"/>
        <w:b/>
        <w:sz w:val="22"/>
      </w:rPr>
      <w:t xml:space="preserve"> – Spot Gas Publication.</w:t>
    </w:r>
  </w:p>
  <w:p w14:paraId="319C5178" w14:textId="77777777" w:rsidR="00045125" w:rsidRDefault="00045125" w:rsidP="00D137BC">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p>
  <w:p w14:paraId="54EE3638" w14:textId="77777777" w:rsidR="00045125" w:rsidRDefault="00045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E74A8"/>
    <w:multiLevelType w:val="singleLevel"/>
    <w:tmpl w:val="4BB4CECE"/>
    <w:lvl w:ilvl="0">
      <w:start w:val="4"/>
      <w:numFmt w:val="lowerLetter"/>
      <w:lvlText w:val="%1."/>
      <w:lvlJc w:val="left"/>
      <w:pPr>
        <w:tabs>
          <w:tab w:val="num" w:pos="360"/>
        </w:tabs>
        <w:ind w:left="360" w:hanging="360"/>
      </w:p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0C4B58"/>
    <w:multiLevelType w:val="hybridMultilevel"/>
    <w:tmpl w:val="FDC87D56"/>
    <w:lvl w:ilvl="0" w:tplc="C07618C0">
      <w:start w:val="1"/>
      <w:numFmt w:val="lowerLetter"/>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7"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78620FB"/>
    <w:multiLevelType w:val="hybridMultilevel"/>
    <w:tmpl w:val="6E7E635A"/>
    <w:lvl w:ilvl="0" w:tplc="78FE117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4"/>
  </w:num>
  <w:num w:numId="2">
    <w:abstractNumId w:val="1"/>
  </w:num>
  <w:num w:numId="3">
    <w:abstractNumId w:val="7"/>
  </w:num>
  <w:num w:numId="4">
    <w:abstractNumId w:val="0"/>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122FC"/>
    <w:rsid w:val="00045125"/>
    <w:rsid w:val="00064C09"/>
    <w:rsid w:val="000731D1"/>
    <w:rsid w:val="000904F5"/>
    <w:rsid w:val="000967E1"/>
    <w:rsid w:val="000D37CD"/>
    <w:rsid w:val="000F3AEE"/>
    <w:rsid w:val="000F4248"/>
    <w:rsid w:val="000F6091"/>
    <w:rsid w:val="00105B91"/>
    <w:rsid w:val="001611B0"/>
    <w:rsid w:val="001875DA"/>
    <w:rsid w:val="0019299A"/>
    <w:rsid w:val="00193F4D"/>
    <w:rsid w:val="001A01E8"/>
    <w:rsid w:val="001A0D1A"/>
    <w:rsid w:val="001C19BC"/>
    <w:rsid w:val="001D3FCD"/>
    <w:rsid w:val="001D7E42"/>
    <w:rsid w:val="001F01EE"/>
    <w:rsid w:val="001F55B3"/>
    <w:rsid w:val="00212DEB"/>
    <w:rsid w:val="002B430B"/>
    <w:rsid w:val="002D2241"/>
    <w:rsid w:val="002E745C"/>
    <w:rsid w:val="002F42CF"/>
    <w:rsid w:val="00311479"/>
    <w:rsid w:val="00316B5A"/>
    <w:rsid w:val="003577DD"/>
    <w:rsid w:val="00382C52"/>
    <w:rsid w:val="003A2B3F"/>
    <w:rsid w:val="003A3E4C"/>
    <w:rsid w:val="003A68DA"/>
    <w:rsid w:val="00440523"/>
    <w:rsid w:val="00462F36"/>
    <w:rsid w:val="00481507"/>
    <w:rsid w:val="004A7538"/>
    <w:rsid w:val="004E034A"/>
    <w:rsid w:val="004F2A7B"/>
    <w:rsid w:val="00502353"/>
    <w:rsid w:val="00504C05"/>
    <w:rsid w:val="0058389F"/>
    <w:rsid w:val="005A3F36"/>
    <w:rsid w:val="005D0618"/>
    <w:rsid w:val="005D072C"/>
    <w:rsid w:val="005E19E2"/>
    <w:rsid w:val="005F66BB"/>
    <w:rsid w:val="00602F43"/>
    <w:rsid w:val="00613C60"/>
    <w:rsid w:val="00630B35"/>
    <w:rsid w:val="00641A08"/>
    <w:rsid w:val="00646AC1"/>
    <w:rsid w:val="006B3298"/>
    <w:rsid w:val="006D7EDB"/>
    <w:rsid w:val="006D7F8E"/>
    <w:rsid w:val="00702B2B"/>
    <w:rsid w:val="00776974"/>
    <w:rsid w:val="007F3AEB"/>
    <w:rsid w:val="00841A69"/>
    <w:rsid w:val="00864E27"/>
    <w:rsid w:val="00882ECD"/>
    <w:rsid w:val="008F0446"/>
    <w:rsid w:val="009040E4"/>
    <w:rsid w:val="00910CFA"/>
    <w:rsid w:val="009827CE"/>
    <w:rsid w:val="009A2526"/>
    <w:rsid w:val="009D04BD"/>
    <w:rsid w:val="009E07F2"/>
    <w:rsid w:val="00A143F9"/>
    <w:rsid w:val="00A251C4"/>
    <w:rsid w:val="00A506CF"/>
    <w:rsid w:val="00A72D04"/>
    <w:rsid w:val="00A7533E"/>
    <w:rsid w:val="00A80D30"/>
    <w:rsid w:val="00AE127A"/>
    <w:rsid w:val="00B531DA"/>
    <w:rsid w:val="00B5765B"/>
    <w:rsid w:val="00B62EF3"/>
    <w:rsid w:val="00B813E7"/>
    <w:rsid w:val="00B96B73"/>
    <w:rsid w:val="00BA0005"/>
    <w:rsid w:val="00BA54C4"/>
    <w:rsid w:val="00BB61DF"/>
    <w:rsid w:val="00BF53C5"/>
    <w:rsid w:val="00C702A6"/>
    <w:rsid w:val="00C849B1"/>
    <w:rsid w:val="00CE738F"/>
    <w:rsid w:val="00CF0A01"/>
    <w:rsid w:val="00D07C20"/>
    <w:rsid w:val="00D137BC"/>
    <w:rsid w:val="00D90A68"/>
    <w:rsid w:val="00DA2D73"/>
    <w:rsid w:val="00DB3043"/>
    <w:rsid w:val="00E251A1"/>
    <w:rsid w:val="00E32B16"/>
    <w:rsid w:val="00E615F8"/>
    <w:rsid w:val="00EF070D"/>
    <w:rsid w:val="00F06255"/>
    <w:rsid w:val="00F35A8E"/>
    <w:rsid w:val="00F43D9C"/>
    <w:rsid w:val="00F766B2"/>
    <w:rsid w:val="00F86155"/>
    <w:rsid w:val="00FA099C"/>
    <w:rsid w:val="00FD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35E94C"/>
  <w15:docId w15:val="{352F2EEA-1B5F-431B-9CAE-09621A60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1875DA"/>
    <w:pPr>
      <w:ind w:left="720"/>
      <w:contextualSpacing/>
    </w:pPr>
    <w:rPr>
      <w:noProof/>
    </w:rPr>
  </w:style>
  <w:style w:type="character" w:styleId="Hyperlink">
    <w:name w:val="Hyperlink"/>
    <w:basedOn w:val="DefaultParagraphFont"/>
    <w:unhideWhenUsed/>
    <w:rsid w:val="003A3E4C"/>
    <w:rPr>
      <w:color w:val="0000FF" w:themeColor="hyperlink"/>
      <w:u w:val="single"/>
    </w:rPr>
  </w:style>
  <w:style w:type="character" w:styleId="UnresolvedMention">
    <w:name w:val="Unresolved Mention"/>
    <w:basedOn w:val="DefaultParagraphFont"/>
    <w:uiPriority w:val="99"/>
    <w:semiHidden/>
    <w:unhideWhenUsed/>
    <w:rsid w:val="003A3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82517">
      <w:bodyDiv w:val="1"/>
      <w:marLeft w:val="0"/>
      <w:marRight w:val="0"/>
      <w:marTop w:val="0"/>
      <w:marBottom w:val="0"/>
      <w:divBdr>
        <w:top w:val="none" w:sz="0" w:space="0" w:color="auto"/>
        <w:left w:val="none" w:sz="0" w:space="0" w:color="auto"/>
        <w:bottom w:val="none" w:sz="0" w:space="0" w:color="auto"/>
        <w:right w:val="none" w:sz="0" w:space="0" w:color="auto"/>
      </w:divBdr>
    </w:div>
    <w:div w:id="412704350">
      <w:bodyDiv w:val="1"/>
      <w:marLeft w:val="0"/>
      <w:marRight w:val="0"/>
      <w:marTop w:val="0"/>
      <w:marBottom w:val="0"/>
      <w:divBdr>
        <w:top w:val="none" w:sz="0" w:space="0" w:color="auto"/>
        <w:left w:val="none" w:sz="0" w:space="0" w:color="auto"/>
        <w:bottom w:val="none" w:sz="0" w:space="0" w:color="auto"/>
        <w:right w:val="none" w:sz="0" w:space="0" w:color="auto"/>
      </w:divBdr>
    </w:div>
    <w:div w:id="12780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esb.org/member_login_check.asp?doc=wgq_r19006_rec_attach.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elizabeth mallett</cp:lastModifiedBy>
  <cp:revision>2</cp:revision>
  <cp:lastPrinted>2003-09-05T13:18:00Z</cp:lastPrinted>
  <dcterms:created xsi:type="dcterms:W3CDTF">2019-08-01T15:43:00Z</dcterms:created>
  <dcterms:modified xsi:type="dcterms:W3CDTF">2019-08-01T15:43:00Z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