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C0" w:rsidRDefault="005C4EF7">
      <w:bookmarkStart w:id="0" w:name="_GoBack"/>
      <w:bookmarkEnd w:id="0"/>
      <w:r>
        <w:tab/>
      </w:r>
    </w:p>
    <w:p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828" w:type="dxa"/>
            <w:tcBorders>
              <w:bottom w:val="single" w:sz="4" w:space="0" w:color="auto"/>
            </w:tcBorders>
          </w:tcPr>
          <w:p w:rsidR="009C6187" w:rsidRPr="003C5F44" w:rsidRDefault="009C6187">
            <w:pPr>
              <w:rPr>
                <w:sz w:val="22"/>
              </w:rPr>
            </w:pPr>
          </w:p>
        </w:tc>
        <w:tc>
          <w:tcPr>
            <w:tcW w:w="4500" w:type="dxa"/>
          </w:tcPr>
          <w:p w:rsidR="009C6187" w:rsidRPr="009C6187" w:rsidRDefault="009C6187">
            <w:pPr>
              <w:rPr>
                <w:sz w:val="22"/>
              </w:rPr>
            </w:pPr>
            <w:r>
              <w:rPr>
                <w:sz w:val="22"/>
              </w:rPr>
              <w:t>Accept as requested</w:t>
            </w:r>
          </w:p>
        </w:tc>
        <w:tc>
          <w:tcPr>
            <w:tcW w:w="810" w:type="dxa"/>
            <w:tcBorders>
              <w:bottom w:val="single" w:sz="4" w:space="0" w:color="auto"/>
            </w:tcBorders>
          </w:tcPr>
          <w:p w:rsidR="009C6187" w:rsidRPr="003C5F44" w:rsidRDefault="005C4EF7">
            <w:pPr>
              <w:rPr>
                <w:sz w:val="22"/>
              </w:rPr>
            </w:pPr>
            <w:r>
              <w:rPr>
                <w:sz w:val="22"/>
              </w:rPr>
              <w:t>X</w:t>
            </w:r>
          </w:p>
        </w:tc>
        <w:tc>
          <w:tcPr>
            <w:tcW w:w="4158" w:type="dxa"/>
          </w:tcPr>
          <w:p w:rsidR="009C6187" w:rsidRPr="009C6187" w:rsidRDefault="009C6187">
            <w:pPr>
              <w:rPr>
                <w:sz w:val="22"/>
              </w:rPr>
            </w:pPr>
            <w:r>
              <w:rPr>
                <w:sz w:val="22"/>
              </w:rPr>
              <w:t>Change to Existing Practice</w:t>
            </w:r>
          </w:p>
        </w:tc>
      </w:tr>
      <w:tr w:rsidR="009C6187" w:rsidTr="00290A2B">
        <w:tc>
          <w:tcPr>
            <w:tcW w:w="828" w:type="dxa"/>
            <w:tcBorders>
              <w:top w:val="single" w:sz="4" w:space="0" w:color="auto"/>
              <w:bottom w:val="single" w:sz="4" w:space="0" w:color="auto"/>
            </w:tcBorders>
          </w:tcPr>
          <w:p w:rsidR="009C6187" w:rsidRPr="003C5F44" w:rsidRDefault="005C4EF7">
            <w:pPr>
              <w:rPr>
                <w:sz w:val="22"/>
              </w:rPr>
            </w:pPr>
            <w:r>
              <w:rPr>
                <w:sz w:val="22"/>
              </w:rPr>
              <w:t>X</w:t>
            </w:r>
          </w:p>
        </w:tc>
        <w:tc>
          <w:tcPr>
            <w:tcW w:w="4500" w:type="dxa"/>
          </w:tcPr>
          <w:p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rsidR="009C6187" w:rsidRPr="003C5F44" w:rsidRDefault="009C6187">
            <w:pPr>
              <w:rPr>
                <w:sz w:val="22"/>
              </w:rPr>
            </w:pPr>
          </w:p>
        </w:tc>
        <w:tc>
          <w:tcPr>
            <w:tcW w:w="4158" w:type="dxa"/>
          </w:tcPr>
          <w:p w:rsidR="009C6187" w:rsidRPr="009C6187" w:rsidRDefault="009C6187">
            <w:pPr>
              <w:rPr>
                <w:sz w:val="22"/>
              </w:rPr>
            </w:pPr>
            <w:r>
              <w:rPr>
                <w:sz w:val="22"/>
              </w:rPr>
              <w:t>Status Quo</w:t>
            </w:r>
          </w:p>
        </w:tc>
      </w:tr>
      <w:tr w:rsidR="009C6187" w:rsidTr="00290A2B">
        <w:tc>
          <w:tcPr>
            <w:tcW w:w="828" w:type="dxa"/>
            <w:tcBorders>
              <w:top w:val="single" w:sz="4" w:space="0" w:color="auto"/>
              <w:bottom w:val="single" w:sz="4" w:space="0" w:color="auto"/>
            </w:tcBorders>
          </w:tcPr>
          <w:p w:rsidR="009C6187" w:rsidRPr="003C5F44" w:rsidRDefault="009C6187">
            <w:pPr>
              <w:rPr>
                <w:sz w:val="22"/>
              </w:rPr>
            </w:pPr>
          </w:p>
        </w:tc>
        <w:tc>
          <w:tcPr>
            <w:tcW w:w="4500" w:type="dxa"/>
          </w:tcPr>
          <w:p w:rsidR="009C6187" w:rsidRPr="009C6187" w:rsidRDefault="009C6187">
            <w:pPr>
              <w:rPr>
                <w:sz w:val="22"/>
              </w:rPr>
            </w:pPr>
            <w:r>
              <w:rPr>
                <w:sz w:val="22"/>
              </w:rPr>
              <w:t>Decline</w:t>
            </w:r>
          </w:p>
        </w:tc>
        <w:tc>
          <w:tcPr>
            <w:tcW w:w="810" w:type="dxa"/>
            <w:tcBorders>
              <w:top w:val="single" w:sz="4" w:space="0" w:color="auto"/>
              <w:bottom w:val="single" w:sz="4" w:space="0" w:color="auto"/>
            </w:tcBorders>
          </w:tcPr>
          <w:p w:rsidR="009C6187" w:rsidRPr="003C5F44" w:rsidRDefault="009C6187">
            <w:pPr>
              <w:rPr>
                <w:sz w:val="22"/>
              </w:rPr>
            </w:pPr>
          </w:p>
        </w:tc>
        <w:tc>
          <w:tcPr>
            <w:tcW w:w="4158" w:type="dxa"/>
          </w:tcPr>
          <w:p w:rsidR="009C6187" w:rsidRPr="009C6187" w:rsidRDefault="00D2182F">
            <w:pPr>
              <w:rPr>
                <w:sz w:val="22"/>
              </w:rPr>
            </w:pPr>
            <w:r>
              <w:rPr>
                <w:sz w:val="22"/>
              </w:rPr>
              <w:t>Correction</w:t>
            </w:r>
          </w:p>
        </w:tc>
      </w:tr>
    </w:tbl>
    <w:p w:rsidR="009C6187" w:rsidRDefault="009C6187">
      <w:pPr>
        <w:rPr>
          <w:b/>
          <w:sz w:val="22"/>
        </w:rPr>
      </w:pPr>
    </w:p>
    <w:p w:rsidR="00E63535" w:rsidRDefault="00E63535">
      <w:pPr>
        <w:rPr>
          <w:b/>
          <w:sz w:val="22"/>
        </w:rPr>
      </w:pPr>
    </w:p>
    <w:p w:rsidR="009C6187" w:rsidRDefault="009C6187">
      <w:pPr>
        <w:rPr>
          <w:b/>
          <w:sz w:val="22"/>
        </w:rPr>
      </w:pPr>
      <w:r>
        <w:rPr>
          <w:b/>
          <w:sz w:val="22"/>
        </w:rPr>
        <w:t>2.  TYPE OF DEVELOPMENT / MAINTENANCE</w:t>
      </w:r>
    </w:p>
    <w:p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0"/>
        <w:gridCol w:w="810"/>
        <w:gridCol w:w="4158"/>
      </w:tblGrid>
      <w:tr w:rsidR="009C6187" w:rsidTr="00290A2B">
        <w:tc>
          <w:tcPr>
            <w:tcW w:w="5328" w:type="dxa"/>
            <w:gridSpan w:val="2"/>
            <w:vAlign w:val="center"/>
          </w:tcPr>
          <w:p w:rsidR="009C6187" w:rsidRPr="009C6187" w:rsidRDefault="009C6187" w:rsidP="009C6187">
            <w:pPr>
              <w:rPr>
                <w:b/>
                <w:sz w:val="22"/>
              </w:rPr>
            </w:pPr>
            <w:r>
              <w:rPr>
                <w:b/>
                <w:sz w:val="22"/>
              </w:rPr>
              <w:t>Per Request:</w:t>
            </w:r>
          </w:p>
        </w:tc>
        <w:tc>
          <w:tcPr>
            <w:tcW w:w="4968" w:type="dxa"/>
            <w:gridSpan w:val="2"/>
            <w:vAlign w:val="center"/>
          </w:tcPr>
          <w:p w:rsidR="009C6187" w:rsidRPr="009C6187" w:rsidRDefault="009C6187" w:rsidP="009C6187">
            <w:pPr>
              <w:rPr>
                <w:b/>
                <w:sz w:val="22"/>
              </w:rPr>
            </w:pPr>
            <w:r>
              <w:rPr>
                <w:b/>
                <w:sz w:val="22"/>
              </w:rPr>
              <w:t>Per Recommendation:</w:t>
            </w: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Default="009C6187">
            <w:pPr>
              <w:rPr>
                <w:sz w:val="22"/>
              </w:rPr>
            </w:pPr>
            <w:r>
              <w:rPr>
                <w:sz w:val="22"/>
              </w:rPr>
              <w:t>Initiation</w:t>
            </w:r>
          </w:p>
        </w:tc>
        <w:tc>
          <w:tcPr>
            <w:tcW w:w="810" w:type="dxa"/>
            <w:tcBorders>
              <w:bottom w:val="single" w:sz="4" w:space="0" w:color="auto"/>
            </w:tcBorders>
          </w:tcPr>
          <w:p w:rsidR="009C6187" w:rsidRDefault="009C6187">
            <w:pPr>
              <w:rPr>
                <w:sz w:val="22"/>
              </w:rPr>
            </w:pPr>
          </w:p>
        </w:tc>
        <w:tc>
          <w:tcPr>
            <w:tcW w:w="4158" w:type="dxa"/>
          </w:tcPr>
          <w:p w:rsidR="009C6187" w:rsidRDefault="009C6187">
            <w:pPr>
              <w:rPr>
                <w:sz w:val="22"/>
              </w:rPr>
            </w:pPr>
            <w:r>
              <w:rPr>
                <w:sz w:val="22"/>
              </w:rPr>
              <w:t>Initiation</w:t>
            </w:r>
          </w:p>
        </w:tc>
      </w:tr>
      <w:tr w:rsidR="009C6187" w:rsidTr="00290A2B">
        <w:tc>
          <w:tcPr>
            <w:tcW w:w="828" w:type="dxa"/>
            <w:tcBorders>
              <w:top w:val="single" w:sz="4" w:space="0" w:color="auto"/>
              <w:bottom w:val="single" w:sz="4" w:space="0" w:color="auto"/>
            </w:tcBorders>
          </w:tcPr>
          <w:p w:rsidR="009C6187" w:rsidRDefault="005F726C">
            <w:pPr>
              <w:rPr>
                <w:sz w:val="22"/>
              </w:rPr>
            </w:pPr>
            <w:r>
              <w:rPr>
                <w:sz w:val="22"/>
              </w:rPr>
              <w:t>X</w:t>
            </w:r>
          </w:p>
        </w:tc>
        <w:tc>
          <w:tcPr>
            <w:tcW w:w="4500" w:type="dxa"/>
          </w:tcPr>
          <w:p w:rsidR="009C6187" w:rsidRDefault="009C6187">
            <w:pPr>
              <w:rPr>
                <w:sz w:val="22"/>
              </w:rPr>
            </w:pPr>
            <w:r>
              <w:rPr>
                <w:sz w:val="22"/>
              </w:rPr>
              <w:t>Modification</w:t>
            </w:r>
          </w:p>
        </w:tc>
        <w:tc>
          <w:tcPr>
            <w:tcW w:w="810" w:type="dxa"/>
            <w:tcBorders>
              <w:top w:val="single" w:sz="4" w:space="0" w:color="auto"/>
              <w:bottom w:val="single" w:sz="4" w:space="0" w:color="auto"/>
            </w:tcBorders>
          </w:tcPr>
          <w:p w:rsidR="009C6187" w:rsidRDefault="005F726C">
            <w:pPr>
              <w:rPr>
                <w:sz w:val="22"/>
              </w:rPr>
            </w:pPr>
            <w:r>
              <w:rPr>
                <w:sz w:val="22"/>
              </w:rPr>
              <w:t>X</w:t>
            </w:r>
          </w:p>
        </w:tc>
        <w:tc>
          <w:tcPr>
            <w:tcW w:w="4158" w:type="dxa"/>
          </w:tcPr>
          <w:p w:rsidR="009C6187" w:rsidRDefault="009C6187">
            <w:pPr>
              <w:rPr>
                <w:sz w:val="22"/>
              </w:rPr>
            </w:pPr>
            <w:r>
              <w:rPr>
                <w:sz w:val="22"/>
              </w:rPr>
              <w:t>Modification</w:t>
            </w:r>
          </w:p>
        </w:tc>
      </w:tr>
      <w:tr w:rsidR="009C6187" w:rsidTr="00994C55">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Interpretation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Interpretation</w:t>
            </w:r>
          </w:p>
        </w:tc>
      </w:tr>
      <w:tr w:rsidR="009C6187" w:rsidTr="00994C55">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Withdrawal</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Withdrawal</w:t>
            </w:r>
          </w:p>
        </w:tc>
      </w:tr>
      <w:tr w:rsidR="009C6187" w:rsidTr="00994C55">
        <w:tc>
          <w:tcPr>
            <w:tcW w:w="828" w:type="dxa"/>
            <w:tcBorders>
              <w:top w:val="single" w:sz="4" w:space="0" w:color="auto"/>
            </w:tcBorders>
          </w:tcPr>
          <w:p w:rsidR="009C6187" w:rsidRDefault="009C6187">
            <w:pPr>
              <w:rPr>
                <w:sz w:val="22"/>
              </w:rPr>
            </w:pPr>
          </w:p>
        </w:tc>
        <w:tc>
          <w:tcPr>
            <w:tcW w:w="4500" w:type="dxa"/>
          </w:tcPr>
          <w:p w:rsidR="009C6187" w:rsidRDefault="009C6187">
            <w:pPr>
              <w:rPr>
                <w:sz w:val="22"/>
              </w:rPr>
            </w:pPr>
          </w:p>
        </w:tc>
        <w:tc>
          <w:tcPr>
            <w:tcW w:w="810" w:type="dxa"/>
            <w:tcBorders>
              <w:top w:val="single" w:sz="4" w:space="0" w:color="auto"/>
            </w:tcBorders>
          </w:tcPr>
          <w:p w:rsidR="009C6187" w:rsidRDefault="009C6187">
            <w:pPr>
              <w:rPr>
                <w:sz w:val="22"/>
              </w:rPr>
            </w:pPr>
          </w:p>
        </w:tc>
        <w:tc>
          <w:tcPr>
            <w:tcW w:w="4158" w:type="dxa"/>
          </w:tcPr>
          <w:p w:rsidR="009C6187" w:rsidRDefault="009C6187">
            <w:pPr>
              <w:rPr>
                <w:sz w:val="22"/>
              </w:rPr>
            </w:pPr>
          </w:p>
        </w:tc>
      </w:tr>
      <w:tr w:rsidR="009C6187" w:rsidTr="00290A2B">
        <w:tc>
          <w:tcPr>
            <w:tcW w:w="828" w:type="dxa"/>
            <w:tcBorders>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Principle</w:t>
            </w:r>
            <w:r w:rsidR="00290A2B">
              <w:rPr>
                <w:sz w:val="22"/>
              </w:rPr>
              <w:t xml:space="preserve"> </w:t>
            </w:r>
            <w:r w:rsidR="00290A2B">
              <w:rPr>
                <w:i/>
                <w:sz w:val="22"/>
              </w:rPr>
              <w:t>[x.1.z]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Document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5F726C">
            <w:pPr>
              <w:rPr>
                <w:sz w:val="22"/>
              </w:rPr>
            </w:pPr>
            <w:r>
              <w:rPr>
                <w:sz w:val="22"/>
              </w:rPr>
              <w:t>X</w:t>
            </w:r>
          </w:p>
        </w:tc>
        <w:tc>
          <w:tcPr>
            <w:tcW w:w="4500" w:type="dxa"/>
          </w:tcPr>
          <w:p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5F726C">
            <w:pPr>
              <w:rPr>
                <w:sz w:val="22"/>
              </w:rPr>
            </w:pPr>
            <w:r>
              <w:rPr>
                <w:sz w:val="22"/>
              </w:rPr>
              <w:t>X</w:t>
            </w:r>
          </w:p>
        </w:tc>
        <w:tc>
          <w:tcPr>
            <w:tcW w:w="4158" w:type="dxa"/>
          </w:tcPr>
          <w:p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E55B86" w:rsidTr="00290A2B">
        <w:tc>
          <w:tcPr>
            <w:tcW w:w="828" w:type="dxa"/>
            <w:tcBorders>
              <w:top w:val="single" w:sz="4" w:space="0" w:color="auto"/>
              <w:bottom w:val="single" w:sz="4" w:space="0" w:color="auto"/>
            </w:tcBorders>
          </w:tcPr>
          <w:p w:rsidR="00E55B86" w:rsidRDefault="00E55B86">
            <w:pPr>
              <w:rPr>
                <w:sz w:val="22"/>
              </w:rPr>
            </w:pPr>
          </w:p>
        </w:tc>
        <w:tc>
          <w:tcPr>
            <w:tcW w:w="4500" w:type="dxa"/>
          </w:tcPr>
          <w:p w:rsidR="00E55B86" w:rsidRPr="00E55B86" w:rsidRDefault="00E55B86">
            <w:pPr>
              <w:rPr>
                <w:sz w:val="22"/>
              </w:rPr>
            </w:pPr>
            <w:r>
              <w:rPr>
                <w:sz w:val="22"/>
              </w:rPr>
              <w:t>Model</w:t>
            </w:r>
            <w:r w:rsidR="0032766A">
              <w:rPr>
                <w:sz w:val="22"/>
              </w:rPr>
              <w:t xml:space="preserve"> XML</w:t>
            </w:r>
            <w:r>
              <w:rPr>
                <w:sz w:val="22"/>
              </w:rPr>
              <w:t xml:space="preserve"> </w:t>
            </w:r>
            <w:r>
              <w:rPr>
                <w:i/>
                <w:sz w:val="22"/>
              </w:rPr>
              <w:t>[x.5.z]</w:t>
            </w:r>
          </w:p>
        </w:tc>
        <w:tc>
          <w:tcPr>
            <w:tcW w:w="810" w:type="dxa"/>
            <w:tcBorders>
              <w:top w:val="single" w:sz="4" w:space="0" w:color="auto"/>
              <w:bottom w:val="single" w:sz="4" w:space="0" w:color="auto"/>
            </w:tcBorders>
          </w:tcPr>
          <w:p w:rsidR="00E55B86" w:rsidRDefault="00E55B86">
            <w:pPr>
              <w:rPr>
                <w:sz w:val="22"/>
              </w:rPr>
            </w:pPr>
          </w:p>
        </w:tc>
        <w:tc>
          <w:tcPr>
            <w:tcW w:w="4158" w:type="dxa"/>
          </w:tcPr>
          <w:p w:rsidR="00E55B86" w:rsidRPr="00E55B86" w:rsidRDefault="00E55B86">
            <w:pPr>
              <w:rPr>
                <w:sz w:val="22"/>
              </w:rPr>
            </w:pPr>
            <w:r>
              <w:rPr>
                <w:sz w:val="22"/>
              </w:rPr>
              <w:t>Model</w:t>
            </w:r>
            <w:r w:rsidR="0032766A">
              <w:rPr>
                <w:sz w:val="22"/>
              </w:rPr>
              <w:t xml:space="preserve"> XML</w:t>
            </w:r>
            <w:r>
              <w:rPr>
                <w:sz w:val="22"/>
              </w:rPr>
              <w:t xml:space="preserve"> </w:t>
            </w:r>
            <w:r>
              <w:rPr>
                <w:i/>
                <w:sz w:val="22"/>
              </w:rPr>
              <w:t>[x.5.z]</w:t>
            </w:r>
          </w:p>
        </w:tc>
      </w:tr>
      <w:tr w:rsidR="009C6187" w:rsidTr="00290A2B">
        <w:tc>
          <w:tcPr>
            <w:tcW w:w="828" w:type="dxa"/>
            <w:tcBorders>
              <w:top w:val="single" w:sz="4" w:space="0" w:color="auto"/>
              <w:bottom w:val="single" w:sz="4" w:space="0" w:color="auto"/>
            </w:tcBorders>
          </w:tcPr>
          <w:p w:rsidR="009C6187" w:rsidRDefault="009C6187">
            <w:pPr>
              <w:rPr>
                <w:sz w:val="22"/>
              </w:rPr>
            </w:pPr>
          </w:p>
        </w:tc>
        <w:tc>
          <w:tcPr>
            <w:tcW w:w="4500" w:type="dxa"/>
          </w:tcPr>
          <w:p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rsidR="009C6187" w:rsidRDefault="009C6187">
            <w:pPr>
              <w:rPr>
                <w:sz w:val="22"/>
              </w:rPr>
            </w:pPr>
          </w:p>
        </w:tc>
        <w:tc>
          <w:tcPr>
            <w:tcW w:w="4158" w:type="dxa"/>
          </w:tcPr>
          <w:p w:rsidR="009C6187" w:rsidRDefault="009C6187">
            <w:pPr>
              <w:rPr>
                <w:sz w:val="22"/>
              </w:rPr>
            </w:pPr>
            <w:r>
              <w:rPr>
                <w:sz w:val="22"/>
              </w:rPr>
              <w:t>Business Process Documentation</w:t>
            </w:r>
          </w:p>
        </w:tc>
      </w:tr>
    </w:tbl>
    <w:p w:rsidR="009C6187" w:rsidRDefault="009C6187">
      <w:pPr>
        <w:rPr>
          <w:sz w:val="22"/>
        </w:rPr>
      </w:pPr>
    </w:p>
    <w:p w:rsidR="00E63535" w:rsidRDefault="00E63535">
      <w:pPr>
        <w:rPr>
          <w:sz w:val="22"/>
        </w:rPr>
      </w:pPr>
    </w:p>
    <w:p w:rsidR="00E65983" w:rsidRDefault="00E65983">
      <w:pPr>
        <w:rPr>
          <w:b/>
          <w:sz w:val="22"/>
        </w:rPr>
      </w:pPr>
      <w:r>
        <w:rPr>
          <w:b/>
          <w:sz w:val="22"/>
        </w:rPr>
        <w:t>3.  RECOMMENDATION</w:t>
      </w:r>
    </w:p>
    <w:p w:rsidR="00E65983" w:rsidRDefault="00E65983">
      <w:pPr>
        <w:rPr>
          <w:b/>
          <w:sz w:val="22"/>
        </w:rPr>
      </w:pPr>
    </w:p>
    <w:p w:rsidR="00E65983" w:rsidRDefault="00E65983">
      <w:pPr>
        <w:rPr>
          <w:sz w:val="22"/>
        </w:rPr>
      </w:pPr>
      <w:r>
        <w:rPr>
          <w:b/>
          <w:sz w:val="22"/>
        </w:rPr>
        <w:t>SUMMARY:</w:t>
      </w:r>
      <w:r w:rsidR="005C4EF7">
        <w:rPr>
          <w:b/>
          <w:sz w:val="22"/>
        </w:rPr>
        <w:tab/>
      </w:r>
      <w:r w:rsidR="005C4EF7">
        <w:rPr>
          <w:sz w:val="22"/>
        </w:rPr>
        <w:t>To be included in NAESB WGQ Standards Version 3.2</w:t>
      </w:r>
    </w:p>
    <w:p w:rsidR="005C4EF7" w:rsidRDefault="005C4EF7">
      <w:pPr>
        <w:rPr>
          <w:sz w:val="22"/>
        </w:rPr>
      </w:pPr>
    </w:p>
    <w:p w:rsidR="005F726C" w:rsidRDefault="005F726C" w:rsidP="00E65983">
      <w:pPr>
        <w:rPr>
          <w:sz w:val="22"/>
        </w:rPr>
      </w:pPr>
      <w:r>
        <w:rPr>
          <w:sz w:val="22"/>
        </w:rPr>
        <w:t>Add new Sender's Option data element "Location Fuel Area" to the following data set(s):</w:t>
      </w:r>
    </w:p>
    <w:p w:rsidR="005F726C" w:rsidRDefault="005F726C" w:rsidP="00E65983">
      <w:pPr>
        <w:rPr>
          <w:sz w:val="22"/>
        </w:rPr>
      </w:pPr>
    </w:p>
    <w:p w:rsidR="00E65983" w:rsidRDefault="005F726C" w:rsidP="00E65983">
      <w:pPr>
        <w:rPr>
          <w:b/>
          <w:sz w:val="20"/>
          <w:szCs w:val="20"/>
        </w:rPr>
        <w:sectPr w:rsidR="00E65983" w:rsidSect="009C6187">
          <w:headerReference w:type="default" r:id="rId8"/>
          <w:pgSz w:w="12240" w:h="15840" w:code="1"/>
          <w:pgMar w:top="2520" w:right="1080" w:bottom="720" w:left="1080" w:header="720" w:footer="720" w:gutter="0"/>
          <w:cols w:space="720"/>
          <w:docGrid w:linePitch="360"/>
        </w:sectPr>
      </w:pPr>
      <w:r>
        <w:rPr>
          <w:sz w:val="22"/>
        </w:rPr>
        <w:tab/>
        <w:t xml:space="preserve">NAESB WGQ Standard No. 0.4.4 </w:t>
      </w:r>
      <w:r>
        <w:rPr>
          <w:sz w:val="22"/>
        </w:rPr>
        <w:tab/>
        <w:t>Location Data Download</w:t>
      </w:r>
    </w:p>
    <w:p w:rsidR="00E65983" w:rsidRDefault="00E65983" w:rsidP="00E65983">
      <w:pPr>
        <w:rPr>
          <w:b/>
          <w:sz w:val="20"/>
          <w:szCs w:val="20"/>
        </w:rPr>
      </w:pPr>
    </w:p>
    <w:p w:rsidR="005F726C" w:rsidRDefault="005F726C" w:rsidP="00E65983">
      <w:pPr>
        <w:rPr>
          <w:b/>
          <w:sz w:val="22"/>
        </w:rPr>
      </w:pPr>
    </w:p>
    <w:p w:rsidR="005F726C" w:rsidRDefault="005F726C" w:rsidP="00E65983">
      <w:pPr>
        <w:rPr>
          <w:b/>
          <w:sz w:val="22"/>
        </w:rPr>
      </w:pPr>
    </w:p>
    <w:p w:rsidR="005F726C" w:rsidRDefault="005F726C" w:rsidP="00E65983">
      <w:pPr>
        <w:rPr>
          <w:b/>
          <w:sz w:val="22"/>
        </w:rPr>
      </w:pPr>
    </w:p>
    <w:p w:rsidR="005F726C" w:rsidRDefault="005F726C" w:rsidP="00E65983">
      <w:pPr>
        <w:rPr>
          <w:b/>
          <w:sz w:val="22"/>
        </w:rPr>
      </w:pPr>
    </w:p>
    <w:p w:rsidR="005F726C" w:rsidRDefault="005F726C" w:rsidP="00E65983">
      <w:pPr>
        <w:rPr>
          <w:b/>
          <w:sz w:val="22"/>
        </w:rPr>
      </w:pPr>
    </w:p>
    <w:p w:rsidR="00E65983" w:rsidRDefault="005F726C" w:rsidP="00E65983">
      <w:pPr>
        <w:rPr>
          <w:sz w:val="18"/>
          <w:szCs w:val="18"/>
        </w:rPr>
      </w:pPr>
      <w:r>
        <w:rPr>
          <w:b/>
          <w:sz w:val="22"/>
        </w:rPr>
        <w:t>DATA DICTIONARY</w:t>
      </w:r>
      <w:r w:rsidR="00E65983">
        <w:rPr>
          <w:b/>
          <w:sz w:val="22"/>
        </w:rPr>
        <w:t xml:space="preserve">: </w:t>
      </w:r>
      <w:r w:rsidR="00E65983" w:rsidRPr="00E65983">
        <w:rPr>
          <w:sz w:val="18"/>
          <w:szCs w:val="18"/>
        </w:rPr>
        <w:t>(for addition, modification or deletion of code values)</w:t>
      </w:r>
    </w:p>
    <w:p w:rsidR="00E65983" w:rsidRDefault="00E65983" w:rsidP="00E65983">
      <w:pPr>
        <w:rPr>
          <w:sz w:val="18"/>
          <w:szCs w:val="18"/>
        </w:rPr>
      </w:pPr>
    </w:p>
    <w:p w:rsidR="00E65983" w:rsidRDefault="00E65983" w:rsidP="00E65983">
      <w:pPr>
        <w:ind w:left="360"/>
        <w:rPr>
          <w:sz w:val="20"/>
          <w:szCs w:val="20"/>
        </w:rPr>
      </w:pPr>
      <w:r>
        <w:rPr>
          <w:b/>
          <w:sz w:val="20"/>
          <w:szCs w:val="20"/>
        </w:rPr>
        <w:t>Document Name and No.:</w:t>
      </w:r>
      <w:r w:rsidR="005C4EF7">
        <w:rPr>
          <w:b/>
          <w:sz w:val="20"/>
          <w:szCs w:val="20"/>
        </w:rPr>
        <w:tab/>
      </w:r>
      <w:r w:rsidR="005F726C">
        <w:rPr>
          <w:sz w:val="20"/>
          <w:szCs w:val="20"/>
        </w:rPr>
        <w:t>NAESB WGQ Standard No. 0.4.4</w:t>
      </w:r>
      <w:r w:rsidR="005F726C">
        <w:rPr>
          <w:sz w:val="20"/>
          <w:szCs w:val="20"/>
        </w:rPr>
        <w:tab/>
        <w:t>Location Data Download</w:t>
      </w:r>
    </w:p>
    <w:p w:rsidR="005F726C" w:rsidRDefault="005F726C" w:rsidP="00E65983">
      <w:pPr>
        <w:ind w:left="360"/>
        <w:rPr>
          <w:sz w:val="20"/>
          <w:szCs w:val="20"/>
        </w:rPr>
      </w:pPr>
    </w:p>
    <w:tbl>
      <w:tblPr>
        <w:tblW w:w="13607"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2" w:type="dxa"/>
          <w:right w:w="122" w:type="dxa"/>
        </w:tblCellMar>
        <w:tblLook w:val="0000" w:firstRow="0" w:lastRow="0" w:firstColumn="0" w:lastColumn="0" w:noHBand="0" w:noVBand="0"/>
      </w:tblPr>
      <w:tblGrid>
        <w:gridCol w:w="4057"/>
        <w:gridCol w:w="4050"/>
        <w:gridCol w:w="810"/>
        <w:gridCol w:w="4690"/>
      </w:tblGrid>
      <w:tr w:rsidR="005F726C" w:rsidRPr="00E355FF" w:rsidTr="005F726C">
        <w:trPr>
          <w:cantSplit/>
          <w:tblHeader/>
        </w:trPr>
        <w:tc>
          <w:tcPr>
            <w:tcW w:w="4057" w:type="dxa"/>
            <w:tcBorders>
              <w:top w:val="double" w:sz="6" w:space="0" w:color="auto"/>
              <w:bottom w:val="double" w:sz="6" w:space="0" w:color="auto"/>
            </w:tcBorders>
            <w:vAlign w:val="bottom"/>
          </w:tcPr>
          <w:p w:rsidR="005F726C" w:rsidRPr="00E355FF" w:rsidRDefault="005F726C" w:rsidP="00321944">
            <w:pPr>
              <w:widowControl w:val="0"/>
              <w:spacing w:before="80" w:after="40"/>
              <w:ind w:left="65"/>
              <w:rPr>
                <w:rFonts w:cs="Arial"/>
                <w:b/>
                <w:snapToGrid w:val="0"/>
                <w:sz w:val="18"/>
                <w:szCs w:val="18"/>
              </w:rPr>
            </w:pPr>
            <w:r w:rsidRPr="00E355FF">
              <w:rPr>
                <w:rFonts w:cs="Arial"/>
                <w:b/>
                <w:snapToGrid w:val="0"/>
                <w:sz w:val="18"/>
                <w:szCs w:val="18"/>
              </w:rPr>
              <w:t>Business Name</w:t>
            </w:r>
          </w:p>
          <w:p w:rsidR="005F726C" w:rsidRPr="00E355FF" w:rsidRDefault="005F726C" w:rsidP="00321944">
            <w:pPr>
              <w:widowControl w:val="0"/>
              <w:spacing w:before="80" w:after="40"/>
              <w:ind w:left="65"/>
              <w:rPr>
                <w:rFonts w:cs="Arial"/>
                <w:b/>
                <w:snapToGrid w:val="0"/>
                <w:sz w:val="18"/>
                <w:szCs w:val="18"/>
              </w:rPr>
            </w:pPr>
            <w:r w:rsidRPr="00E355FF">
              <w:rPr>
                <w:rFonts w:cs="Arial"/>
                <w:b/>
                <w:snapToGrid w:val="0"/>
                <w:sz w:val="18"/>
                <w:szCs w:val="18"/>
              </w:rPr>
              <w:t>(Abbreviation)</w:t>
            </w:r>
          </w:p>
        </w:tc>
        <w:tc>
          <w:tcPr>
            <w:tcW w:w="4050" w:type="dxa"/>
            <w:tcBorders>
              <w:top w:val="double" w:sz="6" w:space="0" w:color="auto"/>
              <w:bottom w:val="double" w:sz="6" w:space="0" w:color="auto"/>
            </w:tcBorders>
            <w:vAlign w:val="bottom"/>
          </w:tcPr>
          <w:p w:rsidR="005F726C" w:rsidRPr="00E355FF" w:rsidRDefault="005F726C" w:rsidP="00321944">
            <w:pPr>
              <w:widowControl w:val="0"/>
              <w:spacing w:before="80" w:after="40"/>
              <w:rPr>
                <w:rFonts w:cs="Arial"/>
                <w:b/>
                <w:snapToGrid w:val="0"/>
                <w:sz w:val="18"/>
                <w:szCs w:val="18"/>
              </w:rPr>
            </w:pPr>
            <w:r w:rsidRPr="00E355FF">
              <w:rPr>
                <w:rFonts w:cs="Arial"/>
                <w:b/>
                <w:snapToGrid w:val="0"/>
                <w:sz w:val="18"/>
                <w:szCs w:val="18"/>
              </w:rPr>
              <w:t>Definition</w:t>
            </w:r>
          </w:p>
        </w:tc>
        <w:tc>
          <w:tcPr>
            <w:tcW w:w="810" w:type="dxa"/>
            <w:tcBorders>
              <w:top w:val="double" w:sz="6" w:space="0" w:color="auto"/>
              <w:bottom w:val="double" w:sz="6" w:space="0" w:color="auto"/>
            </w:tcBorders>
            <w:vAlign w:val="bottom"/>
          </w:tcPr>
          <w:p w:rsidR="005F726C" w:rsidRPr="00E355FF" w:rsidRDefault="005F726C" w:rsidP="00321944">
            <w:pPr>
              <w:widowControl w:val="0"/>
              <w:spacing w:before="80" w:after="40"/>
              <w:jc w:val="center"/>
              <w:rPr>
                <w:rFonts w:cs="Arial"/>
                <w:b/>
                <w:snapToGrid w:val="0"/>
                <w:sz w:val="18"/>
                <w:szCs w:val="18"/>
              </w:rPr>
            </w:pPr>
            <w:r w:rsidRPr="00E355FF">
              <w:rPr>
                <w:rFonts w:cs="Arial"/>
                <w:b/>
                <w:snapToGrid w:val="0"/>
                <w:sz w:val="18"/>
                <w:szCs w:val="18"/>
              </w:rPr>
              <w:t>CSV Usage</w:t>
            </w:r>
          </w:p>
        </w:tc>
        <w:tc>
          <w:tcPr>
            <w:tcW w:w="4690" w:type="dxa"/>
            <w:tcBorders>
              <w:top w:val="double" w:sz="6" w:space="0" w:color="auto"/>
              <w:bottom w:val="double" w:sz="6" w:space="0" w:color="auto"/>
            </w:tcBorders>
            <w:vAlign w:val="bottom"/>
          </w:tcPr>
          <w:p w:rsidR="005F726C" w:rsidRPr="00E355FF" w:rsidRDefault="005F726C" w:rsidP="00321944">
            <w:pPr>
              <w:widowControl w:val="0"/>
              <w:spacing w:before="80" w:after="40"/>
              <w:rPr>
                <w:rFonts w:cs="Arial"/>
                <w:b/>
                <w:snapToGrid w:val="0"/>
                <w:sz w:val="18"/>
                <w:szCs w:val="18"/>
              </w:rPr>
            </w:pPr>
            <w:r w:rsidRPr="00E355FF">
              <w:rPr>
                <w:rFonts w:cs="Arial"/>
                <w:b/>
                <w:snapToGrid w:val="0"/>
                <w:sz w:val="18"/>
                <w:szCs w:val="18"/>
              </w:rPr>
              <w:t>Condition</w:t>
            </w:r>
          </w:p>
        </w:tc>
      </w:tr>
      <w:tr w:rsidR="005F726C" w:rsidRPr="00E355FF" w:rsidTr="005F726C">
        <w:trPr>
          <w:cantSplit/>
        </w:trPr>
        <w:tc>
          <w:tcPr>
            <w:tcW w:w="4057" w:type="dxa"/>
            <w:tcBorders>
              <w:top w:val="nil"/>
            </w:tcBorders>
            <w:shd w:val="clear" w:color="auto" w:fill="auto"/>
          </w:tcPr>
          <w:p w:rsidR="005F726C" w:rsidRPr="00E355FF" w:rsidRDefault="005F726C" w:rsidP="005F726C">
            <w:pPr>
              <w:pStyle w:val="BodyTextIndent"/>
              <w:spacing w:before="80" w:after="40"/>
              <w:ind w:left="65"/>
              <w:rPr>
                <w:rFonts w:cs="Arial"/>
                <w:sz w:val="18"/>
                <w:szCs w:val="18"/>
              </w:rPr>
            </w:pPr>
            <w:r w:rsidRPr="00E355FF">
              <w:rPr>
                <w:rFonts w:cs="Arial"/>
                <w:sz w:val="18"/>
                <w:szCs w:val="18"/>
              </w:rPr>
              <w:t xml:space="preserve">Location </w:t>
            </w:r>
            <w:r>
              <w:rPr>
                <w:rFonts w:cs="Arial"/>
                <w:sz w:val="18"/>
                <w:szCs w:val="18"/>
              </w:rPr>
              <w:t>Fuel Area</w:t>
            </w:r>
            <w:r w:rsidRPr="00E355FF">
              <w:rPr>
                <w:rFonts w:cs="Arial"/>
                <w:sz w:val="18"/>
                <w:szCs w:val="18"/>
              </w:rPr>
              <w:br/>
            </w:r>
            <w:r>
              <w:rPr>
                <w:rFonts w:cs="Arial"/>
                <w:sz w:val="18"/>
                <w:szCs w:val="18"/>
              </w:rPr>
              <w:t>(Loc Fuel Area</w:t>
            </w:r>
            <w:r w:rsidRPr="00E355FF">
              <w:rPr>
                <w:rFonts w:cs="Arial"/>
                <w:sz w:val="18"/>
                <w:szCs w:val="18"/>
              </w:rPr>
              <w:t>)</w:t>
            </w:r>
          </w:p>
        </w:tc>
        <w:tc>
          <w:tcPr>
            <w:tcW w:w="4050" w:type="dxa"/>
            <w:tcBorders>
              <w:top w:val="nil"/>
            </w:tcBorders>
          </w:tcPr>
          <w:p w:rsidR="005F726C" w:rsidRPr="005F726C" w:rsidRDefault="005F726C" w:rsidP="00321944">
            <w:pPr>
              <w:pStyle w:val="BodyTextIndent"/>
              <w:spacing w:before="80" w:after="40"/>
              <w:ind w:left="28"/>
              <w:rPr>
                <w:rFonts w:cs="Arial"/>
                <w:sz w:val="18"/>
                <w:szCs w:val="18"/>
              </w:rPr>
            </w:pPr>
            <w:r w:rsidRPr="005F726C">
              <w:rPr>
                <w:sz w:val="18"/>
                <w:szCs w:val="18"/>
              </w:rPr>
              <w:t>The Transportation Service Provider’s designated name, description or other identifier used to identify the fuel area applicable to the location.</w:t>
            </w:r>
          </w:p>
        </w:tc>
        <w:tc>
          <w:tcPr>
            <w:tcW w:w="810" w:type="dxa"/>
            <w:tcBorders>
              <w:top w:val="nil"/>
            </w:tcBorders>
          </w:tcPr>
          <w:p w:rsidR="005F726C" w:rsidRPr="00E355FF" w:rsidRDefault="005F726C" w:rsidP="00321944">
            <w:pPr>
              <w:pStyle w:val="BodyTextIndent"/>
              <w:spacing w:before="80" w:after="40"/>
              <w:ind w:left="0"/>
              <w:jc w:val="center"/>
              <w:rPr>
                <w:rFonts w:cs="Arial"/>
                <w:sz w:val="18"/>
                <w:szCs w:val="18"/>
              </w:rPr>
            </w:pPr>
            <w:r>
              <w:rPr>
                <w:rFonts w:cs="Arial"/>
                <w:sz w:val="18"/>
                <w:szCs w:val="18"/>
              </w:rPr>
              <w:t>SO</w:t>
            </w:r>
          </w:p>
        </w:tc>
        <w:tc>
          <w:tcPr>
            <w:tcW w:w="4690" w:type="dxa"/>
            <w:tcBorders>
              <w:top w:val="nil"/>
            </w:tcBorders>
          </w:tcPr>
          <w:p w:rsidR="005F726C" w:rsidRPr="00E355FF" w:rsidRDefault="005F726C" w:rsidP="00321944">
            <w:pPr>
              <w:widowControl w:val="0"/>
              <w:spacing w:before="80" w:after="40"/>
              <w:rPr>
                <w:rFonts w:cs="Arial"/>
                <w:snapToGrid w:val="0"/>
                <w:sz w:val="18"/>
                <w:szCs w:val="18"/>
              </w:rPr>
            </w:pPr>
          </w:p>
        </w:tc>
      </w:tr>
    </w:tbl>
    <w:p w:rsidR="005F726C" w:rsidRDefault="005F726C" w:rsidP="005F726C">
      <w:pPr>
        <w:rPr>
          <w:sz w:val="20"/>
          <w:szCs w:val="20"/>
        </w:rPr>
      </w:pPr>
    </w:p>
    <w:p w:rsidR="005F726C" w:rsidRDefault="005F726C" w:rsidP="005F726C">
      <w:pPr>
        <w:rPr>
          <w:sz w:val="20"/>
          <w:szCs w:val="20"/>
        </w:rPr>
      </w:pPr>
    </w:p>
    <w:p w:rsidR="00363C04" w:rsidRDefault="00363C04" w:rsidP="007059E0">
      <w:pPr>
        <w:rPr>
          <w:sz w:val="20"/>
          <w:szCs w:val="20"/>
        </w:rPr>
      </w:pPr>
    </w:p>
    <w:p w:rsidR="00363C04" w:rsidRDefault="00363C04" w:rsidP="00363C04">
      <w:pPr>
        <w:rPr>
          <w:b/>
          <w:sz w:val="22"/>
        </w:rPr>
      </w:pPr>
      <w:r>
        <w:rPr>
          <w:b/>
          <w:sz w:val="22"/>
        </w:rPr>
        <w:t>4.  SUPPORTING DOCUMENTATION</w:t>
      </w:r>
    </w:p>
    <w:p w:rsidR="00363C04" w:rsidRDefault="00363C04" w:rsidP="00363C04">
      <w:pPr>
        <w:rPr>
          <w:b/>
          <w:sz w:val="22"/>
        </w:rPr>
      </w:pPr>
    </w:p>
    <w:p w:rsidR="00363C04" w:rsidRPr="005F726C" w:rsidRDefault="00363C04" w:rsidP="005C4EF7">
      <w:pPr>
        <w:numPr>
          <w:ilvl w:val="0"/>
          <w:numId w:val="1"/>
        </w:numPr>
        <w:rPr>
          <w:sz w:val="22"/>
        </w:rPr>
      </w:pPr>
      <w:r w:rsidRPr="005F726C">
        <w:rPr>
          <w:b/>
          <w:sz w:val="22"/>
        </w:rPr>
        <w:t>Description of Request:</w:t>
      </w:r>
    </w:p>
    <w:p w:rsidR="005F726C" w:rsidRDefault="005F726C" w:rsidP="005F726C">
      <w:pPr>
        <w:ind w:left="720" w:right="-1080"/>
        <w:rPr>
          <w:sz w:val="22"/>
        </w:rPr>
      </w:pPr>
      <w:r w:rsidRPr="00250BE5">
        <w:rPr>
          <w:sz w:val="22"/>
        </w:rPr>
        <w:t xml:space="preserve">Section 1 of the General Terms and Conditions of the Commission-approved tariff of NEXUS Gas Transmission, LLC ("NEXUS"), which is operated by Enbridge (U.S.) Inc., contains separate definitions of the terms "Fuel Area" and "Zone".  Many pipelines that are comprised of multiple zones </w:t>
      </w:r>
      <w:r>
        <w:rPr>
          <w:sz w:val="22"/>
        </w:rPr>
        <w:t xml:space="preserve">(such as NEXUS' affiliate Texas Eastern Transmission, LP) </w:t>
      </w:r>
      <w:r w:rsidRPr="00250BE5">
        <w:rPr>
          <w:sz w:val="22"/>
        </w:rPr>
        <w:t xml:space="preserve">utilize the same zonal definitions for both transportation rate and fuel retention purposes.  Unlike those pipelines, the NEXUS system is divided into three zones for transportation rate purposes and four fuel areas for fuel retainage purposes; as a result, the zone assigned to a particular location for transportation rate determination purposes may not be the same as the fuel area assigned to that location for fuel retention purposes.  </w:t>
      </w:r>
      <w:r>
        <w:rPr>
          <w:sz w:val="22"/>
        </w:rPr>
        <w:t xml:space="preserve">NEXUS utilizes the existing data element "Location Zone" in the Location Data Download posting on its Informational Postings site to identify the zone applicable to a location for transportation rate determination purposes.  </w:t>
      </w:r>
      <w:r w:rsidRPr="00250BE5">
        <w:rPr>
          <w:sz w:val="22"/>
        </w:rPr>
        <w:t>NEXUS has received requests from its customers to identify the Fuel Area for each receipt and delivery location listed on the Location Data Download so that they have the information that will allow them to identify the nomination path used to determine the fuel retention quantity applicable to their nomination(s).</w:t>
      </w:r>
    </w:p>
    <w:p w:rsidR="005F726C" w:rsidRDefault="005F726C" w:rsidP="005F726C">
      <w:pPr>
        <w:ind w:left="720"/>
        <w:rPr>
          <w:sz w:val="22"/>
        </w:rPr>
      </w:pPr>
    </w:p>
    <w:p w:rsidR="005F726C" w:rsidRDefault="005F726C" w:rsidP="005F726C">
      <w:pPr>
        <w:spacing w:after="120"/>
        <w:ind w:left="720" w:right="-1080"/>
        <w:jc w:val="both"/>
        <w:rPr>
          <w:sz w:val="22"/>
        </w:rPr>
      </w:pPr>
      <w:r w:rsidRPr="00250BE5">
        <w:rPr>
          <w:sz w:val="22"/>
        </w:rPr>
        <w:t xml:space="preserve">Enbridge (U.S.) Inc. is requesting the addition of the data element "Location Fuel Area" to the Location Data Download in order to enable NEXUS to identify the Fuel Area associated with each receipt and delivery location on its system.  As a pipeline that utilizes the pathed nomination model, the quantity of fuel that a customer is required to provide to NEXUS as part of its nomination is determined by the path traversed from the nominated receipt point to the nominated delivery point.  The addition of this data element </w:t>
      </w:r>
    </w:p>
    <w:p w:rsidR="005F726C" w:rsidRDefault="005F726C" w:rsidP="005F726C">
      <w:pPr>
        <w:spacing w:after="120"/>
        <w:ind w:left="720" w:right="-1080"/>
        <w:jc w:val="both"/>
        <w:rPr>
          <w:sz w:val="22"/>
        </w:rPr>
      </w:pPr>
    </w:p>
    <w:p w:rsidR="005F726C" w:rsidRDefault="005F726C" w:rsidP="005F726C">
      <w:pPr>
        <w:spacing w:after="120"/>
        <w:ind w:left="720" w:right="-1080"/>
        <w:jc w:val="both"/>
        <w:rPr>
          <w:sz w:val="22"/>
        </w:rPr>
      </w:pPr>
    </w:p>
    <w:p w:rsidR="005F726C" w:rsidRDefault="005F726C" w:rsidP="005F726C">
      <w:pPr>
        <w:spacing w:after="120"/>
        <w:ind w:left="720" w:right="-1080"/>
        <w:jc w:val="both"/>
        <w:rPr>
          <w:sz w:val="22"/>
        </w:rPr>
      </w:pPr>
    </w:p>
    <w:p w:rsidR="005F726C" w:rsidRDefault="005F726C" w:rsidP="005F726C">
      <w:pPr>
        <w:spacing w:after="120"/>
        <w:ind w:left="720" w:right="-1080"/>
        <w:jc w:val="both"/>
        <w:rPr>
          <w:sz w:val="22"/>
        </w:rPr>
      </w:pPr>
    </w:p>
    <w:p w:rsidR="006273C1" w:rsidRDefault="006273C1" w:rsidP="005F726C">
      <w:pPr>
        <w:spacing w:after="120"/>
        <w:ind w:left="720" w:right="-1080"/>
        <w:jc w:val="both"/>
        <w:rPr>
          <w:sz w:val="22"/>
        </w:rPr>
      </w:pPr>
    </w:p>
    <w:p w:rsidR="005F726C" w:rsidRPr="00CF3A32" w:rsidRDefault="005F726C" w:rsidP="005F726C">
      <w:pPr>
        <w:spacing w:after="120"/>
        <w:ind w:left="720" w:right="-1080"/>
        <w:jc w:val="both"/>
        <w:rPr>
          <w:sz w:val="22"/>
        </w:rPr>
      </w:pPr>
      <w:proofErr w:type="gramStart"/>
      <w:r w:rsidRPr="00250BE5">
        <w:rPr>
          <w:sz w:val="22"/>
        </w:rPr>
        <w:t>will</w:t>
      </w:r>
      <w:proofErr w:type="gramEnd"/>
      <w:r w:rsidRPr="00250BE5">
        <w:rPr>
          <w:sz w:val="22"/>
        </w:rPr>
        <w:t xml:space="preserve"> allow NEXUS to provide information that will assist its customers in identifying the fuel path that will be used to calculate their fuel retention requirement.</w:t>
      </w:r>
    </w:p>
    <w:p w:rsidR="005F726C" w:rsidRPr="005F726C" w:rsidRDefault="005F726C" w:rsidP="005F726C">
      <w:pPr>
        <w:ind w:left="720"/>
        <w:rPr>
          <w:sz w:val="22"/>
        </w:rPr>
      </w:pPr>
    </w:p>
    <w:p w:rsidR="00363C04" w:rsidRDefault="00363C04" w:rsidP="00363C04">
      <w:pPr>
        <w:numPr>
          <w:ilvl w:val="0"/>
          <w:numId w:val="1"/>
        </w:numPr>
        <w:rPr>
          <w:b/>
          <w:sz w:val="22"/>
        </w:rPr>
      </w:pPr>
      <w:r>
        <w:rPr>
          <w:b/>
          <w:sz w:val="22"/>
        </w:rPr>
        <w:t>Description of Recommendation:</w:t>
      </w:r>
    </w:p>
    <w:p w:rsidR="00363C04" w:rsidRDefault="00363C04" w:rsidP="00363C04">
      <w:pPr>
        <w:rPr>
          <w:b/>
          <w:sz w:val="22"/>
        </w:rPr>
      </w:pPr>
    </w:p>
    <w:p w:rsidR="005F726C" w:rsidRDefault="005F726C" w:rsidP="00363C04">
      <w:pPr>
        <w:ind w:left="1080"/>
        <w:rPr>
          <w:b/>
          <w:sz w:val="22"/>
        </w:rPr>
      </w:pPr>
      <w:r>
        <w:rPr>
          <w:b/>
          <w:sz w:val="22"/>
        </w:rPr>
        <w:t>Business Practices Subcommittee</w:t>
      </w:r>
    </w:p>
    <w:p w:rsidR="005F726C" w:rsidRDefault="005F726C" w:rsidP="00363C04">
      <w:pPr>
        <w:ind w:left="1080"/>
        <w:rPr>
          <w:sz w:val="22"/>
        </w:rPr>
      </w:pPr>
      <w:r>
        <w:rPr>
          <w:sz w:val="22"/>
        </w:rPr>
        <w:t>See the following meeting minutes for the Business Practices</w:t>
      </w:r>
      <w:r w:rsidR="00106170">
        <w:rPr>
          <w:sz w:val="22"/>
        </w:rPr>
        <w:t xml:space="preserve"> S</w:t>
      </w:r>
      <w:r>
        <w:rPr>
          <w:sz w:val="22"/>
        </w:rPr>
        <w:t>ubcommittee:</w:t>
      </w:r>
    </w:p>
    <w:p w:rsidR="005F726C" w:rsidRDefault="005F726C" w:rsidP="005F726C">
      <w:pPr>
        <w:pStyle w:val="ListParagraph"/>
        <w:numPr>
          <w:ilvl w:val="0"/>
          <w:numId w:val="4"/>
        </w:numPr>
        <w:rPr>
          <w:sz w:val="22"/>
        </w:rPr>
      </w:pPr>
      <w:r>
        <w:rPr>
          <w:sz w:val="22"/>
        </w:rPr>
        <w:t>April 2, 2019</w:t>
      </w:r>
    </w:p>
    <w:p w:rsidR="005F726C" w:rsidRDefault="005F726C" w:rsidP="005F726C">
      <w:pPr>
        <w:rPr>
          <w:sz w:val="22"/>
        </w:rPr>
      </w:pPr>
    </w:p>
    <w:p w:rsidR="005F726C" w:rsidRDefault="005F726C" w:rsidP="005F726C">
      <w:pPr>
        <w:rPr>
          <w:b/>
          <w:sz w:val="22"/>
        </w:rPr>
      </w:pPr>
      <w:r>
        <w:rPr>
          <w:sz w:val="22"/>
        </w:rPr>
        <w:tab/>
      </w:r>
      <w:r>
        <w:rPr>
          <w:sz w:val="22"/>
        </w:rPr>
        <w:tab/>
      </w:r>
      <w:r>
        <w:rPr>
          <w:b/>
          <w:sz w:val="22"/>
        </w:rPr>
        <w:t>Instructions to Joint Information Requirements / Technical Subcommittee</w:t>
      </w:r>
    </w:p>
    <w:p w:rsidR="009113E4" w:rsidRPr="009113E4" w:rsidRDefault="009113E4" w:rsidP="009113E4">
      <w:pPr>
        <w:ind w:left="1440"/>
        <w:jc w:val="both"/>
        <w:rPr>
          <w:rFonts w:cs="Arial"/>
          <w:sz w:val="22"/>
        </w:rPr>
      </w:pPr>
      <w:r w:rsidRPr="009113E4">
        <w:rPr>
          <w:rFonts w:cs="Arial"/>
          <w:sz w:val="22"/>
        </w:rPr>
        <w:t>The Wholesale Gas Quadrant (WGQ) Business Practices Subcommittee (BPS) instructs the joint Information Requirements and Technical Subcommittees (IR/Tech) to accommodate the requester’s need to identify location fuel data on a Sender’s Option basis in NAESB WGQ Standard No. 0.4.4 (Location Data Download).</w:t>
      </w:r>
    </w:p>
    <w:p w:rsidR="009113E4" w:rsidRPr="009113E4" w:rsidRDefault="009113E4" w:rsidP="005F726C">
      <w:pPr>
        <w:rPr>
          <w:sz w:val="22"/>
        </w:rPr>
      </w:pPr>
    </w:p>
    <w:p w:rsidR="005F726C" w:rsidRDefault="005F726C" w:rsidP="00363C04">
      <w:pPr>
        <w:ind w:left="1080"/>
        <w:rPr>
          <w:b/>
          <w:sz w:val="22"/>
        </w:rPr>
      </w:pPr>
    </w:p>
    <w:p w:rsidR="00363C04" w:rsidRDefault="00363C04" w:rsidP="00363C04">
      <w:pPr>
        <w:ind w:left="1080"/>
        <w:rPr>
          <w:b/>
          <w:sz w:val="22"/>
        </w:rPr>
      </w:pPr>
      <w:r>
        <w:rPr>
          <w:b/>
          <w:sz w:val="22"/>
        </w:rPr>
        <w:t>Information Requirements / Technical Subcommittee</w:t>
      </w:r>
    </w:p>
    <w:p w:rsidR="00363C04" w:rsidRDefault="00363C04" w:rsidP="00363C04">
      <w:pPr>
        <w:ind w:left="1080"/>
        <w:rPr>
          <w:sz w:val="22"/>
        </w:rPr>
      </w:pPr>
      <w:r>
        <w:rPr>
          <w:sz w:val="22"/>
        </w:rPr>
        <w:t>See the following meeting minutes for the Joint Information Requirements / Technical Subcommittees:</w:t>
      </w:r>
    </w:p>
    <w:p w:rsidR="00363C04" w:rsidRDefault="009113E4" w:rsidP="00363C04">
      <w:pPr>
        <w:numPr>
          <w:ilvl w:val="0"/>
          <w:numId w:val="2"/>
        </w:numPr>
        <w:rPr>
          <w:sz w:val="22"/>
        </w:rPr>
      </w:pPr>
      <w:r>
        <w:rPr>
          <w:sz w:val="22"/>
        </w:rPr>
        <w:t>April 9</w:t>
      </w:r>
      <w:r w:rsidR="00E55B86">
        <w:rPr>
          <w:sz w:val="22"/>
        </w:rPr>
        <w:t>,</w:t>
      </w:r>
      <w:r>
        <w:rPr>
          <w:sz w:val="22"/>
        </w:rPr>
        <w:t xml:space="preserve"> 2019</w:t>
      </w:r>
    </w:p>
    <w:p w:rsidR="00E55B86" w:rsidRDefault="00E55B86" w:rsidP="00363C04">
      <w:pPr>
        <w:numPr>
          <w:ilvl w:val="0"/>
          <w:numId w:val="2"/>
        </w:numPr>
        <w:rPr>
          <w:sz w:val="22"/>
        </w:rPr>
      </w:pPr>
      <w:r>
        <w:rPr>
          <w:sz w:val="22"/>
        </w:rPr>
        <w:t>June 12, 2019</w:t>
      </w:r>
    </w:p>
    <w:p w:rsidR="00363C04" w:rsidRDefault="00363C04" w:rsidP="00363C04">
      <w:pPr>
        <w:rPr>
          <w:sz w:val="22"/>
        </w:rPr>
      </w:pPr>
    </w:p>
    <w:p w:rsidR="00363C04" w:rsidRDefault="00363C04" w:rsidP="00363C04">
      <w:pPr>
        <w:ind w:left="1080"/>
        <w:rPr>
          <w:sz w:val="22"/>
        </w:rPr>
      </w:pPr>
      <w:r>
        <w:rPr>
          <w:b/>
          <w:sz w:val="22"/>
        </w:rPr>
        <w:t>Motion:</w:t>
      </w:r>
    </w:p>
    <w:p w:rsidR="00363C04" w:rsidRDefault="00363C04" w:rsidP="00363C04">
      <w:pPr>
        <w:ind w:left="1080"/>
        <w:rPr>
          <w:sz w:val="22"/>
        </w:rPr>
      </w:pPr>
      <w:r>
        <w:rPr>
          <w:sz w:val="22"/>
        </w:rPr>
        <w:t>Adopt the proposed implementation for</w:t>
      </w:r>
      <w:r w:rsidR="00441D90">
        <w:rPr>
          <w:sz w:val="22"/>
        </w:rPr>
        <w:t xml:space="preserve"> </w:t>
      </w:r>
      <w:r w:rsidR="00E55B86">
        <w:rPr>
          <w:sz w:val="22"/>
        </w:rPr>
        <w:t>R19001</w:t>
      </w:r>
      <w:r w:rsidR="005C4EF7">
        <w:rPr>
          <w:i/>
          <w:sz w:val="22"/>
        </w:rPr>
        <w:t xml:space="preserve"> </w:t>
      </w:r>
      <w:r>
        <w:rPr>
          <w:sz w:val="22"/>
        </w:rPr>
        <w:t xml:space="preserve">to be applied in NAESB WGQ Version </w:t>
      </w:r>
      <w:r w:rsidR="00E55B86">
        <w:rPr>
          <w:sz w:val="22"/>
        </w:rPr>
        <w:t>3.2</w:t>
      </w:r>
      <w:r w:rsidR="005C4EF7">
        <w:rPr>
          <w:i/>
          <w:sz w:val="22"/>
        </w:rPr>
        <w:t xml:space="preserve">, </w:t>
      </w:r>
      <w:r>
        <w:rPr>
          <w:sz w:val="22"/>
        </w:rPr>
        <w:t xml:space="preserve">as set forth in Attachment </w:t>
      </w:r>
      <w:r w:rsidR="000A5DCE">
        <w:rPr>
          <w:sz w:val="22"/>
        </w:rPr>
        <w:t>1</w:t>
      </w:r>
      <w:r w:rsidR="00D37A99">
        <w:rPr>
          <w:i/>
          <w:sz w:val="22"/>
        </w:rPr>
        <w:t xml:space="preserve"> </w:t>
      </w:r>
      <w:r>
        <w:rPr>
          <w:sz w:val="22"/>
        </w:rPr>
        <w:t xml:space="preserve">to the </w:t>
      </w:r>
      <w:r w:rsidR="00E55B86">
        <w:rPr>
          <w:sz w:val="22"/>
        </w:rPr>
        <w:t>June 12, 2019</w:t>
      </w:r>
      <w:r w:rsidR="005C4EF7">
        <w:rPr>
          <w:i/>
          <w:sz w:val="22"/>
        </w:rPr>
        <w:t xml:space="preserve"> </w:t>
      </w:r>
      <w:r>
        <w:rPr>
          <w:sz w:val="22"/>
        </w:rPr>
        <w:t>meeting minutes of the NAESB WGQ Joint Information Requirements / Technical Subcommittees.</w:t>
      </w:r>
    </w:p>
    <w:p w:rsidR="00363C04" w:rsidRDefault="00363C04" w:rsidP="00363C04">
      <w:pPr>
        <w:ind w:left="1080"/>
        <w:rPr>
          <w:sz w:val="22"/>
        </w:rPr>
      </w:pPr>
    </w:p>
    <w:p w:rsidR="00363C04" w:rsidRPr="00363C04" w:rsidRDefault="00281018" w:rsidP="00363C04">
      <w:pPr>
        <w:ind w:left="1080"/>
        <w:rPr>
          <w:i/>
          <w:sz w:val="22"/>
        </w:rPr>
      </w:pPr>
      <w:r>
        <w:rPr>
          <w:i/>
          <w:sz w:val="22"/>
        </w:rPr>
        <w:t>Motion Passed</w:t>
      </w:r>
    </w:p>
    <w:sectPr w:rsidR="00363C04" w:rsidRPr="00363C04" w:rsidSect="005F726C">
      <w:pgSz w:w="15840" w:h="12240" w:orient="landscape" w:code="1"/>
      <w:pgMar w:top="1080" w:right="25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83" w:rsidRDefault="00E65983" w:rsidP="009C6187">
      <w:r>
        <w:separator/>
      </w:r>
    </w:p>
  </w:endnote>
  <w:endnote w:type="continuationSeparator" w:id="0">
    <w:p w:rsidR="00E65983" w:rsidRDefault="00E65983"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83" w:rsidRDefault="00E65983" w:rsidP="009C6187">
      <w:r>
        <w:separator/>
      </w:r>
    </w:p>
  </w:footnote>
  <w:footnote w:type="continuationSeparator" w:id="0">
    <w:p w:rsidR="00E65983" w:rsidRDefault="00E65983" w:rsidP="009C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83" w:rsidRPr="009C6187" w:rsidRDefault="002646BD" w:rsidP="009C6187">
    <w:pPr>
      <w:pStyle w:val="Header"/>
      <w:jc w:val="right"/>
    </w:pPr>
    <w:r>
      <w:rPr>
        <w:i/>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mso-position-horizontal-relative:text;mso-position-vertical-relative:text" wrapcoords="-52 12307 -52 21537 9346 21537 9346 12307 -52 12307">
          <v:imagedata r:id="rId1" o:title="" croptop="38702f" cropbottom="4938f" cropright="45699f"/>
        </v:shape>
        <o:OLEObject Type="Embed" ProgID="Word.Picture.8" ShapeID="_x0000_s2051" DrawAspect="Content" ObjectID="_1624884060" r:id="rId2"/>
      </w:pict>
    </w:r>
    <w:r w:rsidR="00061BEE">
      <w:rPr>
        <w:noProof/>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91440</wp:posOffset>
              </wp:positionV>
              <wp:extent cx="5770245" cy="914400"/>
              <wp:effectExtent l="13335" t="5715"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14400"/>
                      </a:xfrm>
                      <a:prstGeom prst="rect">
                        <a:avLst/>
                      </a:prstGeom>
                      <a:solidFill>
                        <a:srgbClr val="FFFFFF"/>
                      </a:solidFill>
                      <a:ln w="9525">
                        <a:solidFill>
                          <a:srgbClr val="000000"/>
                        </a:solidFill>
                        <a:miter lim="800000"/>
                        <a:headEnd/>
                        <a:tailEnd/>
                      </a:ln>
                    </wps:spPr>
                    <wps:txb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Pr="005C4EF7" w:rsidRDefault="00E65983" w:rsidP="005C4EF7">
                          <w:pPr>
                            <w:ind w:left="2160" w:hanging="720"/>
                            <w:rPr>
                              <w:sz w:val="22"/>
                            </w:rPr>
                          </w:pPr>
                          <w:r>
                            <w:rPr>
                              <w:b/>
                              <w:sz w:val="22"/>
                            </w:rPr>
                            <w:t>Requester:</w:t>
                          </w:r>
                          <w:r w:rsidR="005C4EF7">
                            <w:rPr>
                              <w:b/>
                              <w:sz w:val="22"/>
                            </w:rPr>
                            <w:tab/>
                          </w:r>
                          <w:r w:rsidR="00106170">
                            <w:rPr>
                              <w:b/>
                              <w:sz w:val="22"/>
                            </w:rPr>
                            <w:tab/>
                          </w:r>
                          <w:r w:rsidR="005F726C">
                            <w:rPr>
                              <w:b/>
                              <w:sz w:val="22"/>
                            </w:rPr>
                            <w:t>Enbridge (U.S.) Inc.</w:t>
                          </w:r>
                        </w:p>
                        <w:p w:rsidR="00E65983" w:rsidRPr="00B1720D" w:rsidRDefault="00E65983" w:rsidP="00B1720D">
                          <w:pPr>
                            <w:rPr>
                              <w:b/>
                              <w:sz w:val="22"/>
                            </w:rPr>
                          </w:pPr>
                          <w:r>
                            <w:rPr>
                              <w:b/>
                              <w:sz w:val="22"/>
                            </w:rPr>
                            <w:tab/>
                          </w:r>
                          <w:r>
                            <w:rPr>
                              <w:b/>
                              <w:sz w:val="22"/>
                            </w:rPr>
                            <w:tab/>
                            <w:t>Request No.:</w:t>
                          </w:r>
                          <w:r w:rsidR="005F726C">
                            <w:rPr>
                              <w:b/>
                              <w:sz w:val="22"/>
                            </w:rPr>
                            <w:tab/>
                          </w:r>
                          <w:r w:rsidR="00106170">
                            <w:rPr>
                              <w:b/>
                              <w:sz w:val="22"/>
                            </w:rPr>
                            <w:tab/>
                          </w:r>
                          <w:r w:rsidR="005F726C">
                            <w:rPr>
                              <w:b/>
                              <w:sz w:val="22"/>
                            </w:rPr>
                            <w:t>R19001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KwIAAFcEAAAOAAAAZHJzL2Uyb0RvYy54bWysVNuO2yAQfa/Uf0C8N3aipNlacVbbbFNV&#10;2l6k3X4AxthGBYYCiZ1+fQfsTa22T1X9gIAZDmfOGby7HbQiZ+G8BFPS5SKnRBgOtTRtSb8+HV/d&#10;UOIDMzVTYERJL8LT2/3LF7veFmIFHahaOIIgxhe9LWkXgi2yzPNOaOYXYIXBYANOs4BL12a1Yz2i&#10;a5Wt8vx11oOrrQMuvMfd+zFI9wm/aQQPn5vGi0BUSZFbSKNLYxXHbL9jReuY7SSfaLB/YKGZNHjp&#10;FeqeBUZOTv4BpSV34KEJCw46g6aRXKQasJpl/ls1jx2zItWC4nh7lcn/P1j+6fzFEVmjd5QYptGi&#10;JzEE8hYGsonq9NYXmPRoMS0MuB0zY6XePgD/5omBQ8dMK+6cg74TrEZ2y3gymx0dcXwEqfqPUOM1&#10;7BQgAQ2N0xEQxSCIji5drs5EKhw3N9ttvlpvKOEYe7Ncr/NkXcaK59PW+fBegCZxUlKHzid0dn7w&#10;IbJhxXNKYg9K1kepVFq4tjooR84Mu+SYvlQAFjlPU4b0ePtmtRkFmMf8HCJP398gtAzY7krqkt5c&#10;k1gRZXtn6tSMgUk1zpGyMpOOUbpRxDBUw2TYZE8F9QWFdTB2N75GnHTgflDSY2eX1H8/MScoUR8M&#10;mpPkw6eQFuvNdoWKu3mkmkeY4QhV0kDJOD2E8fmcrJNthzeN7WDgDg1tZNI6Oj+ymuhj9yYLppcW&#10;n8d8nbJ+/Q/2PwEAAP//AwBQSwMEFAAGAAgAAAAhANfTXfXfAAAACwEAAA8AAABkcnMvZG93bnJl&#10;di54bWxMj8FOwzAQRO9I/IO1SFxQ65CEEEKcCiGB6A1aBFc3dpMIex1sNw1/z/YEtxnt0+xMvZqt&#10;YZP2YXAo4HqZANPYOjVgJ+B9+7QogYUoUUnjUAv40QFWzflZLSvljvimp03sGIVgqKSAPsax4jy0&#10;vbYyLN2okW57562MZH3HlZdHCreGp0lScCsHpA+9HPVjr9uvzcEKKPOX6TOss9ePttibu3h1Oz1/&#10;eyEuL+aHe2BRz/EPhlN9qg4Nddq5A6rADPk0KwglkefATkCSpRmwHambMgfe1Pz/huYXAAD//wMA&#10;UEsBAi0AFAAGAAgAAAAhALaDOJL+AAAA4QEAABMAAAAAAAAAAAAAAAAAAAAAAFtDb250ZW50X1R5&#10;cGVzXS54bWxQSwECLQAUAAYACAAAACEAOP0h/9YAAACUAQAACwAAAAAAAAAAAAAAAAAvAQAAX3Jl&#10;bHMvLnJlbHNQSwECLQAUAAYACAAAACEAtYg/+SsCAABXBAAADgAAAAAAAAAAAAAAAAAuAgAAZHJz&#10;L2Uyb0RvYy54bWxQSwECLQAUAAYACAAAACEA19Nd9d8AAAALAQAADwAAAAAAAAAAAAAAAACFBAAA&#10;ZHJzL2Rvd25yZXYueG1sUEsFBgAAAAAEAAQA8wAAAJEFAAAAAA==&#10;">
              <v:textbox>
                <w:txbxContent>
                  <w:p w:rsidR="00E65983" w:rsidRDefault="00E65983" w:rsidP="00B1720D">
                    <w:pPr>
                      <w:jc w:val="center"/>
                      <w:rPr>
                        <w:b/>
                        <w:sz w:val="22"/>
                      </w:rPr>
                    </w:pPr>
                    <w:r w:rsidRPr="00B1720D">
                      <w:rPr>
                        <w:b/>
                        <w:sz w:val="22"/>
                      </w:rPr>
                      <w:t>RECOMMENDATION TO NAESB WGQ EXECUTIVE COMMITTEE</w:t>
                    </w:r>
                  </w:p>
                  <w:p w:rsidR="00E65983" w:rsidRDefault="00E65983" w:rsidP="00B1720D">
                    <w:pPr>
                      <w:jc w:val="center"/>
                      <w:rPr>
                        <w:b/>
                        <w:sz w:val="22"/>
                      </w:rPr>
                    </w:pPr>
                  </w:p>
                  <w:p w:rsidR="00E65983" w:rsidRPr="005C4EF7" w:rsidRDefault="00E65983" w:rsidP="005C4EF7">
                    <w:pPr>
                      <w:ind w:left="2160" w:hanging="720"/>
                      <w:rPr>
                        <w:sz w:val="22"/>
                      </w:rPr>
                    </w:pPr>
                    <w:r>
                      <w:rPr>
                        <w:b/>
                        <w:sz w:val="22"/>
                      </w:rPr>
                      <w:t>Requester:</w:t>
                    </w:r>
                    <w:r w:rsidR="005C4EF7">
                      <w:rPr>
                        <w:b/>
                        <w:sz w:val="22"/>
                      </w:rPr>
                      <w:tab/>
                    </w:r>
                    <w:r w:rsidR="00106170">
                      <w:rPr>
                        <w:b/>
                        <w:sz w:val="22"/>
                      </w:rPr>
                      <w:tab/>
                    </w:r>
                    <w:r w:rsidR="005F726C">
                      <w:rPr>
                        <w:b/>
                        <w:sz w:val="22"/>
                      </w:rPr>
                      <w:t>Enbridge (U.S.) Inc.</w:t>
                    </w:r>
                  </w:p>
                  <w:p w:rsidR="00E65983" w:rsidRPr="00B1720D" w:rsidRDefault="00E65983" w:rsidP="00B1720D">
                    <w:pPr>
                      <w:rPr>
                        <w:b/>
                        <w:sz w:val="22"/>
                      </w:rPr>
                    </w:pPr>
                    <w:r>
                      <w:rPr>
                        <w:b/>
                        <w:sz w:val="22"/>
                      </w:rPr>
                      <w:tab/>
                    </w:r>
                    <w:r>
                      <w:rPr>
                        <w:b/>
                        <w:sz w:val="22"/>
                      </w:rPr>
                      <w:tab/>
                      <w:t>Request No.:</w:t>
                    </w:r>
                    <w:r w:rsidR="005F726C">
                      <w:rPr>
                        <w:b/>
                        <w:sz w:val="22"/>
                      </w:rPr>
                      <w:tab/>
                    </w:r>
                    <w:r w:rsidR="00106170">
                      <w:rPr>
                        <w:b/>
                        <w:sz w:val="22"/>
                      </w:rPr>
                      <w:tab/>
                    </w:r>
                    <w:r w:rsidR="005F726C">
                      <w:rPr>
                        <w:b/>
                        <w:sz w:val="22"/>
                      </w:rPr>
                      <w:t>R19001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DC20F5"/>
    <w:multiLevelType w:val="hybridMultilevel"/>
    <w:tmpl w:val="35E4E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7"/>
    <w:rsid w:val="00061BEE"/>
    <w:rsid w:val="00084C9E"/>
    <w:rsid w:val="000A5DCE"/>
    <w:rsid w:val="00106170"/>
    <w:rsid w:val="00111422"/>
    <w:rsid w:val="0011489F"/>
    <w:rsid w:val="001D6C89"/>
    <w:rsid w:val="0020678B"/>
    <w:rsid w:val="00281018"/>
    <w:rsid w:val="00290A2B"/>
    <w:rsid w:val="0032766A"/>
    <w:rsid w:val="00363C04"/>
    <w:rsid w:val="003C5F44"/>
    <w:rsid w:val="00441D90"/>
    <w:rsid w:val="005C4EF7"/>
    <w:rsid w:val="005D5CED"/>
    <w:rsid w:val="005F3341"/>
    <w:rsid w:val="005F726C"/>
    <w:rsid w:val="006273C1"/>
    <w:rsid w:val="006864B9"/>
    <w:rsid w:val="007059E0"/>
    <w:rsid w:val="007061D8"/>
    <w:rsid w:val="007170F2"/>
    <w:rsid w:val="009113E4"/>
    <w:rsid w:val="009752C0"/>
    <w:rsid w:val="00994C55"/>
    <w:rsid w:val="009C6187"/>
    <w:rsid w:val="009E7360"/>
    <w:rsid w:val="009F728A"/>
    <w:rsid w:val="00A60E2B"/>
    <w:rsid w:val="00A73079"/>
    <w:rsid w:val="00B1720D"/>
    <w:rsid w:val="00C95798"/>
    <w:rsid w:val="00D2182F"/>
    <w:rsid w:val="00D37A99"/>
    <w:rsid w:val="00E55B86"/>
    <w:rsid w:val="00E63535"/>
    <w:rsid w:val="00E65983"/>
    <w:rsid w:val="00E67BE9"/>
    <w:rsid w:val="00F1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paragraph" w:styleId="BodyTextIndent">
    <w:name w:val="Body Text Indent"/>
    <w:basedOn w:val="Normal"/>
    <w:link w:val="BodyTextIndentChar"/>
    <w:rsid w:val="005F726C"/>
    <w:pPr>
      <w:spacing w:after="120"/>
      <w:ind w:left="360"/>
    </w:pPr>
    <w:rPr>
      <w:rFonts w:eastAsia="Times New Roman" w:cs="Times New Roman"/>
      <w:sz w:val="20"/>
      <w:szCs w:val="24"/>
    </w:rPr>
  </w:style>
  <w:style w:type="character" w:customStyle="1" w:styleId="BodyTextIndentChar">
    <w:name w:val="Body Text Indent Char"/>
    <w:basedOn w:val="DefaultParagraphFont"/>
    <w:link w:val="BodyTextIndent"/>
    <w:rsid w:val="005F726C"/>
    <w:rPr>
      <w:rFonts w:eastAsia="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paragraph" w:styleId="BodyTextIndent">
    <w:name w:val="Body Text Indent"/>
    <w:basedOn w:val="Normal"/>
    <w:link w:val="BodyTextIndentChar"/>
    <w:rsid w:val="005F726C"/>
    <w:pPr>
      <w:spacing w:after="120"/>
      <w:ind w:left="360"/>
    </w:pPr>
    <w:rPr>
      <w:rFonts w:eastAsia="Times New Roman" w:cs="Times New Roman"/>
      <w:sz w:val="20"/>
      <w:szCs w:val="24"/>
    </w:rPr>
  </w:style>
  <w:style w:type="character" w:customStyle="1" w:styleId="BodyTextIndentChar">
    <w:name w:val="Body Text Indent Char"/>
    <w:basedOn w:val="DefaultParagraphFont"/>
    <w:link w:val="BodyTextIndent"/>
    <w:rsid w:val="005F726C"/>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047">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268662247">
      <w:bodyDiv w:val="1"/>
      <w:marLeft w:val="0"/>
      <w:marRight w:val="0"/>
      <w:marTop w:val="0"/>
      <w:marBottom w:val="0"/>
      <w:divBdr>
        <w:top w:val="none" w:sz="0" w:space="0" w:color="auto"/>
        <w:left w:val="none" w:sz="0" w:space="0" w:color="auto"/>
        <w:bottom w:val="none" w:sz="0" w:space="0" w:color="auto"/>
        <w:right w:val="none" w:sz="0" w:space="0" w:color="auto"/>
      </w:divBdr>
    </w:div>
    <w:div w:id="20888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rache11</cp:lastModifiedBy>
  <cp:revision>2</cp:revision>
  <dcterms:created xsi:type="dcterms:W3CDTF">2019-07-17T19:55:00Z</dcterms:created>
  <dcterms:modified xsi:type="dcterms:W3CDTF">2019-07-17T19:55:00Z</dcterms:modified>
</cp:coreProperties>
</file>