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8E83" w14:textId="77777777" w:rsidR="00F75E6C" w:rsidRPr="00F75E6C" w:rsidRDefault="00F75E6C" w:rsidP="00F75E6C">
      <w:pPr>
        <w:tabs>
          <w:tab w:val="center" w:pos="4680"/>
          <w:tab w:val="right" w:pos="9360"/>
        </w:tabs>
        <w:spacing w:line="330" w:lineRule="auto"/>
        <w:jc w:val="center"/>
        <w:rPr>
          <w:b/>
          <w:sz w:val="22"/>
        </w:rPr>
      </w:pPr>
      <w:r w:rsidRPr="00F75E6C">
        <w:rPr>
          <w:b/>
          <w:sz w:val="22"/>
        </w:rPr>
        <w:t>NAESB Correction/Clarification Procedure</w:t>
      </w:r>
    </w:p>
    <w:p w14:paraId="64F70AD5" w14:textId="77777777"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tbl>
      <w:tblPr>
        <w:tblW w:w="0" w:type="auto"/>
        <w:tblInd w:w="4878" w:type="dxa"/>
        <w:tblLook w:val="01E0" w:firstRow="1" w:lastRow="1" w:firstColumn="1" w:lastColumn="1" w:noHBand="0" w:noVBand="0"/>
      </w:tblPr>
      <w:tblGrid>
        <w:gridCol w:w="1659"/>
        <w:gridCol w:w="2823"/>
      </w:tblGrid>
      <w:tr w:rsidR="000E151D" w14:paraId="6385A2E6" w14:textId="77777777" w:rsidTr="00B94DAF">
        <w:tc>
          <w:tcPr>
            <w:tcW w:w="1710" w:type="dxa"/>
          </w:tcPr>
          <w:p w14:paraId="74678603" w14:textId="77777777" w:rsidR="000E151D" w:rsidRPr="00B94DAF" w:rsidRDefault="000E151D" w:rsidP="00B94DAF">
            <w:pPr>
              <w:spacing w:before="40" w:after="20"/>
              <w:jc w:val="right"/>
              <w:rPr>
                <w:sz w:val="22"/>
                <w:szCs w:val="22"/>
              </w:rPr>
            </w:pPr>
            <w:r w:rsidRPr="00B94DAF">
              <w:rPr>
                <w:sz w:val="22"/>
                <w:szCs w:val="22"/>
              </w:rPr>
              <w:t>Date of Request:</w:t>
            </w:r>
          </w:p>
        </w:tc>
        <w:tc>
          <w:tcPr>
            <w:tcW w:w="2988" w:type="dxa"/>
          </w:tcPr>
          <w:p w14:paraId="428D0BDD" w14:textId="52238A45" w:rsidR="000E151D" w:rsidRDefault="00B57A3D" w:rsidP="0053534A">
            <w:pPr>
              <w:spacing w:before="40" w:after="20"/>
            </w:pPr>
            <w:r>
              <w:t>July 1</w:t>
            </w:r>
            <w:r w:rsidR="001B3A0F">
              <w:t>1</w:t>
            </w:r>
            <w:r>
              <w:t>, 2023</w:t>
            </w:r>
          </w:p>
          <w:p w14:paraId="380CF0FB" w14:textId="77777777" w:rsidR="00D3463D" w:rsidRDefault="00D3463D" w:rsidP="0053534A">
            <w:pPr>
              <w:spacing w:before="40" w:after="20"/>
            </w:pPr>
          </w:p>
        </w:tc>
      </w:tr>
    </w:tbl>
    <w:p w14:paraId="18C749F8" w14:textId="77777777" w:rsidR="000E151D" w:rsidRDefault="000E151D"/>
    <w:p w14:paraId="306D5E99" w14:textId="77777777"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D2F390" w14:textId="77777777"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r w:rsidR="006A4C9C">
        <w:rPr>
          <w:sz w:val="22"/>
        </w:rPr>
        <w:t xml:space="preserve">  </w:t>
      </w:r>
      <w:r w:rsidR="00512DFA">
        <w:rPr>
          <w:sz w:val="22"/>
        </w:rPr>
        <w:t>Kinder Morgan Inc.</w:t>
      </w:r>
    </w:p>
    <w:p w14:paraId="2DD6CF4E" w14:textId="77777777" w:rsidR="006A4C9C" w:rsidRDefault="006A4C9C" w:rsidP="006A4C9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r>
      <w:r>
        <w:rPr>
          <w:sz w:val="22"/>
        </w:rPr>
        <w:tab/>
      </w:r>
      <w:r>
        <w:rPr>
          <w:sz w:val="22"/>
        </w:rPr>
        <w:tab/>
      </w:r>
      <w:r>
        <w:rPr>
          <w:sz w:val="22"/>
        </w:rPr>
        <w:tab/>
        <w:t xml:space="preserve">    1001 Louisiana Street, Suite 1000</w:t>
      </w:r>
      <w:r w:rsidR="001B4C77">
        <w:rPr>
          <w:sz w:val="22"/>
        </w:rPr>
        <w:t>, Office 1583</w:t>
      </w:r>
    </w:p>
    <w:tbl>
      <w:tblPr>
        <w:tblW w:w="0" w:type="auto"/>
        <w:tblInd w:w="828" w:type="dxa"/>
        <w:tblLook w:val="01E0" w:firstRow="1" w:lastRow="1" w:firstColumn="1" w:lastColumn="1" w:noHBand="0" w:noVBand="0"/>
      </w:tblPr>
      <w:tblGrid>
        <w:gridCol w:w="8532"/>
      </w:tblGrid>
      <w:tr w:rsidR="00222BAF" w:rsidRPr="00B94DAF" w14:paraId="183DEF57" w14:textId="77777777" w:rsidTr="00B94DAF">
        <w:tc>
          <w:tcPr>
            <w:tcW w:w="8748" w:type="dxa"/>
          </w:tcPr>
          <w:p w14:paraId="24DB9DB5" w14:textId="77777777"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222BAF" w:rsidRPr="00B94DAF" w14:paraId="59268051" w14:textId="77777777" w:rsidTr="00B94DAF">
        <w:tc>
          <w:tcPr>
            <w:tcW w:w="8748" w:type="dxa"/>
          </w:tcPr>
          <w:p w14:paraId="1B139421"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35158475" w14:textId="77777777"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222BAF" w:rsidRPr="00B94DAF" w14:paraId="4316B2A3" w14:textId="77777777" w:rsidTr="00B94DAF">
        <w:tc>
          <w:tcPr>
            <w:tcW w:w="900" w:type="dxa"/>
          </w:tcPr>
          <w:p w14:paraId="15875EF6"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Name:</w:t>
            </w:r>
            <w:r w:rsidR="006A4C9C" w:rsidRPr="00B94DAF">
              <w:rPr>
                <w:sz w:val="22"/>
              </w:rPr>
              <w:t xml:space="preserve"> </w:t>
            </w:r>
          </w:p>
        </w:tc>
        <w:tc>
          <w:tcPr>
            <w:tcW w:w="360" w:type="dxa"/>
          </w:tcPr>
          <w:p w14:paraId="0552D0C6"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551FE165" w14:textId="77777777"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Mark </w:t>
            </w:r>
            <w:r w:rsidR="00BF25E6" w:rsidRPr="00B94DAF">
              <w:rPr>
                <w:sz w:val="22"/>
              </w:rPr>
              <w:t>Gracey</w:t>
            </w:r>
          </w:p>
        </w:tc>
      </w:tr>
      <w:tr w:rsidR="00222BAF" w:rsidRPr="00B94DAF" w14:paraId="5DBA18C8" w14:textId="77777777" w:rsidTr="00B94DAF">
        <w:tc>
          <w:tcPr>
            <w:tcW w:w="900" w:type="dxa"/>
          </w:tcPr>
          <w:p w14:paraId="58CFF3FA"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14:paraId="3CCF92B7"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023C489B" w14:textId="77777777" w:rsidR="00222BAF" w:rsidRPr="00B94DAF" w:rsidRDefault="00B55D05" w:rsidP="00B55D05">
            <w:pPr>
              <w:rPr>
                <w:color w:val="000000"/>
                <w:sz w:val="21"/>
                <w:szCs w:val="21"/>
              </w:rPr>
            </w:pPr>
            <w:r w:rsidRPr="00B94DAF">
              <w:rPr>
                <w:color w:val="000000"/>
                <w:sz w:val="21"/>
                <w:szCs w:val="21"/>
              </w:rPr>
              <w:t>Director, Business Processes – System Compliance</w:t>
            </w:r>
          </w:p>
        </w:tc>
      </w:tr>
      <w:tr w:rsidR="00222BAF" w:rsidRPr="00B94DAF" w14:paraId="413699FD" w14:textId="77777777" w:rsidTr="00B94DAF">
        <w:tc>
          <w:tcPr>
            <w:tcW w:w="900" w:type="dxa"/>
          </w:tcPr>
          <w:p w14:paraId="47558C85"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14:paraId="37FCAF52"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73DEB0EE" w14:textId="77777777" w:rsidR="00222BAF" w:rsidRPr="00B94DAF" w:rsidRDefault="00BF25E6"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222BAF" w:rsidRPr="00B94DAF" w14:paraId="3B540792" w14:textId="77777777" w:rsidTr="00B94DAF">
        <w:tc>
          <w:tcPr>
            <w:tcW w:w="900" w:type="dxa"/>
          </w:tcPr>
          <w:p w14:paraId="66BE5EBE"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14:paraId="30458514"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760F12E0"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B94DAF" w14:paraId="19D6BF15" w14:textId="77777777" w:rsidTr="00B94DAF">
        <w:tc>
          <w:tcPr>
            <w:tcW w:w="900" w:type="dxa"/>
          </w:tcPr>
          <w:p w14:paraId="21B350F8"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14:paraId="77360744" w14:textId="77777777"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6EC1BF59" w14:textId="77777777" w:rsidR="00222BAF" w:rsidRPr="00B94DAF" w:rsidRDefault="00C27D7B" w:rsidP="00DE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8" w:history="1">
              <w:r w:rsidR="0088458E" w:rsidRPr="004E631A">
                <w:rPr>
                  <w:rStyle w:val="Hyperlink"/>
                  <w:sz w:val="22"/>
                </w:rPr>
                <w:t>Mark_Gracey@kindermorgan.com</w:t>
              </w:r>
            </w:hyperlink>
          </w:p>
        </w:tc>
      </w:tr>
    </w:tbl>
    <w:p w14:paraId="52927C2C" w14:textId="77777777" w:rsidR="00784538" w:rsidRDefault="00784538"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p>
    <w:p w14:paraId="6F0C55F8" w14:textId="77777777" w:rsidR="00B57A3D" w:rsidRDefault="00B57A3D" w:rsidP="00B57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532"/>
      </w:tblGrid>
      <w:tr w:rsidR="00B57A3D" w:rsidRPr="002A4EEB" w14:paraId="3C9FA886" w14:textId="77777777" w:rsidTr="00B57A3D">
        <w:tc>
          <w:tcPr>
            <w:tcW w:w="8748" w:type="dxa"/>
          </w:tcPr>
          <w:p w14:paraId="474B041A" w14:textId="7C6D108A" w:rsidR="00B57A3D" w:rsidRDefault="00B57A3D">
            <w:pPr>
              <w:rPr>
                <w:b/>
                <w:bCs/>
                <w:sz w:val="22"/>
              </w:rPr>
            </w:pPr>
            <w:r w:rsidRPr="00045B0F">
              <w:rPr>
                <w:b/>
                <w:bCs/>
                <w:sz w:val="22"/>
              </w:rPr>
              <w:t>NAESB WGQ Version 3.3</w:t>
            </w:r>
          </w:p>
          <w:p w14:paraId="19F51983" w14:textId="77777777" w:rsidR="0091239D" w:rsidRPr="0091239D" w:rsidRDefault="0091239D">
            <w:pPr>
              <w:rPr>
                <w:sz w:val="22"/>
              </w:rPr>
            </w:pPr>
          </w:p>
          <w:p w14:paraId="41543D30" w14:textId="62490277" w:rsidR="0091239D" w:rsidRPr="0091239D" w:rsidRDefault="0091239D">
            <w:pPr>
              <w:rPr>
                <w:sz w:val="22"/>
              </w:rPr>
            </w:pPr>
            <w:r w:rsidRPr="0091239D">
              <w:rPr>
                <w:sz w:val="22"/>
              </w:rPr>
              <w:t>Transportation/Sales Invoice                                                 NAESB WGQ Standard No 3.4.1</w:t>
            </w:r>
          </w:p>
          <w:p w14:paraId="1562CD8A" w14:textId="4782E152" w:rsidR="0091239D" w:rsidRPr="0091239D" w:rsidRDefault="0091239D">
            <w:pPr>
              <w:rPr>
                <w:sz w:val="22"/>
              </w:rPr>
            </w:pPr>
            <w:r w:rsidRPr="0091239D">
              <w:rPr>
                <w:sz w:val="22"/>
              </w:rPr>
              <w:t>Service Requester Level Charge/Allowance Invoice            NAESB WGQ Standard No. 3.4.4</w:t>
            </w:r>
          </w:p>
          <w:p w14:paraId="0CD74F1F" w14:textId="77777777" w:rsidR="0091239D" w:rsidRDefault="0091239D" w:rsidP="0091239D">
            <w:pPr>
              <w:rPr>
                <w:rFonts w:ascii="Arial" w:hAnsi="Arial" w:cs="Arial"/>
                <w:bCs/>
              </w:rPr>
            </w:pPr>
          </w:p>
          <w:p w14:paraId="6CC42A82" w14:textId="7B727640" w:rsidR="0091239D" w:rsidRDefault="0091239D" w:rsidP="0091239D">
            <w:pPr>
              <w:rPr>
                <w:sz w:val="22"/>
              </w:rPr>
            </w:pPr>
          </w:p>
        </w:tc>
      </w:tr>
      <w:tr w:rsidR="0091239D" w:rsidRPr="002A4EEB" w14:paraId="02AD419F" w14:textId="77777777" w:rsidTr="00B57A3D">
        <w:tc>
          <w:tcPr>
            <w:tcW w:w="8748" w:type="dxa"/>
          </w:tcPr>
          <w:p w14:paraId="218B93AE" w14:textId="77777777" w:rsidR="0091239D" w:rsidRPr="00045B0F" w:rsidRDefault="0091239D">
            <w:pPr>
              <w:rPr>
                <w:b/>
                <w:bCs/>
                <w:sz w:val="22"/>
              </w:rPr>
            </w:pPr>
          </w:p>
        </w:tc>
      </w:tr>
      <w:tr w:rsidR="0091239D" w:rsidRPr="002A4EEB" w14:paraId="049C0CFB" w14:textId="77777777" w:rsidTr="00B57A3D">
        <w:tc>
          <w:tcPr>
            <w:tcW w:w="8748" w:type="dxa"/>
          </w:tcPr>
          <w:p w14:paraId="660262FA" w14:textId="77777777" w:rsidR="0091239D" w:rsidRPr="00045B0F" w:rsidRDefault="0091239D">
            <w:pPr>
              <w:rPr>
                <w:b/>
                <w:bCs/>
                <w:sz w:val="22"/>
              </w:rPr>
            </w:pPr>
          </w:p>
        </w:tc>
      </w:tr>
    </w:tbl>
    <w:p w14:paraId="6D904E82" w14:textId="1711BC86" w:rsidR="00045B0F" w:rsidRPr="0091239D" w:rsidRDefault="00045B0F" w:rsidP="0091239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91239D">
        <w:rPr>
          <w:sz w:val="22"/>
        </w:rPr>
        <w:t xml:space="preserve"> Description of Minor Correction/Clarification including redlined standards corrections:  </w:t>
      </w:r>
    </w:p>
    <w:p w14:paraId="5410FAB7" w14:textId="5420CBBC" w:rsidR="00B57A3D" w:rsidRPr="00045B0F" w:rsidRDefault="00B57A3D" w:rsidP="00045B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2"/>
      </w:tblGrid>
      <w:tr w:rsidR="0091239D" w:rsidRPr="00DB4F1A" w14:paraId="12A0ABAF" w14:textId="77777777" w:rsidTr="0091239D">
        <w:trPr>
          <w:trHeight w:val="1110"/>
        </w:trPr>
        <w:tc>
          <w:tcPr>
            <w:tcW w:w="10589" w:type="dxa"/>
            <w:tcBorders>
              <w:top w:val="nil"/>
              <w:left w:val="nil"/>
              <w:bottom w:val="nil"/>
              <w:right w:val="nil"/>
            </w:tcBorders>
            <w:hideMark/>
          </w:tcPr>
          <w:p w14:paraId="74483EDD" w14:textId="77777777" w:rsidR="0091239D" w:rsidRDefault="0091239D" w:rsidP="00CC1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The requested code values are needed to provide additional clarity on the invoice charges at the Service Requester level. All of the codes already exist for the Charge Type data element. They are necessary to provide the pertinent information for the Service Requester Level Charges. </w:t>
            </w:r>
          </w:p>
        </w:tc>
      </w:tr>
    </w:tbl>
    <w:p w14:paraId="6EAEE93B" w14:textId="77777777" w:rsidR="00045B0F" w:rsidRPr="00045B0F" w:rsidRDefault="00045B0F" w:rsidP="00045B0F">
      <w:pPr>
        <w:pStyle w:val="NormalWeb"/>
        <w:ind w:left="720"/>
        <w:rPr>
          <w:sz w:val="22"/>
          <w:szCs w:val="20"/>
        </w:rPr>
      </w:pPr>
      <w:r w:rsidRPr="00045B0F">
        <w:rPr>
          <w:sz w:val="22"/>
          <w:szCs w:val="20"/>
        </w:rPr>
        <w:t>Add new code value(s) for ‘Service Requester Level Charge/Allowance Amount Descriptor’ in the following data set(s):</w:t>
      </w:r>
    </w:p>
    <w:p w14:paraId="473681BB" w14:textId="77777777" w:rsidR="00045B0F" w:rsidRPr="0091239D" w:rsidRDefault="00045B0F" w:rsidP="00045B0F">
      <w:pPr>
        <w:pStyle w:val="NormalWeb"/>
        <w:ind w:left="720"/>
        <w:rPr>
          <w:sz w:val="22"/>
          <w:szCs w:val="20"/>
        </w:rPr>
      </w:pPr>
      <w:r w:rsidRPr="00045B0F">
        <w:rPr>
          <w:sz w:val="22"/>
          <w:szCs w:val="20"/>
        </w:rPr>
        <w:t>NAESB WGQ Standard No. 3.4.1 Transportation/Sales Invoice</w:t>
      </w:r>
    </w:p>
    <w:p w14:paraId="3B6DB73D" w14:textId="77777777" w:rsidR="0091239D" w:rsidRPr="0091239D" w:rsidRDefault="0091239D" w:rsidP="0091239D">
      <w:pPr>
        <w:spacing w:after="120"/>
        <w:ind w:firstLine="720"/>
        <w:jc w:val="both"/>
        <w:rPr>
          <w:sz w:val="22"/>
          <w:szCs w:val="22"/>
        </w:rPr>
      </w:pPr>
      <w:r w:rsidRPr="0091239D">
        <w:rPr>
          <w:sz w:val="22"/>
        </w:rPr>
        <w:t xml:space="preserve">NAESB WGQ Standard No. 3.4.4 </w:t>
      </w:r>
      <w:r w:rsidRPr="0091239D">
        <w:rPr>
          <w:sz w:val="22"/>
          <w:szCs w:val="22"/>
        </w:rPr>
        <w:t>Service Requester Level Charge/ Allowance Invoice</w:t>
      </w:r>
    </w:p>
    <w:p w14:paraId="4FD059F7" w14:textId="77777777" w:rsidR="0091239D" w:rsidRPr="00045B0F" w:rsidRDefault="0091239D" w:rsidP="00045B0F">
      <w:pPr>
        <w:pStyle w:val="NormalWeb"/>
        <w:ind w:left="720"/>
        <w:rPr>
          <w:sz w:val="22"/>
          <w:szCs w:val="20"/>
        </w:rPr>
      </w:pPr>
    </w:p>
    <w:p w14:paraId="232F8EE3" w14:textId="77777777" w:rsidR="00045B0F" w:rsidRPr="00045B0F" w:rsidRDefault="00045B0F" w:rsidP="00045B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tbl>
      <w:tblPr>
        <w:tblW w:w="4747" w:type="pct"/>
        <w:tblInd w:w="-5" w:type="dxa"/>
        <w:tblLayout w:type="fixed"/>
        <w:tblLook w:val="04A0" w:firstRow="1" w:lastRow="0" w:firstColumn="1" w:lastColumn="0" w:noHBand="0" w:noVBand="1"/>
      </w:tblPr>
      <w:tblGrid>
        <w:gridCol w:w="3235"/>
        <w:gridCol w:w="2546"/>
        <w:gridCol w:w="3096"/>
      </w:tblGrid>
      <w:tr w:rsidR="00E81443" w14:paraId="097B126A" w14:textId="77777777" w:rsidTr="00E71698">
        <w:trPr>
          <w:cantSplit/>
          <w:trHeight w:val="300"/>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BEF44" w14:textId="77777777" w:rsidR="00EC08B3" w:rsidRDefault="00EC08B3">
            <w:pPr>
              <w:rPr>
                <w:b/>
                <w:bCs/>
                <w:color w:val="000000"/>
                <w:sz w:val="18"/>
                <w:szCs w:val="18"/>
              </w:rPr>
            </w:pPr>
            <w:r>
              <w:rPr>
                <w:rFonts w:cs="Arial"/>
                <w:b/>
                <w:bCs/>
                <w:color w:val="000000"/>
                <w:sz w:val="18"/>
                <w:szCs w:val="18"/>
              </w:rPr>
              <w:t>Code Value Description</w:t>
            </w:r>
          </w:p>
        </w:tc>
        <w:tc>
          <w:tcPr>
            <w:tcW w:w="1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6D24E" w14:textId="77777777" w:rsidR="00EC08B3" w:rsidRDefault="00EC08B3">
            <w:pPr>
              <w:rPr>
                <w:b/>
                <w:bCs/>
                <w:color w:val="000000"/>
                <w:sz w:val="18"/>
                <w:szCs w:val="18"/>
              </w:rPr>
            </w:pPr>
            <w:r>
              <w:rPr>
                <w:rFonts w:cs="Arial"/>
                <w:b/>
                <w:bCs/>
                <w:color w:val="000000"/>
                <w:sz w:val="18"/>
                <w:szCs w:val="18"/>
              </w:rPr>
              <w:t>Code Value Definition</w:t>
            </w:r>
          </w:p>
        </w:tc>
        <w:tc>
          <w:tcPr>
            <w:tcW w:w="1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FEC291" w14:textId="77777777" w:rsidR="00EC08B3" w:rsidRDefault="00EC08B3">
            <w:pPr>
              <w:jc w:val="center"/>
              <w:rPr>
                <w:b/>
                <w:bCs/>
                <w:color w:val="000000"/>
                <w:sz w:val="18"/>
                <w:szCs w:val="18"/>
              </w:rPr>
            </w:pPr>
            <w:r>
              <w:rPr>
                <w:rFonts w:cs="Arial"/>
                <w:b/>
                <w:bCs/>
                <w:color w:val="000000"/>
                <w:sz w:val="18"/>
                <w:szCs w:val="18"/>
              </w:rPr>
              <w:t>Code Value</w:t>
            </w:r>
          </w:p>
        </w:tc>
      </w:tr>
      <w:tr w:rsidR="00E81443" w14:paraId="2BCE03A7" w14:textId="77777777" w:rsidTr="00E71698">
        <w:trPr>
          <w:trHeight w:val="300"/>
        </w:trPr>
        <w:tc>
          <w:tcPr>
            <w:tcW w:w="1822" w:type="pct"/>
            <w:tcBorders>
              <w:top w:val="nil"/>
              <w:left w:val="single" w:sz="4" w:space="0" w:color="auto"/>
              <w:bottom w:val="single" w:sz="4" w:space="0" w:color="auto"/>
              <w:right w:val="single" w:sz="4" w:space="0" w:color="auto"/>
            </w:tcBorders>
            <w:shd w:val="clear" w:color="auto" w:fill="auto"/>
            <w:vAlign w:val="center"/>
            <w:hideMark/>
          </w:tcPr>
          <w:p w14:paraId="517E28E6" w14:textId="77777777" w:rsidR="00EC08B3" w:rsidRDefault="00EC08B3">
            <w:pPr>
              <w:rPr>
                <w:b/>
                <w:bCs/>
                <w:color w:val="000000"/>
                <w:sz w:val="18"/>
                <w:szCs w:val="18"/>
              </w:rPr>
            </w:pPr>
            <w:r>
              <w:rPr>
                <w:b/>
                <w:bCs/>
                <w:color w:val="000000"/>
                <w:sz w:val="18"/>
                <w:szCs w:val="18"/>
              </w:rPr>
              <w:t>(Abbreviation)</w:t>
            </w:r>
          </w:p>
        </w:tc>
        <w:tc>
          <w:tcPr>
            <w:tcW w:w="1434" w:type="pct"/>
            <w:vMerge/>
            <w:tcBorders>
              <w:top w:val="single" w:sz="4" w:space="0" w:color="auto"/>
              <w:left w:val="single" w:sz="4" w:space="0" w:color="auto"/>
              <w:bottom w:val="single" w:sz="4" w:space="0" w:color="auto"/>
              <w:right w:val="single" w:sz="4" w:space="0" w:color="auto"/>
            </w:tcBorders>
            <w:vAlign w:val="center"/>
            <w:hideMark/>
          </w:tcPr>
          <w:p w14:paraId="6FF3E8D4" w14:textId="77777777" w:rsidR="00EC08B3" w:rsidRDefault="00EC08B3">
            <w:pPr>
              <w:rPr>
                <w:b/>
                <w:bCs/>
                <w:color w:val="000000"/>
                <w:sz w:val="18"/>
                <w:szCs w:val="18"/>
              </w:rPr>
            </w:pPr>
          </w:p>
        </w:tc>
        <w:tc>
          <w:tcPr>
            <w:tcW w:w="1744" w:type="pct"/>
            <w:vMerge/>
            <w:tcBorders>
              <w:top w:val="single" w:sz="4" w:space="0" w:color="auto"/>
              <w:left w:val="single" w:sz="4" w:space="0" w:color="auto"/>
              <w:bottom w:val="single" w:sz="4" w:space="0" w:color="auto"/>
              <w:right w:val="single" w:sz="4" w:space="0" w:color="auto"/>
            </w:tcBorders>
            <w:vAlign w:val="center"/>
            <w:hideMark/>
          </w:tcPr>
          <w:p w14:paraId="7B37EEB8" w14:textId="77777777" w:rsidR="00EC08B3" w:rsidRDefault="00EC08B3">
            <w:pPr>
              <w:rPr>
                <w:b/>
                <w:bCs/>
                <w:color w:val="000000"/>
                <w:sz w:val="18"/>
                <w:szCs w:val="18"/>
              </w:rPr>
            </w:pPr>
          </w:p>
        </w:tc>
      </w:tr>
      <w:tr w:rsidR="00E81443" w14:paraId="36BD4321" w14:textId="77777777" w:rsidTr="00E71698">
        <w:trPr>
          <w:trHeight w:val="600"/>
        </w:trPr>
        <w:tc>
          <w:tcPr>
            <w:tcW w:w="1822" w:type="pct"/>
            <w:tcBorders>
              <w:top w:val="nil"/>
              <w:left w:val="single" w:sz="4" w:space="0" w:color="auto"/>
              <w:bottom w:val="single" w:sz="4" w:space="0" w:color="auto"/>
              <w:right w:val="single" w:sz="4" w:space="0" w:color="auto"/>
            </w:tcBorders>
            <w:shd w:val="clear" w:color="auto" w:fill="auto"/>
            <w:vAlign w:val="bottom"/>
            <w:hideMark/>
          </w:tcPr>
          <w:p w14:paraId="196EEC6C" w14:textId="77777777" w:rsidR="00EC08B3" w:rsidRDefault="00EC08B3">
            <w:pPr>
              <w:rPr>
                <w:rFonts w:ascii="Calibri" w:hAnsi="Calibri" w:cs="Calibri"/>
                <w:color w:val="000000"/>
                <w:sz w:val="22"/>
                <w:szCs w:val="22"/>
              </w:rPr>
            </w:pPr>
            <w:r>
              <w:rPr>
                <w:rFonts w:ascii="Calibri" w:hAnsi="Calibri" w:cs="Calibri"/>
                <w:color w:val="000000"/>
                <w:sz w:val="22"/>
                <w:szCs w:val="22"/>
              </w:rPr>
              <w:t>Fuel Credit</w:t>
            </w:r>
            <w:r>
              <w:rPr>
                <w:rFonts w:ascii="Calibri" w:hAnsi="Calibri" w:cs="Calibri"/>
                <w:color w:val="000000"/>
                <w:sz w:val="22"/>
                <w:szCs w:val="22"/>
              </w:rPr>
              <w:br/>
              <w:t>(</w:t>
            </w:r>
            <w:proofErr w:type="gramStart"/>
            <w:r>
              <w:rPr>
                <w:rFonts w:ascii="Calibri" w:hAnsi="Calibri" w:cs="Calibri"/>
                <w:color w:val="000000"/>
                <w:sz w:val="22"/>
                <w:szCs w:val="22"/>
              </w:rPr>
              <w:t>Fuel  Credit</w:t>
            </w:r>
            <w:proofErr w:type="gramEnd"/>
            <w:r>
              <w:rPr>
                <w:rFonts w:ascii="Calibri" w:hAnsi="Calibri" w:cs="Calibri"/>
                <w:color w:val="000000"/>
                <w:sz w:val="22"/>
                <w:szCs w:val="22"/>
              </w:rPr>
              <w:t>)</w:t>
            </w:r>
          </w:p>
        </w:tc>
        <w:tc>
          <w:tcPr>
            <w:tcW w:w="1434" w:type="pct"/>
            <w:tcBorders>
              <w:top w:val="nil"/>
              <w:left w:val="nil"/>
              <w:bottom w:val="single" w:sz="4" w:space="0" w:color="auto"/>
              <w:right w:val="single" w:sz="4" w:space="0" w:color="auto"/>
            </w:tcBorders>
            <w:shd w:val="clear" w:color="auto" w:fill="auto"/>
            <w:noWrap/>
            <w:vAlign w:val="bottom"/>
            <w:hideMark/>
          </w:tcPr>
          <w:p w14:paraId="4F709B0A" w14:textId="77777777" w:rsidR="00EC08B3" w:rsidRDefault="00EC08B3">
            <w:pPr>
              <w:rPr>
                <w:rFonts w:ascii="Calibri" w:hAnsi="Calibri" w:cs="Calibri"/>
                <w:color w:val="000000"/>
                <w:sz w:val="22"/>
                <w:szCs w:val="22"/>
              </w:rPr>
            </w:pPr>
            <w:r>
              <w:rPr>
                <w:rFonts w:ascii="Calibri" w:hAnsi="Calibri" w:cs="Calibri"/>
                <w:color w:val="000000"/>
                <w:sz w:val="22"/>
                <w:szCs w:val="22"/>
              </w:rPr>
              <w:t>[no definition necessary]</w:t>
            </w:r>
          </w:p>
        </w:tc>
        <w:tc>
          <w:tcPr>
            <w:tcW w:w="1744" w:type="pct"/>
            <w:tcBorders>
              <w:top w:val="nil"/>
              <w:left w:val="nil"/>
              <w:bottom w:val="single" w:sz="4" w:space="0" w:color="auto"/>
              <w:right w:val="single" w:sz="4" w:space="0" w:color="auto"/>
            </w:tcBorders>
            <w:shd w:val="clear" w:color="auto" w:fill="auto"/>
            <w:noWrap/>
            <w:vAlign w:val="center"/>
            <w:hideMark/>
          </w:tcPr>
          <w:p w14:paraId="2DF8A421" w14:textId="77777777" w:rsidR="00EC08B3" w:rsidRDefault="00EC08B3">
            <w:pPr>
              <w:rPr>
                <w:rFonts w:ascii="Calibri" w:hAnsi="Calibri" w:cs="Calibri"/>
                <w:color w:val="000000"/>
                <w:sz w:val="22"/>
                <w:szCs w:val="22"/>
              </w:rPr>
            </w:pPr>
            <w:r>
              <w:rPr>
                <w:rFonts w:ascii="Calibri" w:hAnsi="Calibri" w:cs="Calibri"/>
                <w:color w:val="000000"/>
                <w:sz w:val="22"/>
                <w:szCs w:val="22"/>
              </w:rPr>
              <w:t>FCR                                                                                                                                                                                    </w:t>
            </w:r>
          </w:p>
        </w:tc>
      </w:tr>
      <w:tr w:rsidR="00E71698" w14:paraId="761FAC18" w14:textId="77777777" w:rsidTr="00E71698">
        <w:trPr>
          <w:trHeight w:val="600"/>
        </w:trPr>
        <w:tc>
          <w:tcPr>
            <w:tcW w:w="1822" w:type="pct"/>
            <w:tcBorders>
              <w:top w:val="single" w:sz="4" w:space="0" w:color="auto"/>
              <w:left w:val="single" w:sz="4" w:space="0" w:color="auto"/>
              <w:bottom w:val="single" w:sz="4" w:space="0" w:color="auto"/>
              <w:right w:val="single" w:sz="4" w:space="0" w:color="auto"/>
            </w:tcBorders>
            <w:shd w:val="clear" w:color="auto" w:fill="auto"/>
            <w:vAlign w:val="bottom"/>
          </w:tcPr>
          <w:p w14:paraId="7D9B5958" w14:textId="77777777" w:rsidR="00E71698" w:rsidRDefault="00E71698" w:rsidP="004D5052">
            <w:pPr>
              <w:rPr>
                <w:rFonts w:ascii="Calibri" w:hAnsi="Calibri" w:cs="Calibri"/>
                <w:color w:val="000000"/>
                <w:sz w:val="22"/>
                <w:szCs w:val="22"/>
              </w:rPr>
            </w:pPr>
            <w:r>
              <w:rPr>
                <w:rFonts w:ascii="Calibri" w:hAnsi="Calibri" w:cs="Calibri"/>
                <w:color w:val="000000"/>
                <w:sz w:val="22"/>
                <w:szCs w:val="22"/>
              </w:rPr>
              <w:t>Balancing Cash Outs</w:t>
            </w:r>
          </w:p>
          <w:p w14:paraId="48CC4822" w14:textId="4BBF8DDD" w:rsidR="00E71698" w:rsidRDefault="00E71698" w:rsidP="004D5052">
            <w:pPr>
              <w:rPr>
                <w:rFonts w:ascii="Calibri" w:hAnsi="Calibri" w:cs="Calibri"/>
                <w:color w:val="000000"/>
                <w:sz w:val="22"/>
                <w:szCs w:val="22"/>
              </w:rPr>
            </w:pPr>
            <w:r>
              <w:rPr>
                <w:rFonts w:ascii="Calibri" w:hAnsi="Calibri" w:cs="Calibri"/>
                <w:color w:val="000000"/>
                <w:sz w:val="22"/>
                <w:szCs w:val="22"/>
              </w:rPr>
              <w:t xml:space="preserve">(Bal </w:t>
            </w:r>
            <w:proofErr w:type="spellStart"/>
            <w:r>
              <w:rPr>
                <w:rFonts w:ascii="Calibri" w:hAnsi="Calibri" w:cs="Calibri"/>
                <w:color w:val="000000"/>
                <w:sz w:val="22"/>
                <w:szCs w:val="22"/>
              </w:rPr>
              <w:t>Cashout</w:t>
            </w:r>
            <w:proofErr w:type="spellEnd"/>
            <w:r>
              <w:rPr>
                <w:rFonts w:ascii="Calibri" w:hAnsi="Calibri" w:cs="Calibri"/>
                <w:color w:val="000000"/>
                <w:sz w:val="22"/>
                <w:szCs w:val="22"/>
              </w:rPr>
              <w:t>)</w:t>
            </w:r>
          </w:p>
        </w:tc>
        <w:tc>
          <w:tcPr>
            <w:tcW w:w="1434" w:type="pct"/>
            <w:tcBorders>
              <w:top w:val="nil"/>
              <w:left w:val="nil"/>
              <w:bottom w:val="single" w:sz="4" w:space="0" w:color="auto"/>
              <w:right w:val="single" w:sz="4" w:space="0" w:color="auto"/>
            </w:tcBorders>
            <w:shd w:val="clear" w:color="auto" w:fill="auto"/>
            <w:noWrap/>
            <w:vAlign w:val="bottom"/>
          </w:tcPr>
          <w:p w14:paraId="5FF818FD" w14:textId="6444739B" w:rsidR="00E71698" w:rsidRDefault="00E71698" w:rsidP="004D5052">
            <w:pPr>
              <w:rPr>
                <w:rFonts w:ascii="Calibri" w:hAnsi="Calibri" w:cs="Calibri"/>
                <w:color w:val="000000"/>
                <w:sz w:val="22"/>
                <w:szCs w:val="22"/>
              </w:rPr>
            </w:pPr>
            <w:r>
              <w:rPr>
                <w:rFonts w:ascii="Calibri" w:hAnsi="Calibri" w:cs="Calibri"/>
                <w:color w:val="000000"/>
                <w:sz w:val="22"/>
                <w:szCs w:val="22"/>
              </w:rPr>
              <w:t>[no definition necessary]</w:t>
            </w:r>
          </w:p>
        </w:tc>
        <w:tc>
          <w:tcPr>
            <w:tcW w:w="1744" w:type="pct"/>
            <w:tcBorders>
              <w:top w:val="nil"/>
              <w:left w:val="nil"/>
              <w:bottom w:val="single" w:sz="4" w:space="0" w:color="auto"/>
              <w:right w:val="single" w:sz="4" w:space="0" w:color="auto"/>
            </w:tcBorders>
            <w:shd w:val="clear" w:color="auto" w:fill="auto"/>
            <w:noWrap/>
            <w:vAlign w:val="center"/>
          </w:tcPr>
          <w:p w14:paraId="4BE39D8B" w14:textId="65F2A2A0" w:rsidR="00E71698" w:rsidRDefault="00E71698" w:rsidP="004D5052">
            <w:pPr>
              <w:rPr>
                <w:rFonts w:ascii="Calibri" w:hAnsi="Calibri" w:cs="Calibri"/>
                <w:color w:val="000000"/>
                <w:sz w:val="22"/>
                <w:szCs w:val="22"/>
              </w:rPr>
            </w:pPr>
            <w:r>
              <w:rPr>
                <w:rFonts w:ascii="Calibri" w:hAnsi="Calibri" w:cs="Calibri"/>
                <w:color w:val="000000"/>
                <w:sz w:val="22"/>
                <w:szCs w:val="22"/>
              </w:rPr>
              <w:t>BCO</w:t>
            </w:r>
          </w:p>
        </w:tc>
      </w:tr>
      <w:tr w:rsidR="00E71698" w14:paraId="1D37ECBB" w14:textId="77777777" w:rsidTr="00E71698">
        <w:trPr>
          <w:trHeight w:val="600"/>
        </w:trPr>
        <w:tc>
          <w:tcPr>
            <w:tcW w:w="1822" w:type="pct"/>
            <w:tcBorders>
              <w:top w:val="nil"/>
              <w:left w:val="single" w:sz="4" w:space="0" w:color="auto"/>
              <w:bottom w:val="single" w:sz="4" w:space="0" w:color="auto"/>
              <w:right w:val="single" w:sz="4" w:space="0" w:color="auto"/>
            </w:tcBorders>
            <w:shd w:val="clear" w:color="auto" w:fill="auto"/>
            <w:vAlign w:val="center"/>
          </w:tcPr>
          <w:p w14:paraId="0FFA269B" w14:textId="77777777" w:rsidR="00E71698" w:rsidRDefault="00E71698" w:rsidP="004D5052">
            <w:pPr>
              <w:rPr>
                <w:rFonts w:ascii="Calibri" w:hAnsi="Calibri" w:cs="Calibri"/>
                <w:color w:val="000000"/>
                <w:sz w:val="22"/>
                <w:szCs w:val="22"/>
              </w:rPr>
            </w:pPr>
            <w:r>
              <w:rPr>
                <w:rFonts w:ascii="Calibri" w:hAnsi="Calibri" w:cs="Calibri"/>
                <w:color w:val="000000"/>
                <w:sz w:val="22"/>
                <w:szCs w:val="22"/>
              </w:rPr>
              <w:t>Prepayment</w:t>
            </w:r>
          </w:p>
          <w:p w14:paraId="18D1396D" w14:textId="0AA7B964" w:rsidR="00E71698" w:rsidRDefault="00E71698" w:rsidP="004D5052">
            <w:pPr>
              <w:rPr>
                <w:rFonts w:ascii="Calibri" w:hAnsi="Calibri" w:cs="Calibri"/>
                <w:color w:val="000000"/>
                <w:sz w:val="22"/>
                <w:szCs w:val="22"/>
              </w:rPr>
            </w:pPr>
            <w:r>
              <w:rPr>
                <w:rFonts w:ascii="Calibri" w:hAnsi="Calibri" w:cs="Calibri"/>
                <w:color w:val="000000"/>
                <w:sz w:val="22"/>
                <w:szCs w:val="22"/>
              </w:rPr>
              <w:t>(Pre-</w:t>
            </w:r>
            <w:proofErr w:type="spellStart"/>
            <w:r>
              <w:rPr>
                <w:rFonts w:ascii="Calibri" w:hAnsi="Calibri" w:cs="Calibri"/>
                <w:color w:val="000000"/>
                <w:sz w:val="22"/>
                <w:szCs w:val="22"/>
              </w:rPr>
              <w:t>pymt</w:t>
            </w:r>
            <w:proofErr w:type="spellEnd"/>
            <w:r>
              <w:rPr>
                <w:rFonts w:ascii="Calibri" w:hAnsi="Calibri" w:cs="Calibri"/>
                <w:color w:val="000000"/>
                <w:sz w:val="22"/>
                <w:szCs w:val="22"/>
              </w:rPr>
              <w:t>)</w:t>
            </w:r>
          </w:p>
        </w:tc>
        <w:tc>
          <w:tcPr>
            <w:tcW w:w="1434" w:type="pct"/>
            <w:tcBorders>
              <w:top w:val="nil"/>
              <w:left w:val="nil"/>
              <w:bottom w:val="single" w:sz="4" w:space="0" w:color="auto"/>
              <w:right w:val="single" w:sz="4" w:space="0" w:color="auto"/>
            </w:tcBorders>
            <w:shd w:val="clear" w:color="auto" w:fill="auto"/>
            <w:noWrap/>
            <w:vAlign w:val="bottom"/>
          </w:tcPr>
          <w:p w14:paraId="2D94BB61" w14:textId="48542630" w:rsidR="00E71698" w:rsidRDefault="00E71698" w:rsidP="004D5052">
            <w:pPr>
              <w:rPr>
                <w:rFonts w:ascii="Calibri" w:hAnsi="Calibri" w:cs="Calibri"/>
                <w:color w:val="000000"/>
                <w:sz w:val="22"/>
                <w:szCs w:val="22"/>
              </w:rPr>
            </w:pPr>
            <w:r>
              <w:rPr>
                <w:rFonts w:ascii="Calibri" w:hAnsi="Calibri" w:cs="Calibri"/>
                <w:color w:val="000000"/>
                <w:sz w:val="22"/>
                <w:szCs w:val="22"/>
              </w:rPr>
              <w:t>[no definition necessary]</w:t>
            </w:r>
          </w:p>
        </w:tc>
        <w:tc>
          <w:tcPr>
            <w:tcW w:w="1744" w:type="pct"/>
            <w:tcBorders>
              <w:top w:val="nil"/>
              <w:left w:val="nil"/>
              <w:bottom w:val="single" w:sz="4" w:space="0" w:color="auto"/>
              <w:right w:val="single" w:sz="4" w:space="0" w:color="auto"/>
            </w:tcBorders>
            <w:shd w:val="clear" w:color="auto" w:fill="auto"/>
            <w:noWrap/>
            <w:vAlign w:val="center"/>
          </w:tcPr>
          <w:p w14:paraId="3DE5353B" w14:textId="315790FD" w:rsidR="00E71698" w:rsidRDefault="00E71698" w:rsidP="004D5052">
            <w:pPr>
              <w:rPr>
                <w:rFonts w:ascii="Calibri" w:hAnsi="Calibri" w:cs="Calibri"/>
                <w:color w:val="000000"/>
                <w:sz w:val="22"/>
                <w:szCs w:val="22"/>
              </w:rPr>
            </w:pPr>
            <w:r>
              <w:rPr>
                <w:rFonts w:ascii="Calibri" w:hAnsi="Calibri" w:cs="Calibri"/>
                <w:color w:val="000000"/>
                <w:sz w:val="22"/>
                <w:szCs w:val="22"/>
              </w:rPr>
              <w:t>PRE</w:t>
            </w:r>
          </w:p>
        </w:tc>
      </w:tr>
    </w:tbl>
    <w:p w14:paraId="1339D2F0" w14:textId="5256F057" w:rsidR="00BF7943" w:rsidRPr="0091239D" w:rsidRDefault="00BF7943" w:rsidP="00BF79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i/>
          <w:iCs/>
          <w:sz w:val="22"/>
        </w:rPr>
      </w:pPr>
      <w:r w:rsidRPr="0091239D">
        <w:rPr>
          <w:b/>
          <w:bCs/>
          <w:i/>
          <w:iCs/>
          <w:sz w:val="22"/>
        </w:rPr>
        <w:t xml:space="preserve">Justification – </w:t>
      </w:r>
    </w:p>
    <w:p w14:paraId="29E8278A" w14:textId="3D89B9F7" w:rsidR="00BF7943" w:rsidRDefault="00BF7943" w:rsidP="00BF79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bookmarkStart w:id="0" w:name="_Hlk139269051"/>
      <w:r w:rsidRPr="004A6F77">
        <w:rPr>
          <w:b/>
          <w:bCs/>
          <w:sz w:val="22"/>
        </w:rPr>
        <w:t xml:space="preserve">Fuel Credit </w:t>
      </w:r>
      <w:r>
        <w:rPr>
          <w:sz w:val="22"/>
        </w:rPr>
        <w:t xml:space="preserve">– This code value is needed to reflect credits for Fuel </w:t>
      </w:r>
      <w:proofErr w:type="gramStart"/>
      <w:r>
        <w:rPr>
          <w:sz w:val="22"/>
        </w:rPr>
        <w:t>and  can</w:t>
      </w:r>
      <w:proofErr w:type="gramEnd"/>
      <w:r>
        <w:rPr>
          <w:sz w:val="22"/>
        </w:rPr>
        <w:t xml:space="preserve"> be shown separate of the Fuel Tracker Refund.</w:t>
      </w:r>
    </w:p>
    <w:p w14:paraId="31376B97" w14:textId="77777777" w:rsidR="00CB0900" w:rsidRPr="00DB4F1A" w:rsidRDefault="004A6F77" w:rsidP="00CB0900">
      <w:pPr>
        <w:rPr>
          <w:sz w:val="22"/>
        </w:rPr>
      </w:pPr>
      <w:bookmarkStart w:id="1" w:name="_Hlk139270498"/>
      <w:r w:rsidRPr="00E71698">
        <w:rPr>
          <w:b/>
          <w:bCs/>
          <w:sz w:val="22"/>
        </w:rPr>
        <w:t xml:space="preserve">Balancing Cash Outs – </w:t>
      </w:r>
      <w:r w:rsidR="00CB0900" w:rsidRPr="00DB4F1A">
        <w:rPr>
          <w:sz w:val="22"/>
        </w:rPr>
        <w:t>This code value is needed to identify line items based on tariffs’ cash out provisions.</w:t>
      </w:r>
    </w:p>
    <w:p w14:paraId="439E6D6E" w14:textId="7D48CF7E" w:rsidR="004A6F77" w:rsidRPr="00DB4F1A" w:rsidRDefault="004A6F77" w:rsidP="00BF79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E71698">
        <w:rPr>
          <w:b/>
          <w:bCs/>
          <w:sz w:val="22"/>
        </w:rPr>
        <w:t xml:space="preserve">Prepayment – </w:t>
      </w:r>
      <w:r w:rsidR="0091239D" w:rsidRPr="0091239D">
        <w:rPr>
          <w:sz w:val="22"/>
        </w:rPr>
        <w:t>A charge associated with prepayments connected to an invoice total.</w:t>
      </w:r>
      <w:r w:rsidR="005567F1" w:rsidRPr="00E71698">
        <w:rPr>
          <w:sz w:val="22"/>
        </w:rPr>
        <w:t xml:space="preserve"> </w:t>
      </w:r>
    </w:p>
    <w:bookmarkEnd w:id="0"/>
    <w:bookmarkEnd w:id="1"/>
    <w:p w14:paraId="78C5C85C" w14:textId="77777777" w:rsidR="00BF7943" w:rsidRDefault="00BF7943" w:rsidP="00BF794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14:paraId="4481B18B" w14:textId="08204C55" w:rsidR="00B57A3D" w:rsidRPr="00BF7943" w:rsidRDefault="00EC08B3" w:rsidP="00BF7943">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BF7943">
        <w:rPr>
          <w:sz w:val="22"/>
        </w:rPr>
        <w:t xml:space="preserve"> </w:t>
      </w:r>
      <w:r w:rsidR="00B57A3D" w:rsidRPr="00BF7943">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2"/>
      </w:tblGrid>
      <w:tr w:rsidR="00B57A3D" w:rsidRPr="00DB4F1A" w14:paraId="0F8DF9B3" w14:textId="77777777" w:rsidTr="00B57A3D">
        <w:tc>
          <w:tcPr>
            <w:tcW w:w="8532" w:type="dxa"/>
            <w:tcBorders>
              <w:top w:val="nil"/>
              <w:left w:val="nil"/>
              <w:bottom w:val="nil"/>
              <w:right w:val="nil"/>
            </w:tcBorders>
            <w:hideMark/>
          </w:tcPr>
          <w:p w14:paraId="3E850141" w14:textId="52562132" w:rsidR="00B57A3D" w:rsidRDefault="00B57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The requested code values are needed to provide additional clarity on </w:t>
            </w:r>
            <w:r w:rsidR="002A4EEB">
              <w:rPr>
                <w:sz w:val="22"/>
              </w:rPr>
              <w:t xml:space="preserve">the </w:t>
            </w:r>
            <w:r>
              <w:rPr>
                <w:sz w:val="22"/>
              </w:rPr>
              <w:t>invoice charges</w:t>
            </w:r>
            <w:r w:rsidR="002A4EEB">
              <w:rPr>
                <w:sz w:val="22"/>
              </w:rPr>
              <w:t xml:space="preserve"> at the Service Requester level. </w:t>
            </w:r>
            <w:r w:rsidR="00925B82">
              <w:rPr>
                <w:sz w:val="22"/>
              </w:rPr>
              <w:t>All of the codes already exist for the Charge Type data element</w:t>
            </w:r>
            <w:r w:rsidR="00DB4F1A">
              <w:rPr>
                <w:sz w:val="22"/>
              </w:rPr>
              <w:t xml:space="preserve">. </w:t>
            </w:r>
            <w:r w:rsidR="00925B82">
              <w:rPr>
                <w:sz w:val="22"/>
              </w:rPr>
              <w:t xml:space="preserve">They are necessary to provide the pertinent information for the Service Requester Level Charges. </w:t>
            </w:r>
          </w:p>
        </w:tc>
      </w:tr>
    </w:tbl>
    <w:p w14:paraId="577E536C" w14:textId="49BFBAED" w:rsidR="008C64B1" w:rsidRPr="008C64B1" w:rsidRDefault="008C64B1" w:rsidP="00925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rFonts w:asciiTheme="majorHAnsi" w:hAnsiTheme="majorHAnsi"/>
          <w:color w:val="000000" w:themeColor="text1"/>
          <w:sz w:val="22"/>
          <w:szCs w:val="22"/>
        </w:rPr>
      </w:pPr>
    </w:p>
    <w:sectPr w:rsidR="008C64B1" w:rsidRPr="008C64B1" w:rsidSect="0091239D">
      <w:headerReference w:type="default" r:id="rId9"/>
      <w:endnotePr>
        <w:numFmt w:val="decimal"/>
      </w:endnotePr>
      <w:pgSz w:w="12240" w:h="15840" w:code="1"/>
      <w:pgMar w:top="216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7082E" w14:textId="77777777" w:rsidR="00C27D7B" w:rsidRDefault="00C27D7B">
      <w:r>
        <w:separator/>
      </w:r>
    </w:p>
  </w:endnote>
  <w:endnote w:type="continuationSeparator" w:id="0">
    <w:p w14:paraId="648820D2" w14:textId="77777777" w:rsidR="00C27D7B" w:rsidRDefault="00C2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B9B5" w14:textId="77777777" w:rsidR="00C27D7B" w:rsidRDefault="00C27D7B">
      <w:r>
        <w:separator/>
      </w:r>
    </w:p>
  </w:footnote>
  <w:footnote w:type="continuationSeparator" w:id="0">
    <w:p w14:paraId="62FBE0FF" w14:textId="77777777" w:rsidR="00C27D7B" w:rsidRDefault="00C2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4BDB" w14:textId="2A3ED3BB" w:rsidR="00514975" w:rsidRPr="007A753B"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7A753B">
      <w:rPr>
        <w:b/>
        <w:sz w:val="36"/>
        <w:szCs w:val="36"/>
      </w:rPr>
      <w:t>M</w:t>
    </w:r>
    <w:r>
      <w:rPr>
        <w:b/>
        <w:sz w:val="36"/>
        <w:szCs w:val="36"/>
      </w:rPr>
      <w:t>C</w:t>
    </w:r>
    <w:r w:rsidR="00C41828">
      <w:rPr>
        <w:b/>
        <w:sz w:val="36"/>
        <w:szCs w:val="36"/>
      </w:rPr>
      <w:t>23011</w:t>
    </w:r>
  </w:p>
  <w:p w14:paraId="3D17BD84"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14:paraId="52CE4A31"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4F012074"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14:paraId="7946D622" w14:textId="77777777" w:rsidR="00514975" w:rsidRPr="00F75E6C" w:rsidRDefault="0051497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5405"/>
    <w:multiLevelType w:val="hybridMultilevel"/>
    <w:tmpl w:val="5D4A69CE"/>
    <w:lvl w:ilvl="0" w:tplc="A4A60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A7FDA"/>
    <w:multiLevelType w:val="hybridMultilevel"/>
    <w:tmpl w:val="E84C5D44"/>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DB41436"/>
    <w:multiLevelType w:val="multilevel"/>
    <w:tmpl w:val="446EAF2C"/>
    <w:lvl w:ilvl="0">
      <w:start w:val="3"/>
      <w:numFmt w:val="decimal"/>
      <w:lvlText w:val="%1."/>
      <w:lvlJc w:val="left"/>
      <w:pPr>
        <w:tabs>
          <w:tab w:val="num" w:pos="360"/>
        </w:tabs>
        <w:ind w:left="360" w:hanging="360"/>
      </w:pPr>
      <w:rPr>
        <w:rFonts w:hint="default"/>
      </w:rPr>
    </w:lvl>
    <w:lvl w:ilvl="1">
      <w:start w:val="4"/>
      <w:numFmt w:val="decimal"/>
      <w:isLgl/>
      <w:lvlText w:val="%1.%2"/>
      <w:lvlJc w:val="left"/>
      <w:pPr>
        <w:ind w:left="7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35DF5D85"/>
    <w:multiLevelType w:val="hybridMultilevel"/>
    <w:tmpl w:val="AEA803CA"/>
    <w:lvl w:ilvl="0" w:tplc="232CA2BC">
      <w:start w:val="1"/>
      <w:numFmt w:val="decimal"/>
      <w:lvlText w:val="%1)"/>
      <w:lvlJc w:val="left"/>
      <w:pPr>
        <w:ind w:left="54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92445"/>
    <w:multiLevelType w:val="hybridMultilevel"/>
    <w:tmpl w:val="FCFCF24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E21AD0"/>
    <w:multiLevelType w:val="hybridMultilevel"/>
    <w:tmpl w:val="D2EE7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A74690"/>
    <w:multiLevelType w:val="hybridMultilevel"/>
    <w:tmpl w:val="895056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F65D5"/>
    <w:multiLevelType w:val="hybridMultilevel"/>
    <w:tmpl w:val="78A6F0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F5107E"/>
    <w:multiLevelType w:val="hybridMultilevel"/>
    <w:tmpl w:val="F0628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9"/>
  </w:num>
  <w:num w:numId="6">
    <w:abstractNumId w:val="5"/>
  </w:num>
  <w:num w:numId="7">
    <w:abstractNumId w:val="6"/>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7"/>
    <w:rsid w:val="00014B5D"/>
    <w:rsid w:val="00015C5E"/>
    <w:rsid w:val="000242D2"/>
    <w:rsid w:val="000425F2"/>
    <w:rsid w:val="00045B0F"/>
    <w:rsid w:val="00053089"/>
    <w:rsid w:val="00070AA7"/>
    <w:rsid w:val="00074F05"/>
    <w:rsid w:val="00077D95"/>
    <w:rsid w:val="000C0676"/>
    <w:rsid w:val="000C4477"/>
    <w:rsid w:val="000D3454"/>
    <w:rsid w:val="000D61E3"/>
    <w:rsid w:val="000D62AF"/>
    <w:rsid w:val="000E151D"/>
    <w:rsid w:val="0010622E"/>
    <w:rsid w:val="001102D3"/>
    <w:rsid w:val="00124BDF"/>
    <w:rsid w:val="001309BD"/>
    <w:rsid w:val="00134C6C"/>
    <w:rsid w:val="00142682"/>
    <w:rsid w:val="00142801"/>
    <w:rsid w:val="00142E11"/>
    <w:rsid w:val="00151239"/>
    <w:rsid w:val="00153F56"/>
    <w:rsid w:val="00165414"/>
    <w:rsid w:val="00185880"/>
    <w:rsid w:val="00186803"/>
    <w:rsid w:val="001A5234"/>
    <w:rsid w:val="001B3A0F"/>
    <w:rsid w:val="001B4C77"/>
    <w:rsid w:val="001B5AC5"/>
    <w:rsid w:val="001C7B73"/>
    <w:rsid w:val="001E3DC8"/>
    <w:rsid w:val="001F1CC1"/>
    <w:rsid w:val="001F74D4"/>
    <w:rsid w:val="0021270E"/>
    <w:rsid w:val="00222BAF"/>
    <w:rsid w:val="00222FB7"/>
    <w:rsid w:val="002334CB"/>
    <w:rsid w:val="0023554A"/>
    <w:rsid w:val="00240604"/>
    <w:rsid w:val="00243F68"/>
    <w:rsid w:val="002472DF"/>
    <w:rsid w:val="00254093"/>
    <w:rsid w:val="00270B89"/>
    <w:rsid w:val="002732C6"/>
    <w:rsid w:val="002A4EEB"/>
    <w:rsid w:val="002D2EA2"/>
    <w:rsid w:val="002D3AE7"/>
    <w:rsid w:val="002E7DE6"/>
    <w:rsid w:val="00326466"/>
    <w:rsid w:val="00350BFE"/>
    <w:rsid w:val="00354FA4"/>
    <w:rsid w:val="00362BFB"/>
    <w:rsid w:val="00363280"/>
    <w:rsid w:val="00367AA9"/>
    <w:rsid w:val="003728E8"/>
    <w:rsid w:val="0038692E"/>
    <w:rsid w:val="003960DF"/>
    <w:rsid w:val="003A654B"/>
    <w:rsid w:val="003B63F9"/>
    <w:rsid w:val="003D4229"/>
    <w:rsid w:val="003E39C4"/>
    <w:rsid w:val="003F5AF2"/>
    <w:rsid w:val="00402FA8"/>
    <w:rsid w:val="00403292"/>
    <w:rsid w:val="00407209"/>
    <w:rsid w:val="004279AD"/>
    <w:rsid w:val="00442102"/>
    <w:rsid w:val="0044778C"/>
    <w:rsid w:val="00451BDC"/>
    <w:rsid w:val="00451C9B"/>
    <w:rsid w:val="00481AE0"/>
    <w:rsid w:val="004A47CA"/>
    <w:rsid w:val="004A5B3C"/>
    <w:rsid w:val="004A6F77"/>
    <w:rsid w:val="004C3303"/>
    <w:rsid w:val="004D276C"/>
    <w:rsid w:val="004D3977"/>
    <w:rsid w:val="004D3F9D"/>
    <w:rsid w:val="004D5052"/>
    <w:rsid w:val="004E34DF"/>
    <w:rsid w:val="00512DFA"/>
    <w:rsid w:val="00514975"/>
    <w:rsid w:val="0052226A"/>
    <w:rsid w:val="0053534A"/>
    <w:rsid w:val="00536B73"/>
    <w:rsid w:val="00543962"/>
    <w:rsid w:val="0054624C"/>
    <w:rsid w:val="005567F1"/>
    <w:rsid w:val="00595D7A"/>
    <w:rsid w:val="005A532A"/>
    <w:rsid w:val="005A7225"/>
    <w:rsid w:val="005B1939"/>
    <w:rsid w:val="005D1772"/>
    <w:rsid w:val="005D5F17"/>
    <w:rsid w:val="005D78EC"/>
    <w:rsid w:val="005D7C1D"/>
    <w:rsid w:val="005F5F7F"/>
    <w:rsid w:val="0060224D"/>
    <w:rsid w:val="00607B13"/>
    <w:rsid w:val="0063324C"/>
    <w:rsid w:val="0063742F"/>
    <w:rsid w:val="00643645"/>
    <w:rsid w:val="00655A7A"/>
    <w:rsid w:val="00663279"/>
    <w:rsid w:val="006676AA"/>
    <w:rsid w:val="00675A23"/>
    <w:rsid w:val="006779D8"/>
    <w:rsid w:val="006A4C9C"/>
    <w:rsid w:val="006A683C"/>
    <w:rsid w:val="006E2F4C"/>
    <w:rsid w:val="006F4615"/>
    <w:rsid w:val="00702700"/>
    <w:rsid w:val="007037B7"/>
    <w:rsid w:val="0070652C"/>
    <w:rsid w:val="007101DF"/>
    <w:rsid w:val="007164B1"/>
    <w:rsid w:val="00723640"/>
    <w:rsid w:val="007267A6"/>
    <w:rsid w:val="0073448C"/>
    <w:rsid w:val="007475B7"/>
    <w:rsid w:val="007630E6"/>
    <w:rsid w:val="00775C3F"/>
    <w:rsid w:val="00784538"/>
    <w:rsid w:val="007A65DF"/>
    <w:rsid w:val="007A753B"/>
    <w:rsid w:val="007B6A51"/>
    <w:rsid w:val="007E02ED"/>
    <w:rsid w:val="00807A42"/>
    <w:rsid w:val="00811F96"/>
    <w:rsid w:val="0084586E"/>
    <w:rsid w:val="0084715C"/>
    <w:rsid w:val="0085187D"/>
    <w:rsid w:val="008658A7"/>
    <w:rsid w:val="0088458E"/>
    <w:rsid w:val="008846AD"/>
    <w:rsid w:val="00887B6C"/>
    <w:rsid w:val="008A2AEB"/>
    <w:rsid w:val="008A4D2F"/>
    <w:rsid w:val="008C4AD7"/>
    <w:rsid w:val="008C64B1"/>
    <w:rsid w:val="008C6FCE"/>
    <w:rsid w:val="008D0C58"/>
    <w:rsid w:val="008E0EC4"/>
    <w:rsid w:val="008E163F"/>
    <w:rsid w:val="008E249D"/>
    <w:rsid w:val="008E353E"/>
    <w:rsid w:val="008F3A50"/>
    <w:rsid w:val="008F59A1"/>
    <w:rsid w:val="008F72A1"/>
    <w:rsid w:val="00902AA5"/>
    <w:rsid w:val="0091239D"/>
    <w:rsid w:val="00915145"/>
    <w:rsid w:val="00925B82"/>
    <w:rsid w:val="00931B8B"/>
    <w:rsid w:val="00941357"/>
    <w:rsid w:val="00945074"/>
    <w:rsid w:val="009525DA"/>
    <w:rsid w:val="009552B4"/>
    <w:rsid w:val="00964109"/>
    <w:rsid w:val="00966354"/>
    <w:rsid w:val="00980984"/>
    <w:rsid w:val="00991CA3"/>
    <w:rsid w:val="009A1930"/>
    <w:rsid w:val="009A549E"/>
    <w:rsid w:val="009B1B3A"/>
    <w:rsid w:val="009C1741"/>
    <w:rsid w:val="009D34A6"/>
    <w:rsid w:val="009D5779"/>
    <w:rsid w:val="009E433F"/>
    <w:rsid w:val="009E7B04"/>
    <w:rsid w:val="009F32D7"/>
    <w:rsid w:val="00A36DB0"/>
    <w:rsid w:val="00A501DD"/>
    <w:rsid w:val="00A63094"/>
    <w:rsid w:val="00A65B9B"/>
    <w:rsid w:val="00A91FD9"/>
    <w:rsid w:val="00AC19CD"/>
    <w:rsid w:val="00AD63D4"/>
    <w:rsid w:val="00AF1485"/>
    <w:rsid w:val="00B1048A"/>
    <w:rsid w:val="00B15659"/>
    <w:rsid w:val="00B234EA"/>
    <w:rsid w:val="00B269B2"/>
    <w:rsid w:val="00B516D3"/>
    <w:rsid w:val="00B55768"/>
    <w:rsid w:val="00B55D05"/>
    <w:rsid w:val="00B57A3D"/>
    <w:rsid w:val="00B748A9"/>
    <w:rsid w:val="00B81BDC"/>
    <w:rsid w:val="00B94DAF"/>
    <w:rsid w:val="00BA1D01"/>
    <w:rsid w:val="00BA3D0A"/>
    <w:rsid w:val="00BB284E"/>
    <w:rsid w:val="00BB4315"/>
    <w:rsid w:val="00BC5D41"/>
    <w:rsid w:val="00BD1823"/>
    <w:rsid w:val="00BD6242"/>
    <w:rsid w:val="00BE674F"/>
    <w:rsid w:val="00BF25E6"/>
    <w:rsid w:val="00BF36AC"/>
    <w:rsid w:val="00BF57AD"/>
    <w:rsid w:val="00BF7943"/>
    <w:rsid w:val="00C121F7"/>
    <w:rsid w:val="00C200FC"/>
    <w:rsid w:val="00C2038B"/>
    <w:rsid w:val="00C27D7B"/>
    <w:rsid w:val="00C30CD1"/>
    <w:rsid w:val="00C41828"/>
    <w:rsid w:val="00C42488"/>
    <w:rsid w:val="00C50404"/>
    <w:rsid w:val="00C66810"/>
    <w:rsid w:val="00C82866"/>
    <w:rsid w:val="00C92705"/>
    <w:rsid w:val="00C95D9C"/>
    <w:rsid w:val="00CA1F31"/>
    <w:rsid w:val="00CA6863"/>
    <w:rsid w:val="00CB0900"/>
    <w:rsid w:val="00CB1B45"/>
    <w:rsid w:val="00CC69FB"/>
    <w:rsid w:val="00CF095D"/>
    <w:rsid w:val="00CF7C7D"/>
    <w:rsid w:val="00D046CF"/>
    <w:rsid w:val="00D05FC3"/>
    <w:rsid w:val="00D141D4"/>
    <w:rsid w:val="00D3463D"/>
    <w:rsid w:val="00D61526"/>
    <w:rsid w:val="00D6168B"/>
    <w:rsid w:val="00D63AB0"/>
    <w:rsid w:val="00D672B6"/>
    <w:rsid w:val="00D71D3C"/>
    <w:rsid w:val="00D72EFF"/>
    <w:rsid w:val="00D8421D"/>
    <w:rsid w:val="00D8517D"/>
    <w:rsid w:val="00D92F87"/>
    <w:rsid w:val="00D95D2A"/>
    <w:rsid w:val="00DA6213"/>
    <w:rsid w:val="00DB4F1A"/>
    <w:rsid w:val="00DB5FBC"/>
    <w:rsid w:val="00DE60DB"/>
    <w:rsid w:val="00E16E3A"/>
    <w:rsid w:val="00E209A7"/>
    <w:rsid w:val="00E31B9E"/>
    <w:rsid w:val="00E500C8"/>
    <w:rsid w:val="00E55CC5"/>
    <w:rsid w:val="00E70259"/>
    <w:rsid w:val="00E71698"/>
    <w:rsid w:val="00E7260A"/>
    <w:rsid w:val="00E77FD1"/>
    <w:rsid w:val="00E81443"/>
    <w:rsid w:val="00E84229"/>
    <w:rsid w:val="00E85C02"/>
    <w:rsid w:val="00E87682"/>
    <w:rsid w:val="00E92E7E"/>
    <w:rsid w:val="00E947F6"/>
    <w:rsid w:val="00EA72B5"/>
    <w:rsid w:val="00EB03DC"/>
    <w:rsid w:val="00EC08B3"/>
    <w:rsid w:val="00EC1D2C"/>
    <w:rsid w:val="00EE06FB"/>
    <w:rsid w:val="00EF37D5"/>
    <w:rsid w:val="00EF4D32"/>
    <w:rsid w:val="00F051C4"/>
    <w:rsid w:val="00F07007"/>
    <w:rsid w:val="00F1607D"/>
    <w:rsid w:val="00F3017A"/>
    <w:rsid w:val="00F349C7"/>
    <w:rsid w:val="00F45CAC"/>
    <w:rsid w:val="00F46B15"/>
    <w:rsid w:val="00F47D71"/>
    <w:rsid w:val="00F60373"/>
    <w:rsid w:val="00F73EE4"/>
    <w:rsid w:val="00F75E6C"/>
    <w:rsid w:val="00F76A2A"/>
    <w:rsid w:val="00F86136"/>
    <w:rsid w:val="00FB11FE"/>
    <w:rsid w:val="00FB7D63"/>
    <w:rsid w:val="00FC70E9"/>
    <w:rsid w:val="00FD4F31"/>
    <w:rsid w:val="00FD75A1"/>
    <w:rsid w:val="00FE103A"/>
    <w:rsid w:val="00FE7BD9"/>
    <w:rsid w:val="00FF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E44D6"/>
  <w15:docId w15:val="{0002C3D5-C158-456F-AEEE-732BA9D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930"/>
    <w:pPr>
      <w:ind w:left="720"/>
      <w:contextualSpacing/>
    </w:pPr>
  </w:style>
  <w:style w:type="paragraph" w:customStyle="1" w:styleId="Default">
    <w:name w:val="Default"/>
    <w:rsid w:val="008C64B1"/>
    <w:pPr>
      <w:autoSpaceDE w:val="0"/>
      <w:autoSpaceDN w:val="0"/>
      <w:adjustRightInd w:val="0"/>
    </w:pPr>
    <w:rPr>
      <w:rFonts w:ascii="Courier New" w:hAnsi="Courier New" w:cs="Courier New"/>
      <w:color w:val="000000"/>
      <w:sz w:val="24"/>
      <w:szCs w:val="24"/>
    </w:rPr>
  </w:style>
  <w:style w:type="paragraph" w:styleId="NormalWeb">
    <w:name w:val="Normal (Web)"/>
    <w:basedOn w:val="Normal"/>
    <w:uiPriority w:val="99"/>
    <w:semiHidden/>
    <w:unhideWhenUsed/>
    <w:rsid w:val="00045B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9313">
      <w:bodyDiv w:val="1"/>
      <w:marLeft w:val="0"/>
      <w:marRight w:val="0"/>
      <w:marTop w:val="0"/>
      <w:marBottom w:val="0"/>
      <w:divBdr>
        <w:top w:val="none" w:sz="0" w:space="0" w:color="auto"/>
        <w:left w:val="none" w:sz="0" w:space="0" w:color="auto"/>
        <w:bottom w:val="none" w:sz="0" w:space="0" w:color="auto"/>
        <w:right w:val="none" w:sz="0" w:space="0" w:color="auto"/>
      </w:divBdr>
    </w:div>
    <w:div w:id="73165499">
      <w:bodyDiv w:val="1"/>
      <w:marLeft w:val="0"/>
      <w:marRight w:val="0"/>
      <w:marTop w:val="0"/>
      <w:marBottom w:val="0"/>
      <w:divBdr>
        <w:top w:val="none" w:sz="0" w:space="0" w:color="auto"/>
        <w:left w:val="none" w:sz="0" w:space="0" w:color="auto"/>
        <w:bottom w:val="none" w:sz="0" w:space="0" w:color="auto"/>
        <w:right w:val="none" w:sz="0" w:space="0" w:color="auto"/>
      </w:divBdr>
    </w:div>
    <w:div w:id="206337600">
      <w:bodyDiv w:val="1"/>
      <w:marLeft w:val="0"/>
      <w:marRight w:val="0"/>
      <w:marTop w:val="0"/>
      <w:marBottom w:val="0"/>
      <w:divBdr>
        <w:top w:val="none" w:sz="0" w:space="0" w:color="auto"/>
        <w:left w:val="none" w:sz="0" w:space="0" w:color="auto"/>
        <w:bottom w:val="none" w:sz="0" w:space="0" w:color="auto"/>
        <w:right w:val="none" w:sz="0" w:space="0" w:color="auto"/>
      </w:divBdr>
    </w:div>
    <w:div w:id="385447432">
      <w:bodyDiv w:val="1"/>
      <w:marLeft w:val="0"/>
      <w:marRight w:val="0"/>
      <w:marTop w:val="0"/>
      <w:marBottom w:val="0"/>
      <w:divBdr>
        <w:top w:val="none" w:sz="0" w:space="0" w:color="auto"/>
        <w:left w:val="none" w:sz="0" w:space="0" w:color="auto"/>
        <w:bottom w:val="none" w:sz="0" w:space="0" w:color="auto"/>
        <w:right w:val="none" w:sz="0" w:space="0" w:color="auto"/>
      </w:divBdr>
    </w:div>
    <w:div w:id="569197119">
      <w:bodyDiv w:val="1"/>
      <w:marLeft w:val="0"/>
      <w:marRight w:val="0"/>
      <w:marTop w:val="0"/>
      <w:marBottom w:val="0"/>
      <w:divBdr>
        <w:top w:val="none" w:sz="0" w:space="0" w:color="auto"/>
        <w:left w:val="none" w:sz="0" w:space="0" w:color="auto"/>
        <w:bottom w:val="none" w:sz="0" w:space="0" w:color="auto"/>
        <w:right w:val="none" w:sz="0" w:space="0" w:color="auto"/>
      </w:divBdr>
    </w:div>
    <w:div w:id="609631864">
      <w:bodyDiv w:val="1"/>
      <w:marLeft w:val="0"/>
      <w:marRight w:val="0"/>
      <w:marTop w:val="0"/>
      <w:marBottom w:val="0"/>
      <w:divBdr>
        <w:top w:val="none" w:sz="0" w:space="0" w:color="auto"/>
        <w:left w:val="none" w:sz="0" w:space="0" w:color="auto"/>
        <w:bottom w:val="none" w:sz="0" w:space="0" w:color="auto"/>
        <w:right w:val="none" w:sz="0" w:space="0" w:color="auto"/>
      </w:divBdr>
    </w:div>
    <w:div w:id="656807046">
      <w:bodyDiv w:val="1"/>
      <w:marLeft w:val="0"/>
      <w:marRight w:val="0"/>
      <w:marTop w:val="0"/>
      <w:marBottom w:val="0"/>
      <w:divBdr>
        <w:top w:val="none" w:sz="0" w:space="0" w:color="auto"/>
        <w:left w:val="none" w:sz="0" w:space="0" w:color="auto"/>
        <w:bottom w:val="none" w:sz="0" w:space="0" w:color="auto"/>
        <w:right w:val="none" w:sz="0" w:space="0" w:color="auto"/>
      </w:divBdr>
    </w:div>
    <w:div w:id="692927113">
      <w:bodyDiv w:val="1"/>
      <w:marLeft w:val="0"/>
      <w:marRight w:val="0"/>
      <w:marTop w:val="0"/>
      <w:marBottom w:val="0"/>
      <w:divBdr>
        <w:top w:val="none" w:sz="0" w:space="0" w:color="auto"/>
        <w:left w:val="none" w:sz="0" w:space="0" w:color="auto"/>
        <w:bottom w:val="none" w:sz="0" w:space="0" w:color="auto"/>
        <w:right w:val="none" w:sz="0" w:space="0" w:color="auto"/>
      </w:divBdr>
    </w:div>
    <w:div w:id="711196696">
      <w:bodyDiv w:val="1"/>
      <w:marLeft w:val="0"/>
      <w:marRight w:val="0"/>
      <w:marTop w:val="0"/>
      <w:marBottom w:val="0"/>
      <w:divBdr>
        <w:top w:val="none" w:sz="0" w:space="0" w:color="auto"/>
        <w:left w:val="none" w:sz="0" w:space="0" w:color="auto"/>
        <w:bottom w:val="none" w:sz="0" w:space="0" w:color="auto"/>
        <w:right w:val="none" w:sz="0" w:space="0" w:color="auto"/>
      </w:divBdr>
    </w:div>
    <w:div w:id="756902862">
      <w:bodyDiv w:val="1"/>
      <w:marLeft w:val="0"/>
      <w:marRight w:val="0"/>
      <w:marTop w:val="0"/>
      <w:marBottom w:val="0"/>
      <w:divBdr>
        <w:top w:val="none" w:sz="0" w:space="0" w:color="auto"/>
        <w:left w:val="none" w:sz="0" w:space="0" w:color="auto"/>
        <w:bottom w:val="none" w:sz="0" w:space="0" w:color="auto"/>
        <w:right w:val="none" w:sz="0" w:space="0" w:color="auto"/>
      </w:divBdr>
    </w:div>
    <w:div w:id="1037509899">
      <w:bodyDiv w:val="1"/>
      <w:marLeft w:val="0"/>
      <w:marRight w:val="0"/>
      <w:marTop w:val="0"/>
      <w:marBottom w:val="0"/>
      <w:divBdr>
        <w:top w:val="none" w:sz="0" w:space="0" w:color="auto"/>
        <w:left w:val="none" w:sz="0" w:space="0" w:color="auto"/>
        <w:bottom w:val="none" w:sz="0" w:space="0" w:color="auto"/>
        <w:right w:val="none" w:sz="0" w:space="0" w:color="auto"/>
      </w:divBdr>
    </w:div>
    <w:div w:id="1043022179">
      <w:bodyDiv w:val="1"/>
      <w:marLeft w:val="0"/>
      <w:marRight w:val="0"/>
      <w:marTop w:val="0"/>
      <w:marBottom w:val="0"/>
      <w:divBdr>
        <w:top w:val="none" w:sz="0" w:space="0" w:color="auto"/>
        <w:left w:val="none" w:sz="0" w:space="0" w:color="auto"/>
        <w:bottom w:val="none" w:sz="0" w:space="0" w:color="auto"/>
        <w:right w:val="none" w:sz="0" w:space="0" w:color="auto"/>
      </w:divBdr>
    </w:div>
    <w:div w:id="1103958689">
      <w:bodyDiv w:val="1"/>
      <w:marLeft w:val="0"/>
      <w:marRight w:val="0"/>
      <w:marTop w:val="0"/>
      <w:marBottom w:val="0"/>
      <w:divBdr>
        <w:top w:val="none" w:sz="0" w:space="0" w:color="auto"/>
        <w:left w:val="none" w:sz="0" w:space="0" w:color="auto"/>
        <w:bottom w:val="none" w:sz="0" w:space="0" w:color="auto"/>
        <w:right w:val="none" w:sz="0" w:space="0" w:color="auto"/>
      </w:divBdr>
    </w:div>
    <w:div w:id="1107041229">
      <w:bodyDiv w:val="1"/>
      <w:marLeft w:val="0"/>
      <w:marRight w:val="0"/>
      <w:marTop w:val="0"/>
      <w:marBottom w:val="0"/>
      <w:divBdr>
        <w:top w:val="none" w:sz="0" w:space="0" w:color="auto"/>
        <w:left w:val="none" w:sz="0" w:space="0" w:color="auto"/>
        <w:bottom w:val="none" w:sz="0" w:space="0" w:color="auto"/>
        <w:right w:val="none" w:sz="0" w:space="0" w:color="auto"/>
      </w:divBdr>
    </w:div>
    <w:div w:id="1142695316">
      <w:bodyDiv w:val="1"/>
      <w:marLeft w:val="0"/>
      <w:marRight w:val="0"/>
      <w:marTop w:val="0"/>
      <w:marBottom w:val="0"/>
      <w:divBdr>
        <w:top w:val="none" w:sz="0" w:space="0" w:color="auto"/>
        <w:left w:val="none" w:sz="0" w:space="0" w:color="auto"/>
        <w:bottom w:val="none" w:sz="0" w:space="0" w:color="auto"/>
        <w:right w:val="none" w:sz="0" w:space="0" w:color="auto"/>
      </w:divBdr>
    </w:div>
    <w:div w:id="1234699329">
      <w:bodyDiv w:val="1"/>
      <w:marLeft w:val="0"/>
      <w:marRight w:val="0"/>
      <w:marTop w:val="0"/>
      <w:marBottom w:val="0"/>
      <w:divBdr>
        <w:top w:val="none" w:sz="0" w:space="0" w:color="auto"/>
        <w:left w:val="none" w:sz="0" w:space="0" w:color="auto"/>
        <w:bottom w:val="none" w:sz="0" w:space="0" w:color="auto"/>
        <w:right w:val="none" w:sz="0" w:space="0" w:color="auto"/>
      </w:divBdr>
    </w:div>
    <w:div w:id="1244410078">
      <w:bodyDiv w:val="1"/>
      <w:marLeft w:val="0"/>
      <w:marRight w:val="0"/>
      <w:marTop w:val="0"/>
      <w:marBottom w:val="0"/>
      <w:divBdr>
        <w:top w:val="none" w:sz="0" w:space="0" w:color="auto"/>
        <w:left w:val="none" w:sz="0" w:space="0" w:color="auto"/>
        <w:bottom w:val="none" w:sz="0" w:space="0" w:color="auto"/>
        <w:right w:val="none" w:sz="0" w:space="0" w:color="auto"/>
      </w:divBdr>
    </w:div>
    <w:div w:id="1271737823">
      <w:bodyDiv w:val="1"/>
      <w:marLeft w:val="0"/>
      <w:marRight w:val="0"/>
      <w:marTop w:val="0"/>
      <w:marBottom w:val="0"/>
      <w:divBdr>
        <w:top w:val="none" w:sz="0" w:space="0" w:color="auto"/>
        <w:left w:val="none" w:sz="0" w:space="0" w:color="auto"/>
        <w:bottom w:val="none" w:sz="0" w:space="0" w:color="auto"/>
        <w:right w:val="none" w:sz="0" w:space="0" w:color="auto"/>
      </w:divBdr>
    </w:div>
    <w:div w:id="1328097769">
      <w:bodyDiv w:val="1"/>
      <w:marLeft w:val="0"/>
      <w:marRight w:val="0"/>
      <w:marTop w:val="0"/>
      <w:marBottom w:val="0"/>
      <w:divBdr>
        <w:top w:val="none" w:sz="0" w:space="0" w:color="auto"/>
        <w:left w:val="none" w:sz="0" w:space="0" w:color="auto"/>
        <w:bottom w:val="none" w:sz="0" w:space="0" w:color="auto"/>
        <w:right w:val="none" w:sz="0" w:space="0" w:color="auto"/>
      </w:divBdr>
    </w:div>
    <w:div w:id="1402559350">
      <w:bodyDiv w:val="1"/>
      <w:marLeft w:val="0"/>
      <w:marRight w:val="0"/>
      <w:marTop w:val="0"/>
      <w:marBottom w:val="0"/>
      <w:divBdr>
        <w:top w:val="none" w:sz="0" w:space="0" w:color="auto"/>
        <w:left w:val="none" w:sz="0" w:space="0" w:color="auto"/>
        <w:bottom w:val="none" w:sz="0" w:space="0" w:color="auto"/>
        <w:right w:val="none" w:sz="0" w:space="0" w:color="auto"/>
      </w:divBdr>
    </w:div>
    <w:div w:id="1463232430">
      <w:bodyDiv w:val="1"/>
      <w:marLeft w:val="0"/>
      <w:marRight w:val="0"/>
      <w:marTop w:val="0"/>
      <w:marBottom w:val="0"/>
      <w:divBdr>
        <w:top w:val="none" w:sz="0" w:space="0" w:color="auto"/>
        <w:left w:val="none" w:sz="0" w:space="0" w:color="auto"/>
        <w:bottom w:val="none" w:sz="0" w:space="0" w:color="auto"/>
        <w:right w:val="none" w:sz="0" w:space="0" w:color="auto"/>
      </w:divBdr>
    </w:div>
    <w:div w:id="1478716549">
      <w:bodyDiv w:val="1"/>
      <w:marLeft w:val="0"/>
      <w:marRight w:val="0"/>
      <w:marTop w:val="0"/>
      <w:marBottom w:val="0"/>
      <w:divBdr>
        <w:top w:val="none" w:sz="0" w:space="0" w:color="auto"/>
        <w:left w:val="none" w:sz="0" w:space="0" w:color="auto"/>
        <w:bottom w:val="none" w:sz="0" w:space="0" w:color="auto"/>
        <w:right w:val="none" w:sz="0" w:space="0" w:color="auto"/>
      </w:divBdr>
    </w:div>
    <w:div w:id="1749304425">
      <w:bodyDiv w:val="1"/>
      <w:marLeft w:val="0"/>
      <w:marRight w:val="0"/>
      <w:marTop w:val="0"/>
      <w:marBottom w:val="0"/>
      <w:divBdr>
        <w:top w:val="none" w:sz="0" w:space="0" w:color="auto"/>
        <w:left w:val="none" w:sz="0" w:space="0" w:color="auto"/>
        <w:bottom w:val="none" w:sz="0" w:space="0" w:color="auto"/>
        <w:right w:val="none" w:sz="0" w:space="0" w:color="auto"/>
      </w:divBdr>
    </w:div>
    <w:div w:id="1851018401">
      <w:bodyDiv w:val="1"/>
      <w:marLeft w:val="0"/>
      <w:marRight w:val="0"/>
      <w:marTop w:val="0"/>
      <w:marBottom w:val="0"/>
      <w:divBdr>
        <w:top w:val="none" w:sz="0" w:space="0" w:color="auto"/>
        <w:left w:val="none" w:sz="0" w:space="0" w:color="auto"/>
        <w:bottom w:val="none" w:sz="0" w:space="0" w:color="auto"/>
        <w:right w:val="none" w:sz="0" w:space="0" w:color="auto"/>
      </w:divBdr>
    </w:div>
    <w:div w:id="21095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_Gracey@kindermorg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483F-5058-4AC9-8BB4-317FF66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14</cp:revision>
  <cp:lastPrinted>2019-05-22T13:55:00Z</cp:lastPrinted>
  <dcterms:created xsi:type="dcterms:W3CDTF">2023-06-30T21:01:00Z</dcterms:created>
  <dcterms:modified xsi:type="dcterms:W3CDTF">2023-07-11T15:10:00Z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