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sidR="00326466">
        <w:rPr>
          <w:b/>
          <w:sz w:val="22"/>
        </w:rPr>
        <w:t>President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326466">
        <w:rPr>
          <w:b/>
          <w:sz w:val="22"/>
        </w:rPr>
        <w:t xml:space="preserve">801 Travis, </w:t>
      </w:r>
      <w:smartTag w:uri="urn:schemas-microsoft-com:office:smarttags" w:element="address">
        <w:smartTag w:uri="urn:schemas-microsoft-com:office:smarttags" w:element="Street">
          <w:r w:rsidR="00326466">
            <w:rPr>
              <w:b/>
              <w:sz w:val="22"/>
            </w:rPr>
            <w:t>Suite</w:t>
          </w:r>
        </w:smartTag>
        <w:r w:rsidR="00326466">
          <w:rPr>
            <w:b/>
            <w:sz w:val="22"/>
          </w:rPr>
          <w:t xml:space="preserve"> 1675</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22BAF" w:rsidRPr="00222BAF" w:rsidRDefault="00F75E6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w:t>
      </w:r>
      <w:r w:rsidR="00222BAF" w:rsidRPr="00222BAF">
        <w:t xml:space="preserve">  In the case of minor corrections which are discovered during the editorial review process of publication of a new version and are categorized as clarifications under (b) or (c) above</w:t>
      </w:r>
      <w:r w:rsidR="00222BAF" w:rsidRPr="00222BAF">
        <w:rPr>
          <w:vertAlign w:val="superscript"/>
        </w:rPr>
        <w:footnoteReference w:id="1"/>
      </w:r>
      <w:r w:rsidR="00222BAF" w:rsidRPr="00222BAF">
        <w:t xml:space="preserve">, the </w:t>
      </w:r>
      <w:r w:rsidR="00222BAF" w:rsidRPr="00222BAF">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222BAF" w:rsidRP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EA72B5" w:rsidRPr="00F75E6C" w:rsidRDefault="00EA72B5"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151D" w:rsidRDefault="005B1939"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0"/>
        <w:gridCol w:w="2988"/>
      </w:tblGrid>
      <w:tr w:rsidR="000E151D" w:rsidTr="000E151D">
        <w:tc>
          <w:tcPr>
            <w:tcW w:w="1710" w:type="dxa"/>
          </w:tcPr>
          <w:p w:rsidR="000E151D" w:rsidRPr="000E151D" w:rsidRDefault="000E151D" w:rsidP="000E151D">
            <w:pPr>
              <w:spacing w:before="40" w:after="20"/>
              <w:jc w:val="right"/>
              <w:rPr>
                <w:sz w:val="22"/>
                <w:szCs w:val="22"/>
              </w:rPr>
            </w:pPr>
            <w:r w:rsidRPr="000E151D">
              <w:rPr>
                <w:sz w:val="22"/>
                <w:szCs w:val="22"/>
              </w:rPr>
              <w:lastRenderedPageBreak/>
              <w:t>Date of Request:</w:t>
            </w:r>
          </w:p>
        </w:tc>
        <w:tc>
          <w:tcPr>
            <w:tcW w:w="2988" w:type="dxa"/>
          </w:tcPr>
          <w:p w:rsidR="000E151D" w:rsidRDefault="00C13957" w:rsidP="000C3F80">
            <w:pPr>
              <w:spacing w:before="40" w:after="20"/>
            </w:pPr>
            <w:r>
              <w:t>07</w:t>
            </w:r>
            <w:r w:rsidR="00267150">
              <w:t>/</w:t>
            </w:r>
            <w:r w:rsidR="000C3F80">
              <w:t>31</w:t>
            </w:r>
            <w:r w:rsidR="00267150">
              <w:t>/2017</w:t>
            </w:r>
          </w:p>
        </w:tc>
      </w:tr>
    </w:tbl>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222BAF" w:rsidRDefault="00267150" w:rsidP="00267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267150">
              <w:rPr>
                <w:sz w:val="22"/>
              </w:rPr>
              <w:t>Williams Companies, Inc</w:t>
            </w:r>
          </w:p>
        </w:tc>
      </w:tr>
      <w:tr w:rsidR="00222BAF" w:rsidTr="00222BAF">
        <w:tc>
          <w:tcPr>
            <w:tcW w:w="874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2800 Post Oak Boulevard</w:t>
            </w:r>
          </w:p>
        </w:tc>
      </w:tr>
      <w:tr w:rsidR="00222BAF" w:rsidTr="00222BAF">
        <w:tc>
          <w:tcPr>
            <w:tcW w:w="874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Houston, Texas 77056</w:t>
            </w:r>
          </w:p>
        </w:tc>
      </w:tr>
      <w:tr w:rsidR="00222BAF" w:rsidTr="00222BAF">
        <w:tc>
          <w:tcPr>
            <w:tcW w:w="874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Tr="00222BAF">
        <w:tc>
          <w:tcPr>
            <w:tcW w:w="874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360"/>
        <w:gridCol w:w="7488"/>
      </w:tblGrid>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Name: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Michael DiCarlo</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Title: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Manager – 1Line Support</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Phone: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713-215-4609</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Fax:</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713-215-4608</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E-mail:</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D003F8"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9" w:history="1">
              <w:r w:rsidR="00C13957" w:rsidRPr="005927B6">
                <w:rPr>
                  <w:rStyle w:val="Hyperlink"/>
                  <w:sz w:val="22"/>
                </w:rPr>
                <w:t>mike.dicarlo@williams.com</w:t>
              </w:r>
            </w:hyperlink>
          </w:p>
        </w:tc>
      </w:tr>
    </w:tbl>
    <w:p w:rsidR="005B1939"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DF79ED" w:rsidRDefault="00DF79ED"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WGQ Version 3.1 Standard No. 3.4.1 Transportation/Sales Invoice </w:t>
            </w:r>
            <w:r w:rsidR="00972D57">
              <w:rPr>
                <w:sz w:val="22"/>
              </w:rPr>
              <w:t xml:space="preserve">– Data Element </w:t>
            </w:r>
            <w:r>
              <w:rPr>
                <w:sz w:val="22"/>
              </w:rPr>
              <w:t>Transaction Type</w:t>
            </w:r>
          </w:p>
        </w:tc>
      </w:tr>
    </w:tbl>
    <w:p w:rsidR="00EA72B5"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58"/>
      </w:tblGrid>
      <w:tr w:rsidR="00222BAF" w:rsidTr="005C3482">
        <w:tc>
          <w:tcPr>
            <w:tcW w:w="8640" w:type="dxa"/>
          </w:tcPr>
          <w:tbl>
            <w:tblPr>
              <w:tblStyle w:val="TableGrid"/>
              <w:tblW w:w="8412" w:type="dxa"/>
              <w:tblLook w:val="04A0" w:firstRow="1" w:lastRow="0" w:firstColumn="1" w:lastColumn="0" w:noHBand="0" w:noVBand="1"/>
            </w:tblPr>
            <w:tblGrid>
              <w:gridCol w:w="2200"/>
              <w:gridCol w:w="5154"/>
              <w:gridCol w:w="1058"/>
            </w:tblGrid>
            <w:tr w:rsidR="00612BD0" w:rsidTr="004D23E6">
              <w:trPr>
                <w:trHeight w:val="193"/>
              </w:trPr>
              <w:tc>
                <w:tcPr>
                  <w:tcW w:w="8412" w:type="dxa"/>
                  <w:gridSpan w:val="3"/>
                  <w:tcBorders>
                    <w:top w:val="double" w:sz="4" w:space="0" w:color="auto"/>
                    <w:left w:val="double" w:sz="4" w:space="0" w:color="auto"/>
                    <w:right w:val="double" w:sz="4" w:space="0" w:color="auto"/>
                  </w:tcBorders>
                  <w:vAlign w:val="center"/>
                </w:tcPr>
                <w:p w:rsidR="00612BD0" w:rsidRDefault="00972D57" w:rsidP="004D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sidRPr="00972D57">
                    <w:rPr>
                      <w:rFonts w:ascii="Calibri" w:hAnsi="Calibri"/>
                      <w:b/>
                      <w:sz w:val="18"/>
                      <w:szCs w:val="18"/>
                    </w:rPr>
                    <w:t>Data Element</w:t>
                  </w:r>
                  <w:r>
                    <w:rPr>
                      <w:rFonts w:ascii="Calibri" w:hAnsi="Calibri"/>
                      <w:b/>
                      <w:sz w:val="18"/>
                      <w:szCs w:val="18"/>
                    </w:rPr>
                    <w:t xml:space="preserve">: </w:t>
                  </w:r>
                  <w:r w:rsidRPr="00972D57">
                    <w:rPr>
                      <w:rFonts w:ascii="Calibri" w:hAnsi="Calibri"/>
                      <w:b/>
                      <w:sz w:val="18"/>
                      <w:szCs w:val="18"/>
                    </w:rPr>
                    <w:t xml:space="preserve"> </w:t>
                  </w:r>
                  <w:r w:rsidR="00612BD0">
                    <w:rPr>
                      <w:rFonts w:ascii="Calibri" w:hAnsi="Calibri"/>
                      <w:b/>
                      <w:sz w:val="18"/>
                      <w:szCs w:val="18"/>
                    </w:rPr>
                    <w:t>Transaction</w:t>
                  </w:r>
                  <w:r w:rsidR="00612BD0" w:rsidRPr="00612BD0">
                    <w:rPr>
                      <w:rFonts w:ascii="Calibri" w:hAnsi="Calibri"/>
                      <w:b/>
                      <w:sz w:val="18"/>
                      <w:szCs w:val="18"/>
                    </w:rPr>
                    <w:t xml:space="preserve"> Type</w:t>
                  </w:r>
                </w:p>
              </w:tc>
            </w:tr>
            <w:tr w:rsidR="00612BD0" w:rsidRPr="00612BD0" w:rsidTr="004D23E6">
              <w:trPr>
                <w:trHeight w:val="267"/>
              </w:trPr>
              <w:tc>
                <w:tcPr>
                  <w:tcW w:w="2200" w:type="dxa"/>
                  <w:tcBorders>
                    <w:top w:val="double" w:sz="4" w:space="0" w:color="auto"/>
                    <w:left w:val="double" w:sz="4" w:space="0" w:color="auto"/>
                    <w:bottom w:val="double" w:sz="4" w:space="0" w:color="auto"/>
                  </w:tcBorders>
                </w:tcPr>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Description</w:t>
                  </w:r>
                </w:p>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Abbreviation)</w:t>
                  </w:r>
                </w:p>
              </w:tc>
              <w:tc>
                <w:tcPr>
                  <w:tcW w:w="5154" w:type="dxa"/>
                  <w:tcBorders>
                    <w:top w:val="double" w:sz="4" w:space="0" w:color="auto"/>
                    <w:bottom w:val="double" w:sz="4" w:space="0" w:color="auto"/>
                  </w:tcBorders>
                  <w:vAlign w:val="bottom"/>
                </w:tcPr>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Definition</w:t>
                  </w:r>
                </w:p>
              </w:tc>
              <w:tc>
                <w:tcPr>
                  <w:tcW w:w="1058" w:type="dxa"/>
                  <w:tcBorders>
                    <w:top w:val="double" w:sz="4" w:space="0" w:color="auto"/>
                    <w:bottom w:val="double" w:sz="4" w:space="0" w:color="auto"/>
                    <w:right w:val="double" w:sz="4" w:space="0" w:color="auto"/>
                  </w:tcBorders>
                  <w:vAlign w:val="bottom"/>
                </w:tcPr>
                <w:p w:rsidR="00612BD0" w:rsidRPr="00612BD0" w:rsidRDefault="00612BD0" w:rsidP="00AB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center"/>
                    <w:rPr>
                      <w:rFonts w:ascii="Calibri" w:hAnsi="Calibri"/>
                      <w:b/>
                      <w:sz w:val="18"/>
                      <w:szCs w:val="18"/>
                    </w:rPr>
                  </w:pPr>
                  <w:r w:rsidRPr="00612BD0">
                    <w:rPr>
                      <w:rFonts w:ascii="Calibri" w:hAnsi="Calibri"/>
                      <w:b/>
                      <w:sz w:val="18"/>
                      <w:szCs w:val="18"/>
                    </w:rPr>
                    <w:t>Code Value</w:t>
                  </w:r>
                </w:p>
              </w:tc>
            </w:tr>
            <w:tr w:rsidR="00EC5A5A" w:rsidTr="00583225">
              <w:trPr>
                <w:trHeight w:val="201"/>
              </w:trPr>
              <w:tc>
                <w:tcPr>
                  <w:tcW w:w="2200" w:type="dxa"/>
                  <w:tcBorders>
                    <w:left w:val="double" w:sz="4" w:space="0" w:color="auto"/>
                    <w:bottom w:val="double" w:sz="4" w:space="0" w:color="auto"/>
                  </w:tcBorders>
                </w:tcPr>
                <w:p w:rsidR="00DF79ED" w:rsidRDefault="00583225"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Pr>
                      <w:rFonts w:asciiTheme="minorHAnsi" w:hAnsiTheme="minorHAnsi"/>
                      <w:sz w:val="18"/>
                      <w:szCs w:val="18"/>
                    </w:rPr>
                    <w:t>Pool To Pool Balancing</w:t>
                  </w:r>
                </w:p>
                <w:p w:rsidR="005D2ADF" w:rsidRPr="00EC5A5A" w:rsidRDefault="00583225"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Pr>
                      <w:rFonts w:asciiTheme="minorHAnsi" w:hAnsiTheme="minorHAnsi"/>
                      <w:sz w:val="18"/>
                      <w:szCs w:val="18"/>
                    </w:rPr>
                    <w:t>(Pool To Pool Bal)</w:t>
                  </w:r>
                </w:p>
              </w:tc>
              <w:tc>
                <w:tcPr>
                  <w:tcW w:w="5154" w:type="dxa"/>
                  <w:tcBorders>
                    <w:bottom w:val="double" w:sz="4" w:space="0" w:color="auto"/>
                  </w:tcBorders>
                </w:tcPr>
                <w:p w:rsidR="00EC5A5A" w:rsidRPr="00EC5A5A" w:rsidRDefault="00583225"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Pr>
                      <w:rFonts w:asciiTheme="minorHAnsi" w:hAnsiTheme="minorHAnsi"/>
                      <w:sz w:val="18"/>
                      <w:szCs w:val="18"/>
                    </w:rPr>
                    <w:t>Charge associated with</w:t>
                  </w:r>
                  <w:r w:rsidR="007A6E19">
                    <w:rPr>
                      <w:rFonts w:asciiTheme="minorHAnsi" w:hAnsiTheme="minorHAnsi"/>
                      <w:sz w:val="18"/>
                      <w:szCs w:val="18"/>
                    </w:rPr>
                    <w:t xml:space="preserve"> assignment of pool tolerance</w:t>
                  </w:r>
                  <w:r>
                    <w:rPr>
                      <w:rFonts w:asciiTheme="minorHAnsi" w:hAnsiTheme="minorHAnsi"/>
                      <w:sz w:val="18"/>
                      <w:szCs w:val="18"/>
                    </w:rPr>
                    <w:t xml:space="preserve"> t</w:t>
                  </w:r>
                  <w:r w:rsidR="007A6E19">
                    <w:rPr>
                      <w:rFonts w:asciiTheme="minorHAnsi" w:hAnsiTheme="minorHAnsi"/>
                      <w:sz w:val="18"/>
                      <w:szCs w:val="18"/>
                    </w:rPr>
                    <w:t>ransactions.</w:t>
                  </w:r>
                </w:p>
              </w:tc>
              <w:tc>
                <w:tcPr>
                  <w:tcW w:w="1058" w:type="dxa"/>
                  <w:tcBorders>
                    <w:bottom w:val="double" w:sz="4" w:space="0" w:color="auto"/>
                    <w:right w:val="double" w:sz="4" w:space="0" w:color="auto"/>
                  </w:tcBorders>
                  <w:vAlign w:val="center"/>
                </w:tcPr>
                <w:p w:rsidR="00EC5A5A" w:rsidRPr="00EC5A5A" w:rsidRDefault="000C3F80" w:rsidP="00583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center"/>
                    <w:rPr>
                      <w:rFonts w:asciiTheme="minorHAnsi" w:hAnsiTheme="minorHAnsi"/>
                      <w:sz w:val="18"/>
                      <w:szCs w:val="18"/>
                    </w:rPr>
                  </w:pPr>
                  <w:r>
                    <w:rPr>
                      <w:rFonts w:asciiTheme="minorHAnsi" w:hAnsiTheme="minorHAnsi"/>
                      <w:sz w:val="18"/>
                      <w:szCs w:val="18"/>
                    </w:rPr>
                    <w:t>164</w:t>
                  </w:r>
                </w:p>
              </w:tc>
            </w:tr>
          </w:tbl>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Style w:val="TableGrid"/>
        <w:tblW w:w="0" w:type="auto"/>
        <w:tblInd w:w="828" w:type="dxa"/>
        <w:tblLook w:val="01E0" w:firstRow="1" w:lastRow="1" w:firstColumn="1" w:lastColumn="1" w:noHBand="0" w:noVBand="0"/>
      </w:tblPr>
      <w:tblGrid>
        <w:gridCol w:w="8748"/>
      </w:tblGrid>
      <w:tr w:rsidR="00222BAF" w:rsidTr="00222BAF">
        <w:tc>
          <w:tcPr>
            <w:tcW w:w="8748" w:type="dxa"/>
            <w:tcBorders>
              <w:top w:val="nil"/>
              <w:left w:val="nil"/>
              <w:bottom w:val="nil"/>
              <w:right w:val="nil"/>
            </w:tcBorders>
          </w:tcPr>
          <w:p w:rsidR="00222BAF" w:rsidRDefault="00612BD0" w:rsidP="005D2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Necessary to add clarity to TSP’s invoice for </w:t>
            </w:r>
            <w:r w:rsidR="007A6E19">
              <w:rPr>
                <w:sz w:val="22"/>
              </w:rPr>
              <w:t>pool tolerance transactions.</w:t>
            </w:r>
          </w:p>
        </w:tc>
      </w:tr>
    </w:tbl>
    <w:p w:rsidR="00222BAF" w:rsidRPr="00F75E6C" w:rsidRDefault="00222BAF" w:rsidP="004D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sectPr w:rsidR="00222BAF" w:rsidRPr="00F75E6C">
      <w:headerReference w:type="default" r:id="rId10"/>
      <w:footerReference w:type="default" r:id="rId11"/>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F8" w:rsidRDefault="00D003F8">
      <w:r>
        <w:separator/>
      </w:r>
    </w:p>
  </w:endnote>
  <w:endnote w:type="continuationSeparator" w:id="0">
    <w:p w:rsidR="00D003F8" w:rsidRDefault="00D0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1D" w:rsidRPr="000E151D" w:rsidRDefault="000E151D"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F8" w:rsidRDefault="00D003F8">
      <w:r>
        <w:separator/>
      </w:r>
    </w:p>
  </w:footnote>
  <w:footnote w:type="continuationSeparator" w:id="0">
    <w:p w:rsidR="00D003F8" w:rsidRDefault="00D003F8">
      <w:r>
        <w:continuationSeparator/>
      </w:r>
    </w:p>
  </w:footnote>
  <w:footnote w:id="1">
    <w:p w:rsidR="00222BAF" w:rsidRPr="00222BAF" w:rsidRDefault="00222BAF" w:rsidP="00222BAF">
      <w:pPr>
        <w:pStyle w:val="FootnoteText"/>
        <w:rPr>
          <w:sz w:val="18"/>
          <w:szCs w:val="18"/>
        </w:rPr>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F9" w:rsidRPr="001779F9" w:rsidRDefault="001779F9"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1779F9">
      <w:rPr>
        <w:b/>
        <w:sz w:val="36"/>
        <w:szCs w:val="36"/>
      </w:rPr>
      <w:t>MC17012</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C3F80"/>
    <w:rsid w:val="000E151D"/>
    <w:rsid w:val="00142801"/>
    <w:rsid w:val="001779F9"/>
    <w:rsid w:val="00222BAF"/>
    <w:rsid w:val="002339E1"/>
    <w:rsid w:val="00240604"/>
    <w:rsid w:val="00267150"/>
    <w:rsid w:val="00270B89"/>
    <w:rsid w:val="00272C97"/>
    <w:rsid w:val="00326466"/>
    <w:rsid w:val="003D6D4A"/>
    <w:rsid w:val="004D23E6"/>
    <w:rsid w:val="004D276C"/>
    <w:rsid w:val="00543962"/>
    <w:rsid w:val="00583225"/>
    <w:rsid w:val="005B1939"/>
    <w:rsid w:val="005C3482"/>
    <w:rsid w:val="005D2ADF"/>
    <w:rsid w:val="00607B13"/>
    <w:rsid w:val="00612BD0"/>
    <w:rsid w:val="006779D8"/>
    <w:rsid w:val="00686199"/>
    <w:rsid w:val="006C6CD4"/>
    <w:rsid w:val="007475B7"/>
    <w:rsid w:val="007A6E19"/>
    <w:rsid w:val="007E3F85"/>
    <w:rsid w:val="007F4BDD"/>
    <w:rsid w:val="00887B6C"/>
    <w:rsid w:val="00917451"/>
    <w:rsid w:val="009225A3"/>
    <w:rsid w:val="00931B8B"/>
    <w:rsid w:val="00972D57"/>
    <w:rsid w:val="009F32D7"/>
    <w:rsid w:val="00AB1081"/>
    <w:rsid w:val="00C13957"/>
    <w:rsid w:val="00D003F8"/>
    <w:rsid w:val="00D6168B"/>
    <w:rsid w:val="00D63AB0"/>
    <w:rsid w:val="00DF79ED"/>
    <w:rsid w:val="00E913B5"/>
    <w:rsid w:val="00EA72B5"/>
    <w:rsid w:val="00EC5A5A"/>
    <w:rsid w:val="00F051C4"/>
    <w:rsid w:val="00F3017A"/>
    <w:rsid w:val="00F75E6C"/>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ke.dicarlo@willi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0446-F97E-49B6-852D-F143BFCB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NAESB</cp:lastModifiedBy>
  <cp:revision>4</cp:revision>
  <cp:lastPrinted>2017-07-27T18:08:00Z</cp:lastPrinted>
  <dcterms:created xsi:type="dcterms:W3CDTF">2017-07-31T15:20:00Z</dcterms:created>
  <dcterms:modified xsi:type="dcterms:W3CDTF">2017-07-31T20:04:00Z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