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NAESB, </w:t>
      </w:r>
      <w:r w:rsidR="00326466">
        <w:rPr>
          <w:b/>
          <w:sz w:val="22"/>
        </w:rPr>
        <w:t>President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sidR="00326466">
        <w:rPr>
          <w:b/>
          <w:sz w:val="22"/>
        </w:rPr>
        <w:t xml:space="preserve">801 Travis, </w:t>
      </w:r>
      <w:smartTag w:uri="urn:schemas-microsoft-com:office:smarttags" w:element="address">
        <w:smartTag w:uri="urn:schemas-microsoft-com:office:smarttags" w:element="Street">
          <w:r w:rsidR="00326466">
            <w:rPr>
              <w:b/>
              <w:sz w:val="22"/>
            </w:rPr>
            <w:t>Suite</w:t>
          </w:r>
        </w:smartTag>
        <w:r w:rsidR="00326466">
          <w:rPr>
            <w:b/>
            <w:sz w:val="22"/>
          </w:rPr>
          <w:t xml:space="preserve"> 1675</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22BAF" w:rsidRPr="00222BAF" w:rsidRDefault="00F75E6C"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r w:rsidRPr="00222BAF">
        <w:t>.</w:t>
      </w:r>
      <w:r w:rsidR="00222BAF" w:rsidRPr="00222BAF">
        <w:t xml:space="preserve">  In the case of minor corrections which are discovered during the editorial review process of publication of a new version and are categorized as clarifications under (b) or (c) above</w:t>
      </w:r>
      <w:r w:rsidR="00222BAF" w:rsidRPr="00222BAF">
        <w:rPr>
          <w:vertAlign w:val="superscript"/>
        </w:rPr>
        <w:footnoteReference w:id="1"/>
      </w:r>
      <w:r w:rsidR="00222BAF" w:rsidRPr="00222BAF">
        <w:t xml:space="preserve">, the </w:t>
      </w:r>
      <w:r w:rsidR="00222BAF" w:rsidRPr="00222BAF">
        <w:lastRenderedPageBreak/>
        <w:t>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222BAF" w:rsidRP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EA72B5" w:rsidRPr="00F75E6C" w:rsidRDefault="00EA72B5"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151D" w:rsidRDefault="005B1939" w:rsidP="000E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F75E6C">
        <w:br w:type="page"/>
      </w:r>
    </w:p>
    <w:tbl>
      <w:tblPr>
        <w:tblStyle w:val="TableGrid"/>
        <w:tblW w:w="0" w:type="auto"/>
        <w:tblInd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0"/>
        <w:gridCol w:w="2988"/>
      </w:tblGrid>
      <w:tr w:rsidR="000E151D" w:rsidTr="000E151D">
        <w:tc>
          <w:tcPr>
            <w:tcW w:w="1710" w:type="dxa"/>
          </w:tcPr>
          <w:p w:rsidR="000E151D" w:rsidRPr="000E151D" w:rsidRDefault="000E151D" w:rsidP="000E151D">
            <w:pPr>
              <w:spacing w:before="40" w:after="20"/>
              <w:jc w:val="right"/>
              <w:rPr>
                <w:sz w:val="22"/>
                <w:szCs w:val="22"/>
              </w:rPr>
            </w:pPr>
            <w:r w:rsidRPr="000E151D">
              <w:rPr>
                <w:sz w:val="22"/>
                <w:szCs w:val="22"/>
              </w:rPr>
              <w:lastRenderedPageBreak/>
              <w:t>Date of Request:</w:t>
            </w:r>
          </w:p>
        </w:tc>
        <w:tc>
          <w:tcPr>
            <w:tcW w:w="2988" w:type="dxa"/>
          </w:tcPr>
          <w:p w:rsidR="000E151D" w:rsidRDefault="00267150" w:rsidP="0058196E">
            <w:pPr>
              <w:spacing w:before="40" w:after="20"/>
            </w:pPr>
            <w:r>
              <w:t>0</w:t>
            </w:r>
            <w:r w:rsidR="0058196E">
              <w:t>3</w:t>
            </w:r>
            <w:r>
              <w:t>/</w:t>
            </w:r>
            <w:r w:rsidR="0058196E">
              <w:t>09</w:t>
            </w:r>
            <w:r>
              <w:t>/2017</w:t>
            </w:r>
          </w:p>
        </w:tc>
      </w:tr>
    </w:tbl>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222BAF" w:rsidTr="00222BAF">
        <w:tc>
          <w:tcPr>
            <w:tcW w:w="8748" w:type="dxa"/>
          </w:tcPr>
          <w:p w:rsidR="00222BAF" w:rsidRDefault="00267150" w:rsidP="00267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sidRPr="00267150">
              <w:rPr>
                <w:sz w:val="22"/>
              </w:rPr>
              <w:t xml:space="preserve">Williams Companies, </w:t>
            </w:r>
            <w:proofErr w:type="spellStart"/>
            <w:r w:rsidRPr="00267150">
              <w:rPr>
                <w:sz w:val="22"/>
              </w:rPr>
              <w:t>Inc</w:t>
            </w:r>
            <w:proofErr w:type="spellEnd"/>
          </w:p>
        </w:tc>
      </w:tr>
      <w:tr w:rsidR="00222BAF" w:rsidTr="00222BAF">
        <w:tc>
          <w:tcPr>
            <w:tcW w:w="874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2800 Post Oak Boulevard</w:t>
            </w:r>
          </w:p>
        </w:tc>
      </w:tr>
      <w:tr w:rsidR="00222BAF" w:rsidTr="00222BAF">
        <w:tc>
          <w:tcPr>
            <w:tcW w:w="874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Houston, Texas 77056</w:t>
            </w:r>
          </w:p>
        </w:tc>
      </w:tr>
      <w:tr w:rsidR="00222BAF" w:rsidTr="00222BAF">
        <w:tc>
          <w:tcPr>
            <w:tcW w:w="8748"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Tr="00222BAF">
        <w:tc>
          <w:tcPr>
            <w:tcW w:w="8748"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EA72B5" w:rsidRDefault="00EA72B5" w:rsidP="00222BAF">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Contact Person, Phone #, Fax #, Electronic Mailing Address: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
        <w:gridCol w:w="360"/>
        <w:gridCol w:w="7488"/>
      </w:tblGrid>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Name: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Michael DiCarlo</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Title: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Manager – 1Line Support</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Phone:</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713-215-4609</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Fax:</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713-215-4608</w:t>
            </w:r>
          </w:p>
        </w:tc>
      </w:tr>
      <w:tr w:rsidR="00222BAF" w:rsidTr="000E151D">
        <w:tc>
          <w:tcPr>
            <w:tcW w:w="90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E-mail:</w:t>
            </w:r>
          </w:p>
        </w:tc>
        <w:tc>
          <w:tcPr>
            <w:tcW w:w="360" w:type="dxa"/>
          </w:tcPr>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c>
          <w:tcPr>
            <w:tcW w:w="7488" w:type="dxa"/>
          </w:tcPr>
          <w:p w:rsidR="00222BAF" w:rsidRDefault="0026715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mike.dicarlo@williams.com</w:t>
            </w:r>
          </w:p>
        </w:tc>
      </w:tr>
    </w:tbl>
    <w:p w:rsidR="005B1939" w:rsidRPr="00F75E6C"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3.  Version and Standard Number(s) suggested for correction or clarification: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222BAF" w:rsidTr="00222BAF">
        <w:tc>
          <w:tcPr>
            <w:tcW w:w="8748" w:type="dxa"/>
          </w:tcPr>
          <w:p w:rsidR="00DF79ED" w:rsidRDefault="00DF79ED"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 xml:space="preserve">WGQ Version 3.1 Standard No. 3.4.1 Transportation/Sales Invoice </w:t>
            </w:r>
            <w:r w:rsidR="00972D57">
              <w:rPr>
                <w:sz w:val="22"/>
              </w:rPr>
              <w:t xml:space="preserve">– Data Element </w:t>
            </w:r>
            <w:r>
              <w:rPr>
                <w:sz w:val="22"/>
              </w:rPr>
              <w:t>Transaction Type</w:t>
            </w:r>
          </w:p>
        </w:tc>
      </w:tr>
    </w:tbl>
    <w:p w:rsidR="00EA72B5"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4.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58196E" w:rsidRDefault="0058196E"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tab/>
        <w:t>Add 1 code value (Lease) for the data element Transaction Type in the Transportation/Sales Invoice – NAESB WGQ Standard No. 3.4.1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58"/>
      </w:tblGrid>
      <w:tr w:rsidR="00222BAF" w:rsidTr="005C3482">
        <w:tc>
          <w:tcPr>
            <w:tcW w:w="8640" w:type="dxa"/>
          </w:tcPr>
          <w:tbl>
            <w:tblPr>
              <w:tblStyle w:val="TableGrid"/>
              <w:tblW w:w="8412" w:type="dxa"/>
              <w:tblLook w:val="04A0" w:firstRow="1" w:lastRow="0" w:firstColumn="1" w:lastColumn="0" w:noHBand="0" w:noVBand="1"/>
            </w:tblPr>
            <w:tblGrid>
              <w:gridCol w:w="2200"/>
              <w:gridCol w:w="5154"/>
              <w:gridCol w:w="1058"/>
            </w:tblGrid>
            <w:tr w:rsidR="00612BD0" w:rsidTr="004D23E6">
              <w:trPr>
                <w:trHeight w:val="193"/>
              </w:trPr>
              <w:tc>
                <w:tcPr>
                  <w:tcW w:w="8412" w:type="dxa"/>
                  <w:gridSpan w:val="3"/>
                  <w:tcBorders>
                    <w:top w:val="double" w:sz="4" w:space="0" w:color="auto"/>
                    <w:left w:val="double" w:sz="4" w:space="0" w:color="auto"/>
                    <w:right w:val="double" w:sz="4" w:space="0" w:color="auto"/>
                  </w:tcBorders>
                  <w:vAlign w:val="center"/>
                </w:tcPr>
                <w:p w:rsidR="00612BD0" w:rsidRDefault="00972D57" w:rsidP="004D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Theme="minorHAnsi" w:hAnsiTheme="minorHAnsi"/>
                      <w:sz w:val="18"/>
                      <w:szCs w:val="18"/>
                    </w:rPr>
                  </w:pPr>
                  <w:r w:rsidRPr="00972D57">
                    <w:rPr>
                      <w:rFonts w:ascii="Calibri" w:hAnsi="Calibri"/>
                      <w:b/>
                      <w:sz w:val="18"/>
                      <w:szCs w:val="18"/>
                    </w:rPr>
                    <w:t>Data Element</w:t>
                  </w:r>
                  <w:r>
                    <w:rPr>
                      <w:rFonts w:ascii="Calibri" w:hAnsi="Calibri"/>
                      <w:b/>
                      <w:sz w:val="18"/>
                      <w:szCs w:val="18"/>
                    </w:rPr>
                    <w:t xml:space="preserve">: </w:t>
                  </w:r>
                  <w:r w:rsidRPr="00972D57">
                    <w:rPr>
                      <w:rFonts w:ascii="Calibri" w:hAnsi="Calibri"/>
                      <w:b/>
                      <w:sz w:val="18"/>
                      <w:szCs w:val="18"/>
                    </w:rPr>
                    <w:t xml:space="preserve"> </w:t>
                  </w:r>
                  <w:r w:rsidR="00612BD0">
                    <w:rPr>
                      <w:rFonts w:ascii="Calibri" w:hAnsi="Calibri"/>
                      <w:b/>
                      <w:sz w:val="18"/>
                      <w:szCs w:val="18"/>
                    </w:rPr>
                    <w:t>Transaction</w:t>
                  </w:r>
                  <w:r w:rsidR="00612BD0" w:rsidRPr="00612BD0">
                    <w:rPr>
                      <w:rFonts w:ascii="Calibri" w:hAnsi="Calibri"/>
                      <w:b/>
                      <w:sz w:val="18"/>
                      <w:szCs w:val="18"/>
                    </w:rPr>
                    <w:t xml:space="preserve"> Type</w:t>
                  </w:r>
                </w:p>
              </w:tc>
            </w:tr>
            <w:tr w:rsidR="00612BD0" w:rsidRPr="00612BD0" w:rsidTr="004D23E6">
              <w:trPr>
                <w:trHeight w:val="267"/>
              </w:trPr>
              <w:tc>
                <w:tcPr>
                  <w:tcW w:w="2200" w:type="dxa"/>
                  <w:tcBorders>
                    <w:top w:val="double" w:sz="4" w:space="0" w:color="auto"/>
                    <w:left w:val="double" w:sz="4" w:space="0" w:color="auto"/>
                    <w:bottom w:val="double" w:sz="4" w:space="0" w:color="auto"/>
                  </w:tcBorders>
                </w:tcPr>
                <w:p w:rsidR="00612BD0" w:rsidRPr="00612BD0" w:rsidRDefault="00612BD0" w:rsidP="00803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Calibri" w:hAnsi="Calibri"/>
                      <w:b/>
                      <w:sz w:val="18"/>
                      <w:szCs w:val="18"/>
                    </w:rPr>
                  </w:pPr>
                  <w:r w:rsidRPr="00612BD0">
                    <w:rPr>
                      <w:rFonts w:ascii="Calibri" w:hAnsi="Calibri"/>
                      <w:b/>
                      <w:sz w:val="18"/>
                      <w:szCs w:val="18"/>
                    </w:rPr>
                    <w:t>Code Value Description</w:t>
                  </w:r>
                </w:p>
                <w:p w:rsidR="00612BD0" w:rsidRPr="00612BD0" w:rsidRDefault="00612BD0" w:rsidP="00803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Calibri" w:hAnsi="Calibri"/>
                      <w:b/>
                      <w:sz w:val="18"/>
                      <w:szCs w:val="18"/>
                    </w:rPr>
                  </w:pPr>
                  <w:r w:rsidRPr="00612BD0">
                    <w:rPr>
                      <w:rFonts w:ascii="Calibri" w:hAnsi="Calibri"/>
                      <w:b/>
                      <w:sz w:val="18"/>
                      <w:szCs w:val="18"/>
                    </w:rPr>
                    <w:t>(Code Value Abbreviation)</w:t>
                  </w:r>
                </w:p>
              </w:tc>
              <w:tc>
                <w:tcPr>
                  <w:tcW w:w="5154" w:type="dxa"/>
                  <w:tcBorders>
                    <w:top w:val="double" w:sz="4" w:space="0" w:color="auto"/>
                    <w:bottom w:val="double" w:sz="4" w:space="0" w:color="auto"/>
                  </w:tcBorders>
                  <w:vAlign w:val="bottom"/>
                </w:tcPr>
                <w:p w:rsidR="00612BD0" w:rsidRPr="00612BD0" w:rsidRDefault="00612BD0" w:rsidP="00803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Calibri" w:hAnsi="Calibri"/>
                      <w:b/>
                      <w:sz w:val="18"/>
                      <w:szCs w:val="18"/>
                    </w:rPr>
                  </w:pPr>
                  <w:r w:rsidRPr="00612BD0">
                    <w:rPr>
                      <w:rFonts w:ascii="Calibri" w:hAnsi="Calibri"/>
                      <w:b/>
                      <w:sz w:val="18"/>
                      <w:szCs w:val="18"/>
                    </w:rPr>
                    <w:t>Code Value Definition</w:t>
                  </w:r>
                </w:p>
              </w:tc>
              <w:tc>
                <w:tcPr>
                  <w:tcW w:w="1058" w:type="dxa"/>
                  <w:tcBorders>
                    <w:top w:val="double" w:sz="4" w:space="0" w:color="auto"/>
                    <w:bottom w:val="double" w:sz="4" w:space="0" w:color="auto"/>
                    <w:right w:val="double" w:sz="4" w:space="0" w:color="auto"/>
                  </w:tcBorders>
                  <w:vAlign w:val="bottom"/>
                </w:tcPr>
                <w:p w:rsidR="00612BD0" w:rsidRPr="00612BD0" w:rsidRDefault="00612BD0" w:rsidP="00AB1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jc w:val="center"/>
                    <w:rPr>
                      <w:rFonts w:ascii="Calibri" w:hAnsi="Calibri"/>
                      <w:b/>
                      <w:sz w:val="18"/>
                      <w:szCs w:val="18"/>
                    </w:rPr>
                  </w:pPr>
                  <w:r w:rsidRPr="00612BD0">
                    <w:rPr>
                      <w:rFonts w:ascii="Calibri" w:hAnsi="Calibri"/>
                      <w:b/>
                      <w:sz w:val="18"/>
                      <w:szCs w:val="18"/>
                    </w:rPr>
                    <w:t>Code Value</w:t>
                  </w:r>
                </w:p>
              </w:tc>
            </w:tr>
            <w:tr w:rsidR="00EC5A5A" w:rsidTr="004D23E6">
              <w:trPr>
                <w:trHeight w:val="201"/>
              </w:trPr>
              <w:tc>
                <w:tcPr>
                  <w:tcW w:w="2200" w:type="dxa"/>
                  <w:tcBorders>
                    <w:left w:val="double" w:sz="4" w:space="0" w:color="auto"/>
                    <w:bottom w:val="double" w:sz="4" w:space="0" w:color="auto"/>
                  </w:tcBorders>
                </w:tcPr>
                <w:p w:rsidR="00EC5A5A" w:rsidRDefault="00DF79ED" w:rsidP="00DF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Theme="minorHAnsi" w:hAnsiTheme="minorHAnsi"/>
                      <w:sz w:val="18"/>
                      <w:szCs w:val="18"/>
                    </w:rPr>
                  </w:pPr>
                  <w:r>
                    <w:rPr>
                      <w:rFonts w:asciiTheme="minorHAnsi" w:hAnsiTheme="minorHAnsi"/>
                      <w:sz w:val="18"/>
                      <w:szCs w:val="18"/>
                    </w:rPr>
                    <w:t>Lease</w:t>
                  </w:r>
                </w:p>
                <w:p w:rsidR="00DF79ED" w:rsidRPr="00EC5A5A" w:rsidRDefault="00DF79ED" w:rsidP="00DF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Theme="minorHAnsi" w:hAnsiTheme="minorHAnsi"/>
                      <w:sz w:val="18"/>
                      <w:szCs w:val="18"/>
                    </w:rPr>
                  </w:pPr>
                  <w:r>
                    <w:rPr>
                      <w:rFonts w:asciiTheme="minorHAnsi" w:hAnsiTheme="minorHAnsi"/>
                      <w:sz w:val="18"/>
                      <w:szCs w:val="18"/>
                    </w:rPr>
                    <w:t>(Lease)</w:t>
                  </w:r>
                </w:p>
              </w:tc>
              <w:tc>
                <w:tcPr>
                  <w:tcW w:w="5154" w:type="dxa"/>
                  <w:tcBorders>
                    <w:bottom w:val="double" w:sz="4" w:space="0" w:color="auto"/>
                  </w:tcBorders>
                </w:tcPr>
                <w:p w:rsidR="00EC5A5A" w:rsidRPr="00EC5A5A" w:rsidRDefault="00612BD0" w:rsidP="00DF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rFonts w:asciiTheme="minorHAnsi" w:hAnsiTheme="minorHAnsi"/>
                      <w:sz w:val="18"/>
                      <w:szCs w:val="18"/>
                    </w:rPr>
                  </w:pPr>
                  <w:r w:rsidRPr="00612BD0">
                    <w:rPr>
                      <w:rFonts w:ascii="Calibri" w:hAnsi="Calibri"/>
                      <w:sz w:val="18"/>
                      <w:szCs w:val="18"/>
                    </w:rPr>
                    <w:t>Charges associated with capacity that is leased from the Transportation Service Provider.</w:t>
                  </w:r>
                </w:p>
              </w:tc>
              <w:tc>
                <w:tcPr>
                  <w:tcW w:w="1058" w:type="dxa"/>
                  <w:tcBorders>
                    <w:bottom w:val="double" w:sz="4" w:space="0" w:color="auto"/>
                    <w:right w:val="double" w:sz="4" w:space="0" w:color="auto"/>
                  </w:tcBorders>
                </w:tcPr>
                <w:p w:rsidR="00EC5A5A" w:rsidRPr="00EC5A5A" w:rsidRDefault="00AB1081" w:rsidP="00DF7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jc w:val="center"/>
                    <w:rPr>
                      <w:rFonts w:asciiTheme="minorHAnsi" w:hAnsiTheme="minorHAnsi"/>
                      <w:sz w:val="18"/>
                      <w:szCs w:val="18"/>
                    </w:rPr>
                  </w:pPr>
                  <w:r>
                    <w:rPr>
                      <w:rFonts w:asciiTheme="minorHAnsi" w:hAnsiTheme="minorHAnsi"/>
                      <w:sz w:val="18"/>
                      <w:szCs w:val="18"/>
                    </w:rPr>
                    <w:t>162</w:t>
                  </w:r>
                </w:p>
              </w:tc>
            </w:tr>
          </w:tbl>
          <w:p w:rsid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F051C4" w:rsidRDefault="00F051C4" w:rsidP="00222BAF">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Reason for of Minor Correction/Clarification:</w:t>
      </w:r>
    </w:p>
    <w:tbl>
      <w:tblPr>
        <w:tblStyle w:val="TableGrid"/>
        <w:tblW w:w="0" w:type="auto"/>
        <w:tblInd w:w="828" w:type="dxa"/>
        <w:tblLook w:val="01E0" w:firstRow="1" w:lastRow="1" w:firstColumn="1" w:lastColumn="1" w:noHBand="0" w:noVBand="0"/>
      </w:tblPr>
      <w:tblGrid>
        <w:gridCol w:w="8748"/>
      </w:tblGrid>
      <w:tr w:rsidR="00222BAF" w:rsidTr="00222BAF">
        <w:tc>
          <w:tcPr>
            <w:tcW w:w="8748" w:type="dxa"/>
            <w:tcBorders>
              <w:top w:val="nil"/>
              <w:left w:val="nil"/>
              <w:bottom w:val="nil"/>
              <w:right w:val="nil"/>
            </w:tcBorders>
          </w:tcPr>
          <w:p w:rsidR="00222BAF" w:rsidRDefault="00612BD0"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Necessary to add clarity to TSP’s invoice for capacity that is leased to another party.</w:t>
            </w:r>
          </w:p>
        </w:tc>
      </w:tr>
    </w:tbl>
    <w:p w:rsidR="00222BAF" w:rsidRPr="00F75E6C" w:rsidRDefault="00222BAF" w:rsidP="004D2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p>
    <w:sectPr w:rsidR="00222BAF" w:rsidRPr="00F75E6C">
      <w:headerReference w:type="default" r:id="rId9"/>
      <w:footerReference w:type="default" r:id="rId10"/>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88" w:rsidRDefault="00052888">
      <w:r>
        <w:separator/>
      </w:r>
    </w:p>
  </w:endnote>
  <w:endnote w:type="continuationSeparator" w:id="0">
    <w:p w:rsidR="00052888" w:rsidRDefault="0005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1D" w:rsidRPr="000E151D" w:rsidRDefault="000E151D" w:rsidP="000E151D">
    <w:pPr>
      <w:pStyle w:val="Footer"/>
      <w:jc w:val="right"/>
      <w:rPr>
        <w:i/>
        <w:sz w:val="18"/>
        <w:szCs w:val="18"/>
      </w:rPr>
    </w:pPr>
    <w:r w:rsidRPr="000E151D">
      <w:rPr>
        <w:i/>
        <w:sz w:val="18"/>
        <w:szCs w:val="18"/>
      </w:rPr>
      <w:t>Revised April 3,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88" w:rsidRDefault="00052888">
      <w:r>
        <w:separator/>
      </w:r>
    </w:p>
  </w:footnote>
  <w:footnote w:type="continuationSeparator" w:id="0">
    <w:p w:rsidR="00052888" w:rsidRDefault="00052888">
      <w:r>
        <w:continuationSeparator/>
      </w:r>
    </w:p>
  </w:footnote>
  <w:footnote w:id="1">
    <w:p w:rsidR="00222BAF" w:rsidRPr="00222BAF" w:rsidRDefault="00222BAF" w:rsidP="00222BAF">
      <w:pPr>
        <w:pStyle w:val="FootnoteText"/>
        <w:rPr>
          <w:sz w:val="18"/>
          <w:szCs w:val="18"/>
        </w:rPr>
      </w:pPr>
      <w:r w:rsidRPr="00222BAF">
        <w:rPr>
          <w:rStyle w:val="FootnoteReference"/>
          <w:sz w:val="18"/>
          <w:szCs w:val="18"/>
          <w:vertAlign w:val="superscript"/>
        </w:rPr>
        <w:footnoteRef/>
      </w:r>
      <w:r w:rsidRPr="00222BAF">
        <w:rPr>
          <w:rStyle w:val="FootnoteReference"/>
          <w:sz w:val="18"/>
          <w:szCs w:val="18"/>
        </w:rPr>
        <w:t xml:space="preserve"> </w:t>
      </w:r>
      <w:r w:rsidRPr="00222BAF">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24" w:rsidRPr="00FB3824" w:rsidRDefault="00FB3824"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rPr>
    </w:pPr>
    <w:r w:rsidRPr="00FB3824">
      <w:rPr>
        <w:b/>
        <w:sz w:val="36"/>
      </w:rPr>
      <w:t>MC17003</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607B13" w:rsidRPr="00F75E6C" w:rsidRDefault="00607B13"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86FE7"/>
    <w:multiLevelType w:val="hybridMultilevel"/>
    <w:tmpl w:val="78A6F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52888"/>
    <w:rsid w:val="000E151D"/>
    <w:rsid w:val="00115DA0"/>
    <w:rsid w:val="00142801"/>
    <w:rsid w:val="00222BAF"/>
    <w:rsid w:val="002339E1"/>
    <w:rsid w:val="00240604"/>
    <w:rsid w:val="00267150"/>
    <w:rsid w:val="00270B89"/>
    <w:rsid w:val="00272C97"/>
    <w:rsid w:val="00326466"/>
    <w:rsid w:val="003D6D4A"/>
    <w:rsid w:val="004D23E6"/>
    <w:rsid w:val="004D276C"/>
    <w:rsid w:val="00543962"/>
    <w:rsid w:val="0058196E"/>
    <w:rsid w:val="005B1939"/>
    <w:rsid w:val="005C3482"/>
    <w:rsid w:val="00607B13"/>
    <w:rsid w:val="00612BD0"/>
    <w:rsid w:val="006779D8"/>
    <w:rsid w:val="006C6CD4"/>
    <w:rsid w:val="007475B7"/>
    <w:rsid w:val="007E3F85"/>
    <w:rsid w:val="00887B6C"/>
    <w:rsid w:val="00917451"/>
    <w:rsid w:val="00931B8B"/>
    <w:rsid w:val="00972D57"/>
    <w:rsid w:val="009F32D7"/>
    <w:rsid w:val="00AB1081"/>
    <w:rsid w:val="00D6168B"/>
    <w:rsid w:val="00D63AB0"/>
    <w:rsid w:val="00DF79ED"/>
    <w:rsid w:val="00E913B5"/>
    <w:rsid w:val="00EA72B5"/>
    <w:rsid w:val="00EC5A5A"/>
    <w:rsid w:val="00F051C4"/>
    <w:rsid w:val="00F211DF"/>
    <w:rsid w:val="00F3017A"/>
    <w:rsid w:val="00F75E6C"/>
    <w:rsid w:val="00FB11FE"/>
    <w:rsid w:val="00FB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basedOn w:val="DefaultParagraphFont"/>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D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basedOn w:val="DefaultParagraphFont"/>
    <w:semiHidden/>
    <w:rsid w:val="00222BAF"/>
    <w:rPr>
      <w:rFonts w:cs="Times New Roman"/>
    </w:rPr>
  </w:style>
  <w:style w:type="table" w:styleId="TableGrid">
    <w:name w:val="Table Grid"/>
    <w:basedOn w:val="TableNormal"/>
    <w:rsid w:val="0022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BFCC-71D5-4258-9C2C-FD6C4DE0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NAESB</cp:lastModifiedBy>
  <cp:revision>4</cp:revision>
  <cp:lastPrinted>2003-08-14T21:23:00Z</cp:lastPrinted>
  <dcterms:created xsi:type="dcterms:W3CDTF">2017-03-09T16:03:00Z</dcterms:created>
  <dcterms:modified xsi:type="dcterms:W3CDTF">2017-03-09T17:24:00Z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