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by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May 11,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r>
        <w:rPr>
          <w:sz w:val="22"/>
          <w:u w:val="single"/>
        </w:rPr>
        <w:t>Micki  Schmitz</w:t>
      </w:r>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Phone :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autoSpaceDE w:val="0"/>
        <w:autoSpaceDN w:val="0"/>
        <w:adjustRightInd w:val="0"/>
        <w:ind w:left="720"/>
        <w:rPr>
          <w:rFonts w:ascii="Arial" w:hAnsi="Arial" w:cs="Arial"/>
          <w:b/>
          <w:bCs/>
          <w:sz w:val="22"/>
          <w:szCs w:val="23"/>
        </w:rPr>
      </w:pPr>
      <w:r>
        <w:rPr>
          <w:rFonts w:ascii="Arial" w:hAnsi="Arial" w:cs="Arial"/>
          <w:sz w:val="22"/>
          <w:szCs w:val="22"/>
        </w:rPr>
        <w:t xml:space="preserve">This request proposes the addition of 4 code values for the data element “Charge Type” in the </w:t>
      </w:r>
      <w:r>
        <w:rPr>
          <w:rFonts w:ascii="Arial" w:hAnsi="Arial" w:cs="Arial"/>
          <w:b/>
          <w:bCs/>
          <w:sz w:val="22"/>
          <w:szCs w:val="23"/>
        </w:rPr>
        <w:t xml:space="preserve">NAESB WGQ Standard 3.4.1 – Transportation / Sales Invoice </w:t>
      </w:r>
      <w:r>
        <w:rPr>
          <w:rFonts w:ascii="Arial" w:hAnsi="Arial" w:cs="Arial"/>
          <w:sz w:val="22"/>
          <w:szCs w:val="22"/>
        </w:rPr>
        <w:t xml:space="preserve">of the NAESB WGQ Version 2.0 release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autoSpaceDE w:val="0"/>
        <w:autoSpaceDN w:val="0"/>
        <w:adjustRightInd w:val="0"/>
        <w:ind w:left="720"/>
        <w:rPr>
          <w:rFonts w:ascii="Arial" w:hAnsi="Arial" w:cs="Arial"/>
          <w:b/>
          <w:bCs/>
          <w:sz w:val="22"/>
          <w:szCs w:val="23"/>
        </w:rPr>
      </w:pPr>
      <w:bookmarkStart w:id="1" w:name="OLE_LINK3"/>
      <w:bookmarkStart w:id="2" w:name="OLE_LINK4"/>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3.4.1 – Transportation / Sales Invoice</w:t>
      </w:r>
    </w:p>
    <w:p>
      <w:pPr>
        <w:autoSpaceDE w:val="0"/>
        <w:autoSpaceDN w:val="0"/>
        <w:adjustRightInd w:val="0"/>
        <w:ind w:left="720"/>
        <w:rPr>
          <w:rFonts w:ascii="Arial" w:hAnsi="Arial" w:cs="Arial"/>
          <w:b/>
          <w:bCs/>
          <w:sz w:val="22"/>
          <w:szCs w:val="23"/>
        </w:rPr>
      </w:pP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Charge Type</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 xml:space="preserve">Flow Obligation – </w:t>
            </w:r>
            <w:proofErr w:type="spellStart"/>
            <w:r>
              <w:rPr>
                <w:u w:val="single"/>
              </w:rPr>
              <w:t>NonPerformance</w:t>
            </w:r>
            <w:proofErr w:type="spellEnd"/>
          </w:p>
        </w:tc>
        <w:tc>
          <w:tcPr>
            <w:tcW w:w="4320" w:type="dxa"/>
          </w:tcPr>
          <w:p>
            <w:pPr>
              <w:rPr>
                <w:u w:val="single"/>
              </w:rPr>
            </w:pPr>
            <w:r>
              <w:rPr>
                <w:u w:val="single"/>
              </w:rPr>
              <w:t xml:space="preserve">A charge for failure to meet flow obligation </w:t>
            </w:r>
          </w:p>
        </w:tc>
        <w:tc>
          <w:tcPr>
            <w:tcW w:w="1620" w:type="dxa"/>
          </w:tcPr>
          <w:p>
            <w:pPr>
              <w:rPr>
                <w:u w:val="single"/>
              </w:rPr>
            </w:pPr>
            <w:r>
              <w:rPr>
                <w:u w:val="single"/>
              </w:rPr>
              <w:t>CPR</w:t>
            </w:r>
          </w:p>
        </w:tc>
      </w:tr>
      <w:tr>
        <w:tc>
          <w:tcPr>
            <w:tcW w:w="3168" w:type="dxa"/>
          </w:tcPr>
          <w:p>
            <w:pPr>
              <w:rPr>
                <w:u w:val="single"/>
              </w:rPr>
            </w:pPr>
            <w:r>
              <w:rPr>
                <w:u w:val="single"/>
              </w:rPr>
              <w:t>Flow Obligation Refund/Payout</w:t>
            </w:r>
          </w:p>
        </w:tc>
        <w:tc>
          <w:tcPr>
            <w:tcW w:w="4320" w:type="dxa"/>
          </w:tcPr>
          <w:p>
            <w:pPr>
              <w:rPr>
                <w:u w:val="single"/>
              </w:rPr>
            </w:pPr>
            <w:r>
              <w:rPr>
                <w:u w:val="single"/>
              </w:rPr>
              <w:t>A disbursement of funds to the parties who did meet their flow obligation.</w:t>
            </w:r>
          </w:p>
        </w:tc>
        <w:tc>
          <w:tcPr>
            <w:tcW w:w="1620" w:type="dxa"/>
          </w:tcPr>
          <w:p>
            <w:pPr>
              <w:rPr>
                <w:u w:val="single"/>
              </w:rPr>
            </w:pPr>
            <w:r>
              <w:rPr>
                <w:u w:val="single"/>
              </w:rPr>
              <w:t>CRP</w:t>
            </w:r>
          </w:p>
        </w:tc>
      </w:tr>
      <w:tr>
        <w:tc>
          <w:tcPr>
            <w:tcW w:w="3168" w:type="dxa"/>
          </w:tcPr>
          <w:p>
            <w:pPr>
              <w:rPr>
                <w:u w:val="single"/>
              </w:rPr>
            </w:pPr>
            <w:r>
              <w:rPr>
                <w:u w:val="single"/>
              </w:rPr>
              <w:t>Flow Obligation Buyout</w:t>
            </w:r>
          </w:p>
        </w:tc>
        <w:tc>
          <w:tcPr>
            <w:tcW w:w="4320" w:type="dxa"/>
          </w:tcPr>
          <w:p>
            <w:pPr>
              <w:rPr>
                <w:u w:val="single"/>
              </w:rPr>
            </w:pPr>
            <w:r>
              <w:rPr>
                <w:u w:val="single"/>
              </w:rPr>
              <w:t xml:space="preserve">A charge associated to a customer’s option to pay a lump sum rather than deliver gas to fulfill their flow obligation. </w:t>
            </w:r>
          </w:p>
        </w:tc>
        <w:tc>
          <w:tcPr>
            <w:tcW w:w="1620" w:type="dxa"/>
          </w:tcPr>
          <w:p>
            <w:pPr>
              <w:rPr>
                <w:u w:val="single"/>
              </w:rPr>
            </w:pPr>
            <w:r>
              <w:rPr>
                <w:u w:val="single"/>
              </w:rPr>
              <w:t>CBR</w:t>
            </w:r>
          </w:p>
        </w:tc>
      </w:tr>
      <w:tr>
        <w:tc>
          <w:tcPr>
            <w:tcW w:w="3168" w:type="dxa"/>
          </w:tcPr>
          <w:p>
            <w:pPr>
              <w:rPr>
                <w:u w:val="single"/>
              </w:rPr>
            </w:pPr>
            <w:r>
              <w:rPr>
                <w:u w:val="single"/>
              </w:rPr>
              <w:t>Reservation – Extra Receipt Capacity</w:t>
            </w:r>
          </w:p>
        </w:tc>
        <w:tc>
          <w:tcPr>
            <w:tcW w:w="4320" w:type="dxa"/>
          </w:tcPr>
          <w:p>
            <w:pPr>
              <w:rPr>
                <w:u w:val="single"/>
              </w:rPr>
            </w:pPr>
            <w:r>
              <w:rPr>
                <w:u w:val="single"/>
              </w:rPr>
              <w:t>A charge associated with a shipper’s contracted receipt point capacity which exceeds contract MDQ.</w:t>
            </w:r>
          </w:p>
        </w:tc>
        <w:tc>
          <w:tcPr>
            <w:tcW w:w="1620" w:type="dxa"/>
          </w:tcPr>
          <w:p>
            <w:pPr>
              <w:rPr>
                <w:u w:val="single"/>
              </w:rPr>
            </w:pPr>
            <w:r>
              <w:rPr>
                <w:u w:val="single"/>
              </w:rPr>
              <w:t>RER</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pStyle w:val="Heading1"/>
      </w:pPr>
    </w:p>
    <w:p>
      <w:pPr>
        <w:autoSpaceDE w:val="0"/>
        <w:autoSpaceDN w:val="0"/>
        <w:adjustRightInd w:val="0"/>
        <w:ind w:left="720"/>
        <w:rPr>
          <w:rFonts w:ascii="Arial" w:hAnsi="Arial" w:cs="Arial"/>
          <w:b/>
          <w:bCs/>
          <w:sz w:val="22"/>
          <w:szCs w:val="23"/>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720"/>
        <w:rPr>
          <w:rFonts w:ascii="Arial" w:hAnsi="Arial" w:cs="Arial"/>
        </w:rPr>
      </w:pPr>
      <w:bookmarkStart w:id="3" w:name="OLE_LINK1"/>
      <w:bookmarkStart w:id="4" w:name="OLE_LINK2"/>
      <w:r>
        <w:rPr>
          <w:rFonts w:ascii="Arial" w:hAnsi="Arial" w:cs="Arial"/>
        </w:rPr>
        <w:t xml:space="preserve">To add clarification to specific charges of an invoice line item. </w:t>
      </w:r>
    </w:p>
    <w:bookmarkEnd w:id="3"/>
    <w:bookmarkEnd w:id="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MC12018</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6317</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8</cp:revision>
  <cp:lastPrinted>2003-08-14T20:23:00Z</cp:lastPrinted>
  <dcterms:created xsi:type="dcterms:W3CDTF">2012-05-21T20:08:00Z</dcterms:created>
  <dcterms:modified xsi:type="dcterms:W3CDTF">2012-06-16T20:57:00Z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