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bookmarkStart w:id="0" w:name="_GoBack"/>
      <w:bookmarkEnd w:id="0"/>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Instructions: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Pr>
          <w:b/>
          <w:sz w:val="22"/>
        </w:rPr>
        <w:tab/>
        <w:t>1.</w:t>
      </w:r>
      <w:r>
        <w:rPr>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Pr>
          <w:b/>
          <w:sz w:val="22"/>
        </w:rPr>
        <w:tab/>
        <w:t>2.</w:t>
      </w:r>
      <w:r>
        <w:rPr>
          <w:b/>
          <w:sz w:val="22"/>
        </w:rPr>
        <w:tab/>
        <w:t>Attach any information you believe is related to the request.  The more complete your request is</w:t>
      </w:r>
      <w:proofErr w:type="gramStart"/>
      <w:r>
        <w:rPr>
          <w:b/>
          <w:sz w:val="22"/>
        </w:rPr>
        <w:t>,</w:t>
      </w:r>
      <w:proofErr w:type="gramEnd"/>
      <w:r>
        <w:rPr>
          <w:b/>
          <w:sz w:val="22"/>
        </w:rPr>
        <w:t xml:space="preserve"> the less time is required to review it.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t>3.</w:t>
      </w:r>
      <w:r>
        <w:rPr>
          <w:b/>
          <w:sz w:val="22"/>
        </w:rPr>
        <w:tab/>
        <w:t>Once completed, send your request to:</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Rae McQuade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NAESB, Executive Director</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 xml:space="preserve">1301 </w:t>
      </w:r>
      <w:proofErr w:type="spellStart"/>
      <w:r>
        <w:rPr>
          <w:b/>
          <w:sz w:val="22"/>
        </w:rPr>
        <w:t>Fannin</w:t>
      </w:r>
      <w:proofErr w:type="spellEnd"/>
      <w:r>
        <w:rPr>
          <w:b/>
          <w:sz w:val="22"/>
        </w:rPr>
        <w:t xml:space="preserve">, </w:t>
      </w:r>
      <w:smartTag w:uri="urn:schemas-microsoft-com:office:smarttags" w:element="address">
        <w:smartTag w:uri="urn:schemas-microsoft-com:office:smarttags" w:element="Street">
          <w:r>
            <w:rPr>
              <w:b/>
              <w:sz w:val="22"/>
            </w:rPr>
            <w:t>Suite</w:t>
          </w:r>
        </w:smartTag>
        <w:r>
          <w:rPr>
            <w:b/>
            <w:sz w:val="22"/>
          </w:rPr>
          <w:t xml:space="preserve"> 2350</w:t>
        </w:r>
      </w:smartTag>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r>
      <w:smartTag w:uri="urn:schemas-microsoft-com:office:smarttags" w:element="place">
        <w:smartTag w:uri="urn:schemas-microsoft-com:office:smarttags" w:element="City">
          <w:r>
            <w:rPr>
              <w:b/>
              <w:sz w:val="22"/>
            </w:rPr>
            <w:t>Houston</w:t>
          </w:r>
        </w:smartTag>
        <w:r>
          <w:rPr>
            <w:b/>
            <w:sz w:val="22"/>
          </w:rPr>
          <w:t xml:space="preserve">, </w:t>
        </w:r>
        <w:smartTag w:uri="urn:schemas-microsoft-com:office:smarttags" w:element="State">
          <w:r>
            <w:rPr>
              <w:b/>
              <w:sz w:val="22"/>
            </w:rPr>
            <w:t>TX</w:t>
          </w:r>
        </w:smartTag>
        <w:r>
          <w:rPr>
            <w:b/>
            <w:sz w:val="22"/>
          </w:rPr>
          <w:t xml:space="preserve">  </w:t>
        </w:r>
        <w:smartTag w:uri="urn:schemas-microsoft-com:office:smarttags" w:element="PostalCode">
          <w:r>
            <w:rPr>
              <w:b/>
              <w:sz w:val="22"/>
            </w:rPr>
            <w:t>77002</w:t>
          </w:r>
        </w:smartTag>
      </w:smartTag>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ab/>
      </w:r>
      <w:r>
        <w:rPr>
          <w:b/>
          <w:sz w:val="22"/>
        </w:rPr>
        <w:tab/>
      </w:r>
      <w:r>
        <w:rPr>
          <w:b/>
          <w:sz w:val="22"/>
        </w:rPr>
        <w:tab/>
        <w:t>Phone:  713</w:t>
      </w:r>
      <w:r>
        <w:rPr>
          <w:b/>
          <w:sz w:val="22"/>
        </w:rPr>
        <w:noBreakHyphen/>
        <w:t>356</w:t>
      </w:r>
      <w:r>
        <w:rPr>
          <w:b/>
          <w:sz w:val="22"/>
        </w:rPr>
        <w:noBreakHyphen/>
        <w:t>0060</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Fax:      713</w:t>
      </w:r>
      <w:r>
        <w:rPr>
          <w:b/>
          <w:sz w:val="22"/>
        </w:rPr>
        <w:noBreakHyphen/>
        <w:t>356</w:t>
      </w:r>
      <w:r>
        <w:rPr>
          <w:b/>
          <w:sz w:val="22"/>
        </w:rPr>
        <w:noBreakHyphen/>
        <w:t>0067</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proofErr w:type="gramStart"/>
      <w:r>
        <w:rPr>
          <w:b/>
          <w:sz w:val="22"/>
        </w:rPr>
        <w:t>by</w:t>
      </w:r>
      <w:proofErr w:type="gramEnd"/>
      <w:r>
        <w:rPr>
          <w:b/>
          <w:sz w:val="22"/>
        </w:rPr>
        <w:t xml:space="preserve"> either mail, fax, or to NAESB’s email address, naesb@naesb.org</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Once received, the request will be routed to the appropriate subcommittees for review.</w:t>
      </w:r>
    </w:p>
    <w:p>
      <w:pPr>
        <w:tabs>
          <w:tab w:val="center" w:pos="4680"/>
          <w:tab w:val="right" w:pos="9360"/>
        </w:tabs>
        <w:spacing w:line="330" w:lineRule="auto"/>
        <w:jc w:val="center"/>
        <w:rPr>
          <w:b/>
          <w:sz w:val="22"/>
        </w:rPr>
      </w:pPr>
      <w:r>
        <w:rPr>
          <w:b/>
          <w:sz w:val="22"/>
        </w:rPr>
        <w:br w:type="page"/>
      </w:r>
      <w:r>
        <w:rPr>
          <w:b/>
          <w:sz w:val="22"/>
        </w:rPr>
        <w:lastRenderedPageBreak/>
        <w:t>NAESB Correction/Clarification Procedure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Minor Clarifications and Corrections to Standards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   Any request for a minor clarification or correction to an existing standard should be submitted in writing to the executive director. This request shall include a description of the minor clarification or correction and the reason the clarification or correction should be implemented.</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1. Processing of Requests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executive director shall promptly notify the EC and any appropriate subcommittee(s) of the receipt of the request. The members of the applicable quadrant’s EC shall promptly determine whether the request meets the definition of a minor clarification or correction. Through the decision of the vice chair of the applicable quadrant, this determination may be delegated to one of the quadrant’s subcommittees, with the concurrence of the subcommittee chair, in which case the subcommittee shall make a prompt decision.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If the request is determined to meet the definition of minor clarification or correction, the applicable quadrant’s EC, with input from any subcommittee(s) to which the request has been forwarded, shall act on the request within one month of its receipt. A meeting to discuss the request is not required; the decision may be made by notational vote. A simple majority of the votes received shall determine the outcome. The members of the applicable quadrant’s EC shall be given at least three working days to consider and vote on the request.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2. Public Notice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results of the vote on the request for a minor clarification or correction shall be posted on the NAESB website and the members of the applicable quadrant shall be notified of the request by e-mail. If the request has been approved by the applicable quadrant’s EC, the notification shall include a brief description of the request, the contact name and number of the requester so that further information can be obtained, and the proposed effective date of the clarification or correction. The proposed effective date of the minor clarification or correction shall normally be one month from the date of the public notice. Any interested party shall have an opportunity to comment on the request, and the comments shall be posted on the NAESB website.  The comment period is two weeks.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3. Final Disposition of Approved Requests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If no comments are received on an approved request, the standard shall be clarified or corrected as specified in the approved request on the effective date proposed. If comments are received, they shall be forwarded to the members of the applicable quadrant’s EC for consideration. Each comment requires a public written response from the applicable quadrant’s EC. The applicable quadrant’s EC shall determine whether changes are necessary as a result of the comments. Members of the applicable quadrant’s EC shall be given three working days to consider the comments and determine the outcome, which shall be decided by a simple majority of the votes received. A meeting to discuss the request is not required; the decision may be made by notational vote. The standard shall be clarified or corrected in accordance with the outcome of the vote, effective with the completion of voting, and notice thereof shall be posted on the NAESB website.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br w:type="page"/>
      </w:r>
      <w:r>
        <w:rPr>
          <w:sz w:val="22"/>
        </w:rPr>
        <w:lastRenderedPageBreak/>
        <w:t>Date of Request:   _</w:t>
      </w:r>
      <w:r>
        <w:rPr>
          <w:sz w:val="22"/>
          <w:u w:val="single"/>
        </w:rPr>
        <w:t>May 11, 2012</w:t>
      </w:r>
      <w:r>
        <w:rPr>
          <w:sz w:val="22"/>
        </w:rPr>
        <w:t>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  Submitting Entity &amp; Address: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_______</w:t>
      </w:r>
      <w:r>
        <w:rPr>
          <w:sz w:val="22"/>
          <w:u w:val="single"/>
        </w:rPr>
        <w:t>Northern Natural Gas</w:t>
      </w:r>
      <w:r>
        <w:rPr>
          <w:sz w:val="22"/>
        </w:rPr>
        <w:t>________________________________________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________</w:t>
      </w:r>
      <w:r>
        <w:rPr>
          <w:sz w:val="22"/>
          <w:u w:val="single"/>
        </w:rPr>
        <w:t>1111 S 103</w:t>
      </w:r>
      <w:r>
        <w:rPr>
          <w:sz w:val="22"/>
          <w:u w:val="single"/>
          <w:vertAlign w:val="superscript"/>
        </w:rPr>
        <w:t>rd</w:t>
      </w:r>
      <w:r>
        <w:rPr>
          <w:sz w:val="22"/>
          <w:u w:val="single"/>
        </w:rPr>
        <w:t xml:space="preserve"> Street</w:t>
      </w:r>
      <w:r>
        <w:rPr>
          <w:sz w:val="22"/>
        </w:rPr>
        <w:t>_________________________________________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_______</w:t>
      </w:r>
      <w:r>
        <w:rPr>
          <w:sz w:val="22"/>
          <w:u w:val="single"/>
        </w:rPr>
        <w:t>Omaha, NE 68124</w:t>
      </w:r>
      <w:r>
        <w:rPr>
          <w:sz w:val="22"/>
        </w:rPr>
        <w:t>_________________________________________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2.  Contact Person, Phone #, Fax #, Electronic Mailing Address: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r>
        <w:rPr>
          <w:sz w:val="22"/>
        </w:rPr>
        <w:tab/>
        <w:t xml:space="preserve">Name </w:t>
      </w:r>
      <w:r>
        <w:rPr>
          <w:sz w:val="22"/>
        </w:rPr>
        <w:tab/>
        <w:t xml:space="preserve">:     </w:t>
      </w:r>
      <w:r>
        <w:rPr>
          <w:sz w:val="22"/>
        </w:rPr>
        <w:tab/>
        <w:t>________</w:t>
      </w:r>
      <w:proofErr w:type="gramStart"/>
      <w:r>
        <w:rPr>
          <w:sz w:val="22"/>
          <w:u w:val="single"/>
        </w:rPr>
        <w:t>Micki  Schmitz</w:t>
      </w:r>
      <w:proofErr w:type="gramEnd"/>
      <w:r>
        <w:rPr>
          <w:sz w:val="22"/>
        </w:rPr>
        <w:t>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Pr>
          <w:sz w:val="22"/>
        </w:rPr>
        <w:tab/>
      </w:r>
      <w:r>
        <w:rPr>
          <w:sz w:val="22"/>
        </w:rPr>
        <w:tab/>
      </w:r>
      <w:r>
        <w:rPr>
          <w:sz w:val="22"/>
        </w:rPr>
        <w:tab/>
      </w:r>
      <w:r>
        <w:rPr>
          <w:sz w:val="22"/>
        </w:rPr>
        <w:tab/>
        <w:t xml:space="preserve">Title </w:t>
      </w:r>
      <w:r>
        <w:rPr>
          <w:sz w:val="22"/>
        </w:rPr>
        <w:tab/>
        <w:t xml:space="preserve">:     </w:t>
      </w:r>
      <w:r>
        <w:rPr>
          <w:sz w:val="22"/>
        </w:rPr>
        <w:tab/>
        <w:t>________</w:t>
      </w:r>
      <w:r>
        <w:rPr>
          <w:sz w:val="22"/>
          <w:u w:val="single"/>
        </w:rPr>
        <w:t>Business Systems Analyst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Pr>
          <w:sz w:val="22"/>
        </w:rPr>
        <w:tab/>
      </w:r>
      <w:r>
        <w:rPr>
          <w:sz w:val="22"/>
        </w:rPr>
        <w:tab/>
      </w:r>
      <w:r>
        <w:rPr>
          <w:sz w:val="22"/>
        </w:rPr>
        <w:tab/>
      </w:r>
      <w:r>
        <w:rPr>
          <w:sz w:val="22"/>
        </w:rPr>
        <w:tab/>
      </w:r>
      <w:proofErr w:type="gramStart"/>
      <w:r>
        <w:rPr>
          <w:sz w:val="22"/>
        </w:rPr>
        <w:t>Phone :</w:t>
      </w:r>
      <w:proofErr w:type="gramEnd"/>
      <w:r>
        <w:rPr>
          <w:sz w:val="22"/>
        </w:rPr>
        <w:t xml:space="preserve">  </w:t>
      </w:r>
      <w:r>
        <w:rPr>
          <w:sz w:val="22"/>
        </w:rPr>
        <w:tab/>
        <w:t>________</w:t>
      </w:r>
      <w:r>
        <w:rPr>
          <w:sz w:val="22"/>
          <w:u w:val="single"/>
        </w:rPr>
        <w:t>402-398-7653</w:t>
      </w:r>
      <w:r>
        <w:rPr>
          <w:sz w:val="22"/>
        </w:rPr>
        <w:t>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Pr>
          <w:sz w:val="22"/>
        </w:rPr>
        <w:tab/>
      </w:r>
      <w:r>
        <w:rPr>
          <w:sz w:val="22"/>
        </w:rPr>
        <w:tab/>
      </w:r>
      <w:r>
        <w:rPr>
          <w:sz w:val="22"/>
        </w:rPr>
        <w:tab/>
      </w:r>
      <w:r>
        <w:rPr>
          <w:sz w:val="22"/>
        </w:rPr>
        <w:tab/>
        <w:t xml:space="preserve">Fax </w:t>
      </w:r>
      <w:r>
        <w:rPr>
          <w:sz w:val="22"/>
        </w:rPr>
        <w:tab/>
        <w:t>:</w:t>
      </w:r>
      <w:r>
        <w:rPr>
          <w:sz w:val="22"/>
        </w:rPr>
        <w:tab/>
        <w:t>________</w:t>
      </w:r>
      <w:r>
        <w:rPr>
          <w:sz w:val="22"/>
          <w:u w:val="single"/>
        </w:rPr>
        <w:t>402-548-5281</w:t>
      </w:r>
      <w:r>
        <w:rPr>
          <w:sz w:val="22"/>
        </w:rPr>
        <w:t>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r>
        <w:rPr>
          <w:sz w:val="22"/>
        </w:rPr>
        <w:tab/>
      </w:r>
      <w:r>
        <w:rPr>
          <w:sz w:val="22"/>
        </w:rPr>
        <w:tab/>
      </w:r>
      <w:r>
        <w:rPr>
          <w:sz w:val="22"/>
        </w:rPr>
        <w:tab/>
      </w:r>
      <w:r>
        <w:rPr>
          <w:sz w:val="22"/>
        </w:rPr>
        <w:tab/>
        <w:t>E</w:t>
      </w:r>
      <w:r>
        <w:rPr>
          <w:sz w:val="22"/>
        </w:rPr>
        <w:noBreakHyphen/>
        <w:t>mail</w:t>
      </w:r>
      <w:r>
        <w:rPr>
          <w:sz w:val="22"/>
        </w:rPr>
        <w:tab/>
        <w:t>:</w:t>
      </w:r>
      <w:r>
        <w:rPr>
          <w:sz w:val="22"/>
        </w:rPr>
        <w:tab/>
      </w:r>
      <w:hyperlink r:id="rId8" w:history="1">
        <w:r>
          <w:rPr>
            <w:rStyle w:val="Hyperlink"/>
            <w:sz w:val="22"/>
          </w:rPr>
          <w:t>________micki.schmitz@nngco.com</w:t>
        </w:r>
      </w:hyperlink>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Pr>
          <w:sz w:val="22"/>
        </w:rPr>
        <w:t xml:space="preserve">3.  Version and Standard Number(s) suggested for correction or clarification: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Pr>
          <w:rFonts w:ascii="Arial" w:hAnsi="Arial" w:cs="Arial"/>
          <w:sz w:val="22"/>
          <w:szCs w:val="22"/>
        </w:rPr>
        <w:t>This request proposes the addition of 1 code value for the data element “Meter Type” in the following datasets for the NAESB WGQ Version 2.0 release:</w:t>
      </w:r>
    </w:p>
    <w:p>
      <w:pPr>
        <w:autoSpaceDE w:val="0"/>
        <w:autoSpaceDN w:val="0"/>
        <w:adjustRightInd w:val="0"/>
        <w:ind w:left="720"/>
        <w:rPr>
          <w:rFonts w:ascii="Arial" w:hAnsi="Arial" w:cs="Arial"/>
          <w:b/>
          <w:bCs/>
          <w:sz w:val="22"/>
          <w:szCs w:val="23"/>
        </w:rPr>
      </w:pPr>
      <w:bookmarkStart w:id="1" w:name="OLE_LINK3"/>
      <w:bookmarkStart w:id="2" w:name="OLE_LINK4"/>
      <w:r>
        <w:rPr>
          <w:rFonts w:ascii="Arial" w:hAnsi="Arial" w:cs="Arial"/>
          <w:b/>
          <w:bCs/>
          <w:sz w:val="22"/>
          <w:szCs w:val="23"/>
        </w:rPr>
        <w:t>NAESB WGQ Standard 2.4.6 – Measured Volume Audit Statement</w:t>
      </w:r>
    </w:p>
    <w:bookmarkEnd w:id="1"/>
    <w:bookmarkEnd w:id="2"/>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Pr>
          <w:sz w:val="22"/>
        </w:rPr>
        <w:t>4.  Description of Minor Correction/Clarification including redlined standards corrections: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pPr>
        <w:pStyle w:val="Heading1"/>
      </w:pPr>
      <w:r>
        <w:t>Code Values Dictionary</w:t>
      </w:r>
    </w:p>
    <w:p>
      <w:pPr>
        <w:autoSpaceDE w:val="0"/>
        <w:autoSpaceDN w:val="0"/>
        <w:adjustRightInd w:val="0"/>
        <w:rPr>
          <w:rFonts w:ascii="Arial" w:hAnsi="Arial" w:cs="Arial"/>
          <w:b/>
          <w:bCs/>
          <w:sz w:val="22"/>
          <w:szCs w:val="23"/>
        </w:rPr>
      </w:pPr>
    </w:p>
    <w:p>
      <w:pPr>
        <w:autoSpaceDE w:val="0"/>
        <w:autoSpaceDN w:val="0"/>
        <w:adjustRightInd w:val="0"/>
        <w:ind w:left="720"/>
        <w:rPr>
          <w:rFonts w:ascii="Arial" w:hAnsi="Arial" w:cs="Arial"/>
          <w:b/>
          <w:bCs/>
          <w:sz w:val="22"/>
          <w:szCs w:val="23"/>
        </w:rPr>
      </w:pPr>
      <w:r>
        <w:rPr>
          <w:rFonts w:ascii="Arial" w:hAnsi="Arial" w:cs="Arial"/>
          <w:b/>
          <w:bCs/>
          <w:sz w:val="22"/>
          <w:szCs w:val="23"/>
        </w:rPr>
        <w:t>Document Name and No.:  NAESB WGQ Standard 2.4.6 – Measured Volume Audit Statement</w:t>
      </w:r>
    </w:p>
    <w:p>
      <w:pPr>
        <w:autoSpaceDE w:val="0"/>
        <w:autoSpaceDN w:val="0"/>
        <w:adjustRightInd w:val="0"/>
        <w:rPr>
          <w:rFonts w:ascii="Arial" w:hAnsi="Arial" w:cs="Arial"/>
          <w:sz w:val="22"/>
          <w:szCs w:val="23"/>
        </w:rPr>
      </w:pPr>
    </w:p>
    <w:p>
      <w:pPr>
        <w:autoSpaceDE w:val="0"/>
        <w:autoSpaceDN w:val="0"/>
        <w:adjustRightInd w:val="0"/>
        <w:rPr>
          <w:rFonts w:ascii="Arial" w:hAnsi="Arial" w:cs="Arial"/>
          <w:sz w:val="22"/>
          <w:szCs w:val="23"/>
        </w:rPr>
      </w:pPr>
    </w:p>
    <w:p>
      <w:pPr>
        <w:autoSpaceDE w:val="0"/>
        <w:autoSpaceDN w:val="0"/>
        <w:adjustRightInd w:val="0"/>
        <w:rPr>
          <w:rFonts w:ascii="Arial" w:hAnsi="Arial" w:cs="Arial"/>
          <w:sz w:val="22"/>
          <w:szCs w:val="23"/>
        </w:rPr>
      </w:pPr>
      <w:r>
        <w:rPr>
          <w:rFonts w:ascii="Arial" w:hAnsi="Arial" w:cs="Arial"/>
          <w:b/>
          <w:bCs/>
          <w:sz w:val="22"/>
          <w:szCs w:val="23"/>
        </w:rPr>
        <w:t>Data Element:</w:t>
      </w:r>
      <w:r>
        <w:rPr>
          <w:rFonts w:ascii="Arial" w:hAnsi="Arial" w:cs="Arial"/>
          <w:bCs/>
          <w:sz w:val="22"/>
          <w:szCs w:val="23"/>
        </w:rPr>
        <w:t xml:space="preserve"> Meter Type</w:t>
      </w:r>
    </w:p>
    <w:p>
      <w:pPr>
        <w:autoSpaceDE w:val="0"/>
        <w:autoSpaceDN w:val="0"/>
        <w:adjustRightInd w:val="0"/>
        <w:rPr>
          <w:rFonts w:ascii="Arial" w:hAnsi="Arial" w:cs="Arial"/>
          <w:b/>
          <w:bCs/>
          <w:sz w:val="23"/>
          <w:szCs w:val="23"/>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4320"/>
        <w:gridCol w:w="1597"/>
      </w:tblGrid>
      <w:tr>
        <w:tc>
          <w:tcPr>
            <w:tcW w:w="3168" w:type="dxa"/>
          </w:tcPr>
          <w:p>
            <w:pPr>
              <w:pStyle w:val="Heading2"/>
            </w:pPr>
            <w:r>
              <w:t>Code Value Description</w:t>
            </w:r>
          </w:p>
        </w:tc>
        <w:tc>
          <w:tcPr>
            <w:tcW w:w="4320" w:type="dxa"/>
          </w:tcPr>
          <w:p>
            <w:pPr>
              <w:autoSpaceDE w:val="0"/>
              <w:autoSpaceDN w:val="0"/>
              <w:adjustRightInd w:val="0"/>
              <w:rPr>
                <w:rFonts w:ascii="Arial" w:hAnsi="Arial" w:cs="Arial"/>
                <w:b/>
                <w:bCs/>
                <w:sz w:val="23"/>
                <w:szCs w:val="23"/>
              </w:rPr>
            </w:pPr>
            <w:r>
              <w:rPr>
                <w:rFonts w:ascii="Arial" w:hAnsi="Arial" w:cs="Arial"/>
                <w:b/>
                <w:bCs/>
                <w:sz w:val="23"/>
                <w:szCs w:val="23"/>
              </w:rPr>
              <w:t>Code Value Definition</w:t>
            </w:r>
          </w:p>
        </w:tc>
        <w:tc>
          <w:tcPr>
            <w:tcW w:w="1597" w:type="dxa"/>
          </w:tcPr>
          <w:p>
            <w:pPr>
              <w:autoSpaceDE w:val="0"/>
              <w:autoSpaceDN w:val="0"/>
              <w:adjustRightInd w:val="0"/>
              <w:rPr>
                <w:rFonts w:ascii="Arial" w:hAnsi="Arial" w:cs="Arial"/>
                <w:b/>
                <w:bCs/>
                <w:sz w:val="23"/>
                <w:szCs w:val="23"/>
              </w:rPr>
            </w:pPr>
            <w:r>
              <w:rPr>
                <w:rFonts w:ascii="Arial" w:hAnsi="Arial" w:cs="Arial"/>
                <w:b/>
                <w:bCs/>
                <w:sz w:val="23"/>
                <w:szCs w:val="23"/>
              </w:rPr>
              <w:t>Code Value</w:t>
            </w:r>
          </w:p>
        </w:tc>
      </w:tr>
    </w:tbl>
    <w:tbl>
      <w:tblPr>
        <w:tblStyle w:val="TableGrid"/>
        <w:tblW w:w="0" w:type="auto"/>
        <w:tblLook w:val="04A0" w:firstRow="1" w:lastRow="0" w:firstColumn="1" w:lastColumn="0" w:noHBand="0" w:noVBand="1"/>
      </w:tblPr>
      <w:tblGrid>
        <w:gridCol w:w="3168"/>
        <w:gridCol w:w="4320"/>
        <w:gridCol w:w="1620"/>
      </w:tblGrid>
      <w:tr>
        <w:tc>
          <w:tcPr>
            <w:tcW w:w="3168" w:type="dxa"/>
          </w:tcPr>
          <w:p>
            <w:pPr>
              <w:rPr>
                <w:u w:val="single"/>
              </w:rPr>
            </w:pPr>
            <w:r>
              <w:rPr>
                <w:u w:val="single"/>
              </w:rPr>
              <w:t>Virtual Meter</w:t>
            </w:r>
          </w:p>
        </w:tc>
        <w:tc>
          <w:tcPr>
            <w:tcW w:w="4320" w:type="dxa"/>
          </w:tcPr>
          <w:p>
            <w:pPr>
              <w:rPr>
                <w:u w:val="single"/>
              </w:rPr>
            </w:pPr>
          </w:p>
        </w:tc>
        <w:tc>
          <w:tcPr>
            <w:tcW w:w="1620" w:type="dxa"/>
          </w:tcPr>
          <w:p>
            <w:pPr>
              <w:rPr>
                <w:u w:val="single"/>
              </w:rPr>
            </w:pPr>
            <w:r>
              <w:rPr>
                <w:u w:val="single"/>
              </w:rPr>
              <w:t>VT</w:t>
            </w:r>
          </w:p>
        </w:tc>
      </w:tr>
    </w:tbl>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5.  Reason for of Minor Correction/Clarification:</w:t>
      </w:r>
    </w:p>
    <w:p>
      <w:pPr>
        <w:pStyle w:val="BodyText"/>
        <w:ind w:left="1440"/>
        <w:rPr>
          <w:rFonts w:ascii="Arial" w:hAnsi="Arial" w:cs="Arial"/>
        </w:rPr>
      </w:pPr>
      <w:bookmarkStart w:id="3" w:name="OLE_LINK1"/>
      <w:bookmarkStart w:id="4" w:name="OLE_LINK2"/>
      <w:r>
        <w:rPr>
          <w:rFonts w:ascii="Arial" w:hAnsi="Arial" w:cs="Arial"/>
        </w:rPr>
        <w:t xml:space="preserve">The addition of this code value will provide the ability to more clearly report the type of meter.  </w:t>
      </w:r>
    </w:p>
    <w:bookmarkEnd w:id="3"/>
    <w:bookmarkEnd w:id="4"/>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p>
      <w:pPr>
        <w:rPr>
          <w:color w:val="1F497D"/>
        </w:rPr>
      </w:pPr>
      <w:r>
        <w:rPr>
          <w:color w:val="1F497D"/>
        </w:rPr>
        <w:t xml:space="preserve">A virtual meter is not a physical piece of equipment but rather a calculation performed in the measurement software. For example, we may have two meters, one delivering gas from NNG to Customer A and a secondary meter that Customer A delivers gas to NNG on a separate day. Therefore, since both delivery and receipt are under the same POI, Northern creates a virtual meter to do the math. The net amount is billed under the same POI. </w:t>
      </w:r>
    </w:p>
    <w:p>
      <w:pPr>
        <w:rPr>
          <w:color w:val="1F497D"/>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color w:val="1F497D"/>
        </w:rPr>
        <w:t>On other occasions we may have two delivery points and one meter. The one meter may measure all of the gas and customer B’s meter measures only the gas they receive. Customer B sends Northern the measurement from their meter. We deduct that from our meter to bill customer A the difference. One POI/meter number for Customer A for a virtual meter, one POI and meter number for Customer B (where the measurement was supplied to NNG) and a third meter number for the meter that measured all of the volume.</w:t>
      </w:r>
    </w:p>
    <w:sectPr>
      <w:headerReference w:type="default" r:id="rId9"/>
      <w:endnotePr>
        <w:numFmt w:val="decimal"/>
      </w:endnotePr>
      <w:pgSz w:w="12240" w:h="15840"/>
      <w:pgMar w:top="216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s Gothic">
    <w:altName w:val="Franklin Gothic Medium"/>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6"/>
        <w:szCs w:val="36"/>
      </w:rPr>
    </w:pPr>
    <w:r>
      <w:rPr>
        <w:b/>
        <w:sz w:val="36"/>
        <w:szCs w:val="36"/>
      </w:rPr>
      <w:t>MC12017</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North American Energy Standards Board</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Request for Minor Correction/Clarification of a NAESB Business Practice Standard, Model Business Practice or Electronic Transaction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C380B"/>
    <w:multiLevelType w:val="hybridMultilevel"/>
    <w:tmpl w:val="6CF08BD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autoSpaceDE w:val="0"/>
      <w:autoSpaceDN w:val="0"/>
      <w:adjustRightInd w:val="0"/>
      <w:outlineLvl w:val="0"/>
    </w:pPr>
    <w:rPr>
      <w:rFonts w:ascii="Arial" w:hAnsi="Arial" w:cs="Arial"/>
      <w:b/>
      <w:bCs/>
      <w:sz w:val="22"/>
      <w:szCs w:val="24"/>
      <w:u w:val="single"/>
    </w:rPr>
  </w:style>
  <w:style w:type="paragraph" w:styleId="Heading2">
    <w:name w:val="heading 2"/>
    <w:basedOn w:val="Normal"/>
    <w:next w:val="Normal"/>
    <w:qFormat/>
    <w:pPr>
      <w:keepNext/>
      <w:autoSpaceDE w:val="0"/>
      <w:autoSpaceDN w:val="0"/>
      <w:adjustRightInd w:val="0"/>
      <w:outlineLvl w:val="1"/>
    </w:pPr>
    <w:rPr>
      <w:rFonts w:ascii="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News Gothic" w:hAnsi="News Gothic"/>
      <w:sz w:val="22"/>
      <w:szCs w:val="24"/>
    </w:rPr>
  </w:style>
  <w:style w:type="table" w:styleId="TableGrid">
    <w:name w:val="Table Grid"/>
    <w:basedOn w:val="TableNormal"/>
    <w:uiPriority w:val="59"/>
    <w:rPr>
      <w:rFonts w:eastAsiaTheme="minorHAnsi" w:cstheme="minorBidi"/>
      <w:sz w:val="24"/>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63143">
      <w:bodyDiv w:val="1"/>
      <w:marLeft w:val="0"/>
      <w:marRight w:val="0"/>
      <w:marTop w:val="0"/>
      <w:marBottom w:val="0"/>
      <w:divBdr>
        <w:top w:val="none" w:sz="0" w:space="0" w:color="auto"/>
        <w:left w:val="none" w:sz="0" w:space="0" w:color="auto"/>
        <w:bottom w:val="none" w:sz="0" w:space="0" w:color="auto"/>
        <w:right w:val="none" w:sz="0" w:space="0" w:color="auto"/>
      </w:divBdr>
    </w:div>
    <w:div w:id="1824467509">
      <w:bodyDiv w:val="1"/>
      <w:marLeft w:val="0"/>
      <w:marRight w:val="0"/>
      <w:marTop w:val="0"/>
      <w:marBottom w:val="0"/>
      <w:divBdr>
        <w:top w:val="none" w:sz="0" w:space="0" w:color="auto"/>
        <w:left w:val="none" w:sz="0" w:space="0" w:color="auto"/>
        <w:bottom w:val="none" w:sz="0" w:space="0" w:color="auto"/>
        <w:right w:val="none" w:sz="0" w:space="0" w:color="auto"/>
      </w:divBdr>
    </w:div>
    <w:div w:id="1961062026">
      <w:bodyDiv w:val="1"/>
      <w:marLeft w:val="0"/>
      <w:marRight w:val="0"/>
      <w:marTop w:val="0"/>
      <w:marBottom w:val="0"/>
      <w:divBdr>
        <w:top w:val="none" w:sz="0" w:space="0" w:color="auto"/>
        <w:left w:val="none" w:sz="0" w:space="0" w:color="auto"/>
        <w:bottom w:val="none" w:sz="0" w:space="0" w:color="auto"/>
        <w:right w:val="none" w:sz="0" w:space="0" w:color="auto"/>
      </w:divBdr>
    </w:div>
    <w:div w:id="209389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micki.schmitz@nngc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6841</CharactersWithSpaces>
  <SharedDoc>false</SharedDoc>
  <HLinks>
    <vt:vector size="6" baseType="variant">
      <vt:variant>
        <vt:i4>6619152</vt:i4>
      </vt:variant>
      <vt:variant>
        <vt:i4>0</vt:i4>
      </vt:variant>
      <vt:variant>
        <vt:i4>0</vt:i4>
      </vt:variant>
      <vt:variant>
        <vt:i4>5</vt:i4>
      </vt:variant>
      <vt:variant>
        <vt:lpwstr>mailto:________micki.schmitz@nngco.com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Veronica Thomason</cp:lastModifiedBy>
  <cp:revision>6</cp:revision>
  <cp:lastPrinted>2003-08-14T20:23:00Z</cp:lastPrinted>
  <dcterms:created xsi:type="dcterms:W3CDTF">2012-05-11T14:38:00Z</dcterms:created>
  <dcterms:modified xsi:type="dcterms:W3CDTF">2012-05-30T14:34:00Z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