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AD89C" w14:textId="77777777" w:rsidR="00DB3043" w:rsidRPr="009E07F2" w:rsidRDefault="00DB3043">
      <w:pPr>
        <w:pStyle w:val="DefaultText"/>
        <w:rPr>
          <w:rFonts w:ascii="Arial" w:hAnsi="Arial" w:cs="Arial"/>
          <w:b/>
          <w:sz w:val="20"/>
        </w:rPr>
      </w:pPr>
      <w:bookmarkStart w:id="0" w:name="_GoBack"/>
      <w:bookmarkEnd w:id="0"/>
    </w:p>
    <w:p w14:paraId="5094B4C2"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2C69AD5E" w14:textId="77777777" w:rsidTr="006B3298">
        <w:tc>
          <w:tcPr>
            <w:tcW w:w="810" w:type="dxa"/>
            <w:tcBorders>
              <w:bottom w:val="single" w:sz="4" w:space="0" w:color="auto"/>
            </w:tcBorders>
          </w:tcPr>
          <w:p w14:paraId="73E75961" w14:textId="77777777" w:rsidR="00193F4D" w:rsidRPr="009E07F2" w:rsidRDefault="00B21625" w:rsidP="00C849B1">
            <w:pPr>
              <w:pStyle w:val="DefaultText"/>
              <w:jc w:val="center"/>
              <w:rPr>
                <w:rFonts w:ascii="Arial" w:hAnsi="Arial" w:cs="Arial"/>
                <w:sz w:val="20"/>
              </w:rPr>
            </w:pPr>
            <w:r>
              <w:rPr>
                <w:rFonts w:ascii="Arial" w:hAnsi="Arial" w:cs="Arial"/>
                <w:sz w:val="20"/>
              </w:rPr>
              <w:t>X</w:t>
            </w:r>
          </w:p>
        </w:tc>
        <w:tc>
          <w:tcPr>
            <w:tcW w:w="3960" w:type="dxa"/>
          </w:tcPr>
          <w:p w14:paraId="0D5CD574"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D757651" w14:textId="77777777" w:rsidR="00193F4D" w:rsidRPr="009E07F2" w:rsidRDefault="00B21625" w:rsidP="00C849B1">
            <w:pPr>
              <w:pStyle w:val="DefaultText"/>
              <w:jc w:val="center"/>
              <w:rPr>
                <w:rFonts w:ascii="Arial" w:hAnsi="Arial" w:cs="Arial"/>
                <w:sz w:val="20"/>
              </w:rPr>
            </w:pPr>
            <w:r>
              <w:rPr>
                <w:rFonts w:ascii="Arial" w:hAnsi="Arial" w:cs="Arial"/>
                <w:sz w:val="20"/>
              </w:rPr>
              <w:t>X</w:t>
            </w:r>
          </w:p>
        </w:tc>
        <w:tc>
          <w:tcPr>
            <w:tcW w:w="3690" w:type="dxa"/>
          </w:tcPr>
          <w:p w14:paraId="5E48DD96"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03356092" w14:textId="77777777" w:rsidTr="006B3298">
        <w:tc>
          <w:tcPr>
            <w:tcW w:w="810" w:type="dxa"/>
            <w:tcBorders>
              <w:top w:val="single" w:sz="4" w:space="0" w:color="auto"/>
              <w:bottom w:val="single" w:sz="4" w:space="0" w:color="auto"/>
            </w:tcBorders>
          </w:tcPr>
          <w:p w14:paraId="6D2CBBDF" w14:textId="77777777" w:rsidR="00193F4D" w:rsidRPr="009E07F2" w:rsidRDefault="00193F4D" w:rsidP="00C849B1">
            <w:pPr>
              <w:pStyle w:val="DefaultText"/>
              <w:jc w:val="center"/>
              <w:rPr>
                <w:rFonts w:ascii="Arial" w:hAnsi="Arial" w:cs="Arial"/>
                <w:sz w:val="20"/>
              </w:rPr>
            </w:pPr>
          </w:p>
        </w:tc>
        <w:tc>
          <w:tcPr>
            <w:tcW w:w="3960" w:type="dxa"/>
          </w:tcPr>
          <w:p w14:paraId="68305A36"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2201C1BB" w14:textId="77777777" w:rsidR="00193F4D" w:rsidRPr="009E07F2" w:rsidRDefault="00193F4D" w:rsidP="00C849B1">
            <w:pPr>
              <w:pStyle w:val="DefaultText"/>
              <w:jc w:val="center"/>
              <w:rPr>
                <w:rFonts w:ascii="Arial" w:hAnsi="Arial" w:cs="Arial"/>
                <w:sz w:val="20"/>
              </w:rPr>
            </w:pPr>
          </w:p>
        </w:tc>
        <w:tc>
          <w:tcPr>
            <w:tcW w:w="3690" w:type="dxa"/>
          </w:tcPr>
          <w:p w14:paraId="3871DCEE"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5031925F" w14:textId="77777777" w:rsidTr="006B3298">
        <w:tc>
          <w:tcPr>
            <w:tcW w:w="810" w:type="dxa"/>
            <w:tcBorders>
              <w:top w:val="single" w:sz="4" w:space="0" w:color="auto"/>
              <w:bottom w:val="single" w:sz="4" w:space="0" w:color="auto"/>
            </w:tcBorders>
          </w:tcPr>
          <w:p w14:paraId="31C666CE" w14:textId="77777777" w:rsidR="00193F4D" w:rsidRPr="009E07F2" w:rsidRDefault="00193F4D" w:rsidP="00C849B1">
            <w:pPr>
              <w:pStyle w:val="DefaultText"/>
              <w:jc w:val="center"/>
              <w:rPr>
                <w:rFonts w:ascii="Arial" w:hAnsi="Arial" w:cs="Arial"/>
                <w:sz w:val="20"/>
              </w:rPr>
            </w:pPr>
          </w:p>
        </w:tc>
        <w:tc>
          <w:tcPr>
            <w:tcW w:w="3960" w:type="dxa"/>
          </w:tcPr>
          <w:p w14:paraId="2362B54C"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1CD1E187" w14:textId="77777777" w:rsidR="00193F4D" w:rsidRPr="009E07F2" w:rsidRDefault="00193F4D" w:rsidP="006B3298">
            <w:pPr>
              <w:pStyle w:val="DefaultText"/>
              <w:rPr>
                <w:rFonts w:ascii="Arial" w:hAnsi="Arial" w:cs="Arial"/>
                <w:sz w:val="20"/>
              </w:rPr>
            </w:pPr>
          </w:p>
        </w:tc>
        <w:tc>
          <w:tcPr>
            <w:tcW w:w="3690" w:type="dxa"/>
          </w:tcPr>
          <w:p w14:paraId="3AC5C55F" w14:textId="77777777" w:rsidR="00193F4D" w:rsidRPr="009E07F2" w:rsidRDefault="00193F4D" w:rsidP="006B3298">
            <w:pPr>
              <w:pStyle w:val="DefaultText"/>
              <w:rPr>
                <w:rFonts w:ascii="Arial" w:hAnsi="Arial" w:cs="Arial"/>
                <w:sz w:val="20"/>
              </w:rPr>
            </w:pPr>
          </w:p>
        </w:tc>
      </w:tr>
    </w:tbl>
    <w:p w14:paraId="18C91D95"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5B8795DB" w14:textId="77777777" w:rsidTr="006B3298">
        <w:tc>
          <w:tcPr>
            <w:tcW w:w="4770" w:type="dxa"/>
            <w:gridSpan w:val="2"/>
          </w:tcPr>
          <w:p w14:paraId="76809326"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3D9A1795"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45F74066" w14:textId="77777777" w:rsidTr="006B3298">
        <w:tc>
          <w:tcPr>
            <w:tcW w:w="810" w:type="dxa"/>
            <w:tcBorders>
              <w:bottom w:val="single" w:sz="4" w:space="0" w:color="auto"/>
            </w:tcBorders>
          </w:tcPr>
          <w:p w14:paraId="7B8CCD85" w14:textId="77777777" w:rsidR="00193F4D" w:rsidRPr="009E07F2" w:rsidRDefault="00193F4D" w:rsidP="00C849B1">
            <w:pPr>
              <w:pStyle w:val="DefaultText"/>
              <w:jc w:val="center"/>
              <w:rPr>
                <w:rFonts w:ascii="Arial" w:hAnsi="Arial" w:cs="Arial"/>
                <w:sz w:val="20"/>
              </w:rPr>
            </w:pPr>
          </w:p>
        </w:tc>
        <w:tc>
          <w:tcPr>
            <w:tcW w:w="3960" w:type="dxa"/>
          </w:tcPr>
          <w:p w14:paraId="63B554C9"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3E828B65" w14:textId="77777777" w:rsidR="00193F4D" w:rsidRPr="009E07F2" w:rsidRDefault="00193F4D" w:rsidP="00C849B1">
            <w:pPr>
              <w:pStyle w:val="DefaultText"/>
              <w:jc w:val="center"/>
              <w:rPr>
                <w:rFonts w:ascii="Arial" w:hAnsi="Arial" w:cs="Arial"/>
                <w:sz w:val="20"/>
              </w:rPr>
            </w:pPr>
          </w:p>
        </w:tc>
        <w:tc>
          <w:tcPr>
            <w:tcW w:w="3690" w:type="dxa"/>
          </w:tcPr>
          <w:p w14:paraId="312A7C81"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4B0D5A89" w14:textId="77777777" w:rsidTr="006B3298">
        <w:tc>
          <w:tcPr>
            <w:tcW w:w="810" w:type="dxa"/>
            <w:tcBorders>
              <w:top w:val="single" w:sz="4" w:space="0" w:color="auto"/>
              <w:bottom w:val="single" w:sz="4" w:space="0" w:color="auto"/>
            </w:tcBorders>
          </w:tcPr>
          <w:p w14:paraId="396E533C" w14:textId="77777777" w:rsidR="00193F4D" w:rsidRPr="009E07F2" w:rsidRDefault="00B21625" w:rsidP="00C849B1">
            <w:pPr>
              <w:pStyle w:val="DefaultText"/>
              <w:jc w:val="center"/>
              <w:rPr>
                <w:rFonts w:ascii="Arial" w:hAnsi="Arial" w:cs="Arial"/>
                <w:sz w:val="20"/>
              </w:rPr>
            </w:pPr>
            <w:r>
              <w:rPr>
                <w:rFonts w:ascii="Arial" w:hAnsi="Arial" w:cs="Arial"/>
                <w:sz w:val="20"/>
              </w:rPr>
              <w:t>X</w:t>
            </w:r>
          </w:p>
        </w:tc>
        <w:tc>
          <w:tcPr>
            <w:tcW w:w="3960" w:type="dxa"/>
          </w:tcPr>
          <w:p w14:paraId="587BF7E4"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26E1D087" w14:textId="77777777" w:rsidR="00193F4D" w:rsidRPr="009E07F2" w:rsidRDefault="00B21625" w:rsidP="00C849B1">
            <w:pPr>
              <w:pStyle w:val="DefaultText"/>
              <w:jc w:val="center"/>
              <w:rPr>
                <w:rFonts w:ascii="Arial" w:hAnsi="Arial" w:cs="Arial"/>
                <w:sz w:val="20"/>
              </w:rPr>
            </w:pPr>
            <w:r>
              <w:rPr>
                <w:rFonts w:ascii="Arial" w:hAnsi="Arial" w:cs="Arial"/>
                <w:sz w:val="20"/>
              </w:rPr>
              <w:t>X</w:t>
            </w:r>
          </w:p>
        </w:tc>
        <w:tc>
          <w:tcPr>
            <w:tcW w:w="3690" w:type="dxa"/>
          </w:tcPr>
          <w:p w14:paraId="400997B2"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65E1A747" w14:textId="77777777" w:rsidTr="006B3298">
        <w:tc>
          <w:tcPr>
            <w:tcW w:w="810" w:type="dxa"/>
            <w:tcBorders>
              <w:top w:val="single" w:sz="4" w:space="0" w:color="auto"/>
              <w:bottom w:val="single" w:sz="4" w:space="0" w:color="auto"/>
            </w:tcBorders>
          </w:tcPr>
          <w:p w14:paraId="5A570F90" w14:textId="77777777" w:rsidR="00193F4D" w:rsidRPr="009E07F2" w:rsidRDefault="00193F4D" w:rsidP="00C849B1">
            <w:pPr>
              <w:pStyle w:val="DefaultText"/>
              <w:jc w:val="center"/>
              <w:rPr>
                <w:rFonts w:ascii="Arial" w:hAnsi="Arial" w:cs="Arial"/>
                <w:sz w:val="20"/>
              </w:rPr>
            </w:pPr>
          </w:p>
        </w:tc>
        <w:tc>
          <w:tcPr>
            <w:tcW w:w="3960" w:type="dxa"/>
          </w:tcPr>
          <w:p w14:paraId="58FCE053"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7836C842" w14:textId="77777777" w:rsidR="00193F4D" w:rsidRPr="009E07F2" w:rsidRDefault="00193F4D" w:rsidP="00C849B1">
            <w:pPr>
              <w:pStyle w:val="DefaultText"/>
              <w:jc w:val="center"/>
              <w:rPr>
                <w:rFonts w:ascii="Arial" w:hAnsi="Arial" w:cs="Arial"/>
                <w:sz w:val="20"/>
              </w:rPr>
            </w:pPr>
          </w:p>
        </w:tc>
        <w:tc>
          <w:tcPr>
            <w:tcW w:w="3690" w:type="dxa"/>
          </w:tcPr>
          <w:p w14:paraId="68AD92B2"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476AEBFD" w14:textId="77777777" w:rsidTr="006B3298">
        <w:tc>
          <w:tcPr>
            <w:tcW w:w="810" w:type="dxa"/>
            <w:tcBorders>
              <w:top w:val="single" w:sz="4" w:space="0" w:color="auto"/>
              <w:bottom w:val="single" w:sz="4" w:space="0" w:color="auto"/>
            </w:tcBorders>
          </w:tcPr>
          <w:p w14:paraId="1CDB4F39" w14:textId="77777777" w:rsidR="00193F4D" w:rsidRPr="009E07F2" w:rsidRDefault="00193F4D" w:rsidP="00C849B1">
            <w:pPr>
              <w:pStyle w:val="DefaultText"/>
              <w:jc w:val="center"/>
              <w:rPr>
                <w:rFonts w:ascii="Arial" w:hAnsi="Arial" w:cs="Arial"/>
                <w:sz w:val="20"/>
              </w:rPr>
            </w:pPr>
          </w:p>
        </w:tc>
        <w:tc>
          <w:tcPr>
            <w:tcW w:w="3960" w:type="dxa"/>
          </w:tcPr>
          <w:p w14:paraId="247AFDEC"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1D6C13C3" w14:textId="77777777" w:rsidR="00193F4D" w:rsidRPr="009E07F2" w:rsidRDefault="00193F4D" w:rsidP="00C849B1">
            <w:pPr>
              <w:pStyle w:val="DefaultText"/>
              <w:jc w:val="center"/>
              <w:rPr>
                <w:rFonts w:ascii="Arial" w:hAnsi="Arial" w:cs="Arial"/>
                <w:sz w:val="20"/>
              </w:rPr>
            </w:pPr>
          </w:p>
        </w:tc>
        <w:tc>
          <w:tcPr>
            <w:tcW w:w="3690" w:type="dxa"/>
          </w:tcPr>
          <w:p w14:paraId="563EEF30"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52E3B49D" w14:textId="77777777" w:rsidTr="006B3298">
        <w:tc>
          <w:tcPr>
            <w:tcW w:w="810" w:type="dxa"/>
            <w:tcBorders>
              <w:top w:val="single" w:sz="4" w:space="0" w:color="auto"/>
            </w:tcBorders>
          </w:tcPr>
          <w:p w14:paraId="6BEC23CC" w14:textId="77777777" w:rsidR="00193F4D" w:rsidRPr="009E07F2" w:rsidRDefault="00193F4D" w:rsidP="00C849B1">
            <w:pPr>
              <w:pStyle w:val="DefaultText"/>
              <w:jc w:val="center"/>
              <w:rPr>
                <w:rFonts w:ascii="Arial" w:hAnsi="Arial" w:cs="Arial"/>
                <w:sz w:val="20"/>
              </w:rPr>
            </w:pPr>
          </w:p>
        </w:tc>
        <w:tc>
          <w:tcPr>
            <w:tcW w:w="3960" w:type="dxa"/>
          </w:tcPr>
          <w:p w14:paraId="5D262F9C"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1CFD6018" w14:textId="77777777" w:rsidR="00193F4D" w:rsidRPr="009E07F2" w:rsidRDefault="00193F4D" w:rsidP="00C849B1">
            <w:pPr>
              <w:pStyle w:val="DefaultText"/>
              <w:jc w:val="center"/>
              <w:rPr>
                <w:rFonts w:ascii="Arial" w:hAnsi="Arial" w:cs="Arial"/>
                <w:sz w:val="20"/>
              </w:rPr>
            </w:pPr>
          </w:p>
        </w:tc>
        <w:tc>
          <w:tcPr>
            <w:tcW w:w="3690" w:type="dxa"/>
          </w:tcPr>
          <w:p w14:paraId="3F5C4C30" w14:textId="77777777" w:rsidR="00193F4D" w:rsidRPr="009E07F2" w:rsidRDefault="00193F4D" w:rsidP="006B3298">
            <w:pPr>
              <w:pStyle w:val="DefaultText"/>
              <w:rPr>
                <w:rFonts w:ascii="Arial" w:hAnsi="Arial" w:cs="Arial"/>
                <w:sz w:val="20"/>
              </w:rPr>
            </w:pPr>
          </w:p>
        </w:tc>
      </w:tr>
      <w:tr w:rsidR="00193F4D" w:rsidRPr="009E07F2" w14:paraId="59527B15" w14:textId="77777777" w:rsidTr="006B3298">
        <w:tc>
          <w:tcPr>
            <w:tcW w:w="810" w:type="dxa"/>
            <w:tcBorders>
              <w:bottom w:val="single" w:sz="4" w:space="0" w:color="auto"/>
            </w:tcBorders>
          </w:tcPr>
          <w:p w14:paraId="0494C973" w14:textId="77777777" w:rsidR="00193F4D" w:rsidRPr="009E07F2" w:rsidRDefault="00193F4D" w:rsidP="00C849B1">
            <w:pPr>
              <w:pStyle w:val="DefaultText"/>
              <w:jc w:val="center"/>
              <w:rPr>
                <w:rFonts w:ascii="Arial" w:hAnsi="Arial" w:cs="Arial"/>
                <w:sz w:val="20"/>
              </w:rPr>
            </w:pPr>
          </w:p>
        </w:tc>
        <w:tc>
          <w:tcPr>
            <w:tcW w:w="3960" w:type="dxa"/>
          </w:tcPr>
          <w:p w14:paraId="5B00EF28"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4DE3BC14" w14:textId="77777777" w:rsidR="00193F4D" w:rsidRPr="009E07F2" w:rsidRDefault="00193F4D" w:rsidP="00C849B1">
            <w:pPr>
              <w:pStyle w:val="DefaultText"/>
              <w:jc w:val="center"/>
              <w:rPr>
                <w:rFonts w:ascii="Arial" w:hAnsi="Arial" w:cs="Arial"/>
                <w:sz w:val="20"/>
              </w:rPr>
            </w:pPr>
          </w:p>
        </w:tc>
        <w:tc>
          <w:tcPr>
            <w:tcW w:w="3690" w:type="dxa"/>
          </w:tcPr>
          <w:p w14:paraId="34B33058"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48A72F0D" w14:textId="77777777" w:rsidTr="006B3298">
        <w:tc>
          <w:tcPr>
            <w:tcW w:w="810" w:type="dxa"/>
            <w:tcBorders>
              <w:top w:val="single" w:sz="4" w:space="0" w:color="auto"/>
              <w:bottom w:val="single" w:sz="4" w:space="0" w:color="auto"/>
            </w:tcBorders>
          </w:tcPr>
          <w:p w14:paraId="4C48A9AC" w14:textId="77777777" w:rsidR="00193F4D" w:rsidRPr="009E07F2" w:rsidRDefault="00193F4D" w:rsidP="00C849B1">
            <w:pPr>
              <w:pStyle w:val="DefaultText"/>
              <w:jc w:val="center"/>
              <w:rPr>
                <w:rFonts w:ascii="Arial" w:hAnsi="Arial" w:cs="Arial"/>
                <w:sz w:val="20"/>
              </w:rPr>
            </w:pPr>
          </w:p>
        </w:tc>
        <w:tc>
          <w:tcPr>
            <w:tcW w:w="3960" w:type="dxa"/>
          </w:tcPr>
          <w:p w14:paraId="1AA20B8C"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55A1A817" w14:textId="77777777" w:rsidR="00193F4D" w:rsidRPr="009E07F2" w:rsidRDefault="00193F4D" w:rsidP="00C849B1">
            <w:pPr>
              <w:pStyle w:val="DefaultText"/>
              <w:jc w:val="center"/>
              <w:rPr>
                <w:rFonts w:ascii="Arial" w:hAnsi="Arial" w:cs="Arial"/>
                <w:sz w:val="20"/>
              </w:rPr>
            </w:pPr>
          </w:p>
        </w:tc>
        <w:tc>
          <w:tcPr>
            <w:tcW w:w="3690" w:type="dxa"/>
          </w:tcPr>
          <w:p w14:paraId="35BA56F8"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2F67A6D8" w14:textId="77777777" w:rsidTr="006B3298">
        <w:tc>
          <w:tcPr>
            <w:tcW w:w="810" w:type="dxa"/>
            <w:tcBorders>
              <w:top w:val="single" w:sz="4" w:space="0" w:color="auto"/>
              <w:bottom w:val="single" w:sz="4" w:space="0" w:color="auto"/>
            </w:tcBorders>
          </w:tcPr>
          <w:p w14:paraId="50C4E016" w14:textId="77777777" w:rsidR="00193F4D" w:rsidRPr="009E07F2" w:rsidRDefault="00B21625" w:rsidP="00C849B1">
            <w:pPr>
              <w:pStyle w:val="DefaultText"/>
              <w:jc w:val="center"/>
              <w:rPr>
                <w:rFonts w:ascii="Arial" w:hAnsi="Arial" w:cs="Arial"/>
                <w:sz w:val="20"/>
              </w:rPr>
            </w:pPr>
            <w:r>
              <w:rPr>
                <w:rFonts w:ascii="Arial" w:hAnsi="Arial" w:cs="Arial"/>
                <w:sz w:val="20"/>
              </w:rPr>
              <w:t>X</w:t>
            </w:r>
          </w:p>
        </w:tc>
        <w:tc>
          <w:tcPr>
            <w:tcW w:w="3960" w:type="dxa"/>
          </w:tcPr>
          <w:p w14:paraId="2BD5881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39D24A2C" w14:textId="77777777" w:rsidR="00193F4D" w:rsidRPr="009E07F2" w:rsidRDefault="00B21625" w:rsidP="00C849B1">
            <w:pPr>
              <w:pStyle w:val="DefaultText"/>
              <w:jc w:val="center"/>
              <w:rPr>
                <w:rFonts w:ascii="Arial" w:hAnsi="Arial" w:cs="Arial"/>
                <w:sz w:val="20"/>
              </w:rPr>
            </w:pPr>
            <w:r>
              <w:rPr>
                <w:rFonts w:ascii="Arial" w:hAnsi="Arial" w:cs="Arial"/>
                <w:sz w:val="20"/>
              </w:rPr>
              <w:t>X</w:t>
            </w:r>
          </w:p>
        </w:tc>
        <w:tc>
          <w:tcPr>
            <w:tcW w:w="3690" w:type="dxa"/>
          </w:tcPr>
          <w:p w14:paraId="53744AD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552F9551" w14:textId="77777777" w:rsidTr="006B3298">
        <w:tc>
          <w:tcPr>
            <w:tcW w:w="810" w:type="dxa"/>
            <w:tcBorders>
              <w:top w:val="single" w:sz="4" w:space="0" w:color="auto"/>
              <w:bottom w:val="single" w:sz="4" w:space="0" w:color="auto"/>
            </w:tcBorders>
          </w:tcPr>
          <w:p w14:paraId="367881AA" w14:textId="77777777" w:rsidR="00193F4D" w:rsidRPr="009E07F2" w:rsidRDefault="00193F4D" w:rsidP="00C849B1">
            <w:pPr>
              <w:pStyle w:val="DefaultText"/>
              <w:jc w:val="center"/>
              <w:rPr>
                <w:rFonts w:ascii="Arial" w:hAnsi="Arial" w:cs="Arial"/>
                <w:sz w:val="20"/>
              </w:rPr>
            </w:pPr>
          </w:p>
        </w:tc>
        <w:tc>
          <w:tcPr>
            <w:tcW w:w="3960" w:type="dxa"/>
          </w:tcPr>
          <w:p w14:paraId="48131E64"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2081AEAF" w14:textId="77777777" w:rsidR="00193F4D" w:rsidRPr="009E07F2" w:rsidRDefault="00193F4D" w:rsidP="00C849B1">
            <w:pPr>
              <w:pStyle w:val="DefaultText"/>
              <w:jc w:val="center"/>
              <w:rPr>
                <w:rFonts w:ascii="Arial" w:hAnsi="Arial" w:cs="Arial"/>
                <w:sz w:val="20"/>
              </w:rPr>
            </w:pPr>
          </w:p>
        </w:tc>
        <w:tc>
          <w:tcPr>
            <w:tcW w:w="3690" w:type="dxa"/>
          </w:tcPr>
          <w:p w14:paraId="2A172693"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3F204BC6" w14:textId="77777777" w:rsidTr="006B3298">
        <w:tc>
          <w:tcPr>
            <w:tcW w:w="810" w:type="dxa"/>
            <w:tcBorders>
              <w:top w:val="single" w:sz="4" w:space="0" w:color="auto"/>
              <w:bottom w:val="single" w:sz="4" w:space="0" w:color="auto"/>
            </w:tcBorders>
          </w:tcPr>
          <w:p w14:paraId="1D801BF2" w14:textId="77777777" w:rsidR="00193F4D" w:rsidRPr="009E07F2" w:rsidRDefault="00193F4D" w:rsidP="00C849B1">
            <w:pPr>
              <w:pStyle w:val="DefaultText"/>
              <w:jc w:val="center"/>
              <w:rPr>
                <w:rFonts w:ascii="Arial" w:hAnsi="Arial" w:cs="Arial"/>
                <w:sz w:val="20"/>
              </w:rPr>
            </w:pPr>
          </w:p>
        </w:tc>
        <w:tc>
          <w:tcPr>
            <w:tcW w:w="3960" w:type="dxa"/>
          </w:tcPr>
          <w:p w14:paraId="56BCCC62"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23F9B1A8" w14:textId="77777777" w:rsidR="00193F4D" w:rsidRPr="009E07F2" w:rsidRDefault="00193F4D" w:rsidP="00C849B1">
            <w:pPr>
              <w:pStyle w:val="DefaultText"/>
              <w:jc w:val="center"/>
              <w:rPr>
                <w:rFonts w:ascii="Arial" w:hAnsi="Arial" w:cs="Arial"/>
                <w:sz w:val="20"/>
              </w:rPr>
            </w:pPr>
          </w:p>
        </w:tc>
        <w:tc>
          <w:tcPr>
            <w:tcW w:w="3690" w:type="dxa"/>
          </w:tcPr>
          <w:p w14:paraId="3D213CA5"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73F3B923" w14:textId="77777777" w:rsidTr="006B3298">
        <w:tc>
          <w:tcPr>
            <w:tcW w:w="810" w:type="dxa"/>
            <w:tcBorders>
              <w:top w:val="single" w:sz="4" w:space="0" w:color="auto"/>
              <w:bottom w:val="single" w:sz="4" w:space="0" w:color="auto"/>
            </w:tcBorders>
          </w:tcPr>
          <w:p w14:paraId="5507CFDB" w14:textId="77777777" w:rsidR="00193F4D" w:rsidRPr="009E07F2" w:rsidRDefault="00193F4D" w:rsidP="00C849B1">
            <w:pPr>
              <w:pStyle w:val="DefaultText"/>
              <w:jc w:val="center"/>
              <w:rPr>
                <w:rFonts w:ascii="Arial" w:hAnsi="Arial" w:cs="Arial"/>
                <w:sz w:val="20"/>
              </w:rPr>
            </w:pPr>
          </w:p>
        </w:tc>
        <w:tc>
          <w:tcPr>
            <w:tcW w:w="3960" w:type="dxa"/>
          </w:tcPr>
          <w:p w14:paraId="27BDF81A"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3DE3B45E" w14:textId="77777777" w:rsidR="00193F4D" w:rsidRPr="009E07F2" w:rsidRDefault="00193F4D" w:rsidP="00C849B1">
            <w:pPr>
              <w:pStyle w:val="DefaultText"/>
              <w:jc w:val="center"/>
              <w:rPr>
                <w:rFonts w:ascii="Arial" w:hAnsi="Arial" w:cs="Arial"/>
                <w:sz w:val="20"/>
              </w:rPr>
            </w:pPr>
          </w:p>
        </w:tc>
        <w:tc>
          <w:tcPr>
            <w:tcW w:w="3690" w:type="dxa"/>
          </w:tcPr>
          <w:p w14:paraId="638B5975"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76A037A1" w14:textId="77777777" w:rsidTr="006B3298">
        <w:tc>
          <w:tcPr>
            <w:tcW w:w="810" w:type="dxa"/>
            <w:tcBorders>
              <w:top w:val="single" w:sz="4" w:space="0" w:color="auto"/>
              <w:bottom w:val="single" w:sz="4" w:space="0" w:color="auto"/>
            </w:tcBorders>
          </w:tcPr>
          <w:p w14:paraId="68127989" w14:textId="77777777" w:rsidR="00193F4D" w:rsidRPr="009E07F2" w:rsidRDefault="00193F4D" w:rsidP="00C849B1">
            <w:pPr>
              <w:pStyle w:val="DefaultText"/>
              <w:jc w:val="center"/>
              <w:rPr>
                <w:rFonts w:ascii="Arial" w:hAnsi="Arial" w:cs="Arial"/>
                <w:sz w:val="20"/>
              </w:rPr>
            </w:pPr>
          </w:p>
        </w:tc>
        <w:tc>
          <w:tcPr>
            <w:tcW w:w="3960" w:type="dxa"/>
          </w:tcPr>
          <w:p w14:paraId="27CD667F"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0DE1D4EE" w14:textId="77777777" w:rsidR="00193F4D" w:rsidRPr="009E07F2" w:rsidRDefault="00193F4D" w:rsidP="00C849B1">
            <w:pPr>
              <w:pStyle w:val="DefaultText"/>
              <w:jc w:val="center"/>
              <w:rPr>
                <w:rFonts w:ascii="Arial" w:hAnsi="Arial" w:cs="Arial"/>
                <w:sz w:val="20"/>
              </w:rPr>
            </w:pPr>
          </w:p>
        </w:tc>
        <w:tc>
          <w:tcPr>
            <w:tcW w:w="3690" w:type="dxa"/>
          </w:tcPr>
          <w:p w14:paraId="2BB26A2E"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5601C3A3" w14:textId="77777777" w:rsidTr="006B3298">
        <w:tc>
          <w:tcPr>
            <w:tcW w:w="810" w:type="dxa"/>
            <w:tcBorders>
              <w:top w:val="single" w:sz="4" w:space="0" w:color="auto"/>
              <w:bottom w:val="single" w:sz="4" w:space="0" w:color="auto"/>
            </w:tcBorders>
          </w:tcPr>
          <w:p w14:paraId="7B832248" w14:textId="77777777" w:rsidR="00193F4D" w:rsidRPr="009E07F2" w:rsidRDefault="00193F4D" w:rsidP="00C849B1">
            <w:pPr>
              <w:pStyle w:val="DefaultText"/>
              <w:jc w:val="center"/>
              <w:rPr>
                <w:rFonts w:ascii="Arial" w:hAnsi="Arial" w:cs="Arial"/>
                <w:sz w:val="20"/>
              </w:rPr>
            </w:pPr>
          </w:p>
        </w:tc>
        <w:tc>
          <w:tcPr>
            <w:tcW w:w="3960" w:type="dxa"/>
          </w:tcPr>
          <w:p w14:paraId="70C71BAA"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217D3E2C" w14:textId="77777777" w:rsidR="00193F4D" w:rsidRPr="009E07F2" w:rsidRDefault="00193F4D" w:rsidP="00C849B1">
            <w:pPr>
              <w:pStyle w:val="DefaultText"/>
              <w:jc w:val="center"/>
              <w:rPr>
                <w:rFonts w:ascii="Arial" w:hAnsi="Arial" w:cs="Arial"/>
                <w:sz w:val="20"/>
              </w:rPr>
            </w:pPr>
          </w:p>
        </w:tc>
        <w:tc>
          <w:tcPr>
            <w:tcW w:w="3690" w:type="dxa"/>
          </w:tcPr>
          <w:p w14:paraId="5CC6E9B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1CBB2519" w14:textId="77777777" w:rsidR="00DB3043" w:rsidRPr="009E07F2" w:rsidRDefault="00DB3043" w:rsidP="00A506CF">
      <w:pPr>
        <w:pStyle w:val="DefaultText"/>
        <w:spacing w:before="120"/>
        <w:rPr>
          <w:rFonts w:ascii="Arial" w:hAnsi="Arial" w:cs="Arial"/>
          <w:sz w:val="20"/>
        </w:rPr>
      </w:pPr>
    </w:p>
    <w:p w14:paraId="528B049A" w14:textId="77777777"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3A3C5D97" w14:textId="77777777" w:rsidR="00DB3043" w:rsidRPr="009E07F2" w:rsidRDefault="00DB3043" w:rsidP="00A506CF">
      <w:pPr>
        <w:pStyle w:val="DefaultText"/>
        <w:spacing w:before="120"/>
        <w:rPr>
          <w:rFonts w:ascii="Arial" w:hAnsi="Arial" w:cs="Arial"/>
          <w:sz w:val="20"/>
        </w:rPr>
      </w:pPr>
    </w:p>
    <w:p w14:paraId="38DF34EF" w14:textId="77777777" w:rsidR="00DB3043"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14:paraId="1AA3E1D6" w14:textId="77777777" w:rsidR="00FF6DB6" w:rsidRDefault="00FF6DB6" w:rsidP="00FF6DB6">
      <w:pPr>
        <w:pStyle w:val="DefaultText"/>
        <w:spacing w:before="120"/>
        <w:jc w:val="both"/>
        <w:rPr>
          <w:szCs w:val="24"/>
        </w:rPr>
      </w:pPr>
      <w:r>
        <w:rPr>
          <w:szCs w:val="24"/>
        </w:rPr>
        <w:t>This recommendation incorporates changes to the</w:t>
      </w:r>
      <w:r w:rsidRPr="00B21625">
        <w:rPr>
          <w:szCs w:val="24"/>
        </w:rPr>
        <w:t xml:space="preserve"> </w:t>
      </w:r>
      <w:r>
        <w:rPr>
          <w:szCs w:val="24"/>
        </w:rPr>
        <w:t>WGQ Business Practice Standards</w:t>
      </w:r>
      <w:r w:rsidRPr="00B21625">
        <w:rPr>
          <w:szCs w:val="24"/>
        </w:rPr>
        <w:t xml:space="preserve"> </w:t>
      </w:r>
      <w:r>
        <w:rPr>
          <w:szCs w:val="24"/>
        </w:rPr>
        <w:t xml:space="preserve">as recommended by the Board Critical Infrastructure Committee based on the findings reported by Sandia National Laboratories as part of the 2019 surety assessment.  </w:t>
      </w:r>
    </w:p>
    <w:p w14:paraId="1C1B7C73" w14:textId="77777777" w:rsidR="00FF6DB6" w:rsidRPr="003F2490" w:rsidRDefault="00FF6DB6" w:rsidP="00FF6DB6">
      <w:pPr>
        <w:pStyle w:val="DefaultText"/>
        <w:spacing w:before="120"/>
        <w:jc w:val="both"/>
        <w:rPr>
          <w:bCs/>
          <w:szCs w:val="24"/>
        </w:rPr>
      </w:pPr>
      <w:r>
        <w:rPr>
          <w:szCs w:val="24"/>
        </w:rPr>
        <w:t xml:space="preserve">The Wholesale Gas Quadrant (WGQ) Electronic Delivery Mechanisms (EDM) Subcommittee </w:t>
      </w:r>
      <w:r w:rsidRPr="00B21625">
        <w:rPr>
          <w:szCs w:val="24"/>
        </w:rPr>
        <w:t xml:space="preserve">held joint meetings </w:t>
      </w:r>
      <w:r>
        <w:rPr>
          <w:szCs w:val="24"/>
        </w:rPr>
        <w:t xml:space="preserve">with the RMQ </w:t>
      </w:r>
      <w:r w:rsidRPr="00B21625">
        <w:rPr>
          <w:szCs w:val="24"/>
        </w:rPr>
        <w:t xml:space="preserve">Information Requirements </w:t>
      </w:r>
      <w:r>
        <w:rPr>
          <w:szCs w:val="24"/>
        </w:rPr>
        <w:t xml:space="preserve">and </w:t>
      </w:r>
      <w:r w:rsidRPr="00B21625">
        <w:rPr>
          <w:szCs w:val="24"/>
        </w:rPr>
        <w:t xml:space="preserve">Technical Electronic Implementation Subcommittee (IR/TEIS) </w:t>
      </w:r>
      <w:r>
        <w:rPr>
          <w:szCs w:val="24"/>
        </w:rPr>
        <w:t>to address 2019 WGQ</w:t>
      </w:r>
      <w:r w:rsidRPr="00B21625">
        <w:rPr>
          <w:szCs w:val="24"/>
        </w:rPr>
        <w:t xml:space="preserve"> Annual Plan Items 6.a</w:t>
      </w:r>
      <w:r>
        <w:rPr>
          <w:szCs w:val="24"/>
        </w:rPr>
        <w:t xml:space="preserve"> and 6.b and the identical 2019 RMQ Annual Plan Items 6.a and 6.b</w:t>
      </w:r>
      <w:r>
        <w:rPr>
          <w:bCs/>
          <w:szCs w:val="24"/>
        </w:rPr>
        <w:t xml:space="preserve">.  This recommendation contains </w:t>
      </w:r>
      <w:r>
        <w:rPr>
          <w:bCs/>
          <w:szCs w:val="24"/>
        </w:rPr>
        <w:lastRenderedPageBreak/>
        <w:t xml:space="preserve">modifications to </w:t>
      </w:r>
      <w:r>
        <w:t>Quadrant Electronic Delivery Mechanism Related Standards Manual (QEDM) and the NAESB WGQ/REQ/RGQ Internet Electronic Transport (IET).</w:t>
      </w:r>
    </w:p>
    <w:p w14:paraId="48517567" w14:textId="658219F9" w:rsidR="00A506CF" w:rsidRPr="00B21625" w:rsidRDefault="00A506CF" w:rsidP="00A506CF">
      <w:pPr>
        <w:pStyle w:val="DefaultText"/>
        <w:spacing w:before="120"/>
        <w:rPr>
          <w:bCs/>
          <w:szCs w:val="24"/>
        </w:rPr>
      </w:pPr>
    </w:p>
    <w:p w14:paraId="7811BC2B" w14:textId="77777777"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0235B261" w14:textId="77777777" w:rsidR="00FF6DB6" w:rsidRPr="008A1A44" w:rsidRDefault="00FF6DB6" w:rsidP="00FF6DB6">
      <w:pPr>
        <w:spacing w:before="120"/>
        <w:rPr>
          <w:rFonts w:eastAsiaTheme="minorHAnsi" w:cstheme="minorBidi"/>
          <w:sz w:val="24"/>
          <w:szCs w:val="24"/>
        </w:rPr>
      </w:pPr>
      <w:r w:rsidRPr="000A754E">
        <w:rPr>
          <w:rFonts w:eastAsiaTheme="minorHAnsi" w:cstheme="minorBidi"/>
          <w:sz w:val="24"/>
          <w:szCs w:val="21"/>
        </w:rPr>
        <w:t>S</w:t>
      </w:r>
      <w:r w:rsidRPr="008A1A44">
        <w:rPr>
          <w:rFonts w:eastAsiaTheme="minorHAnsi" w:cstheme="minorBidi"/>
          <w:sz w:val="24"/>
          <w:szCs w:val="24"/>
        </w:rPr>
        <w:t xml:space="preserve">ee Attachments: </w:t>
      </w:r>
    </w:p>
    <w:p w14:paraId="6108F686" w14:textId="02F1A482" w:rsidR="00FF6DB6" w:rsidRPr="008A1A44" w:rsidRDefault="00FF6DB6" w:rsidP="00FF6DB6">
      <w:pPr>
        <w:spacing w:before="120"/>
        <w:rPr>
          <w:rFonts w:eastAsiaTheme="minorHAnsi" w:cstheme="minorBidi"/>
          <w:sz w:val="24"/>
          <w:szCs w:val="24"/>
        </w:rPr>
      </w:pPr>
      <w:r w:rsidRPr="008A1A44">
        <w:rPr>
          <w:rFonts w:eastAsiaTheme="minorHAnsi" w:cstheme="minorBidi"/>
          <w:sz w:val="24"/>
          <w:szCs w:val="24"/>
        </w:rPr>
        <w:t xml:space="preserve">Attachment 1: </w:t>
      </w:r>
      <w:r w:rsidR="0086417E" w:rsidRPr="008A1A44">
        <w:rPr>
          <w:rFonts w:eastAsiaTheme="minorHAnsi" w:cstheme="minorBidi"/>
          <w:sz w:val="24"/>
          <w:szCs w:val="24"/>
        </w:rPr>
        <w:t xml:space="preserve">List of Proposed Standards and Documents Changes </w:t>
      </w:r>
      <w:hyperlink r:id="rId7" w:history="1">
        <w:r w:rsidR="008A1A44" w:rsidRPr="008A1A44">
          <w:rPr>
            <w:rStyle w:val="Hyperlink"/>
            <w:sz w:val="24"/>
            <w:szCs w:val="24"/>
          </w:rPr>
          <w:t>https://www.naesb.org/member_login_check.asp?doc=wgq_2019_api_6a-6b_rec_attach1.docx</w:t>
        </w:r>
      </w:hyperlink>
      <w:r w:rsidR="008A1A44" w:rsidRPr="008A1A44">
        <w:rPr>
          <w:sz w:val="24"/>
          <w:szCs w:val="24"/>
        </w:rPr>
        <w:t xml:space="preserve">. </w:t>
      </w:r>
    </w:p>
    <w:p w14:paraId="6B6B4A75" w14:textId="7C023952" w:rsidR="0086417E" w:rsidRPr="008A1A44" w:rsidRDefault="00FF6DB6" w:rsidP="0086417E">
      <w:pPr>
        <w:spacing w:before="120"/>
        <w:rPr>
          <w:rFonts w:eastAsiaTheme="minorHAnsi" w:cstheme="minorBidi"/>
          <w:sz w:val="24"/>
          <w:szCs w:val="24"/>
        </w:rPr>
      </w:pPr>
      <w:r w:rsidRPr="008A1A44">
        <w:rPr>
          <w:rFonts w:eastAsiaTheme="minorHAnsi" w:cstheme="minorBidi"/>
          <w:sz w:val="24"/>
          <w:szCs w:val="24"/>
        </w:rPr>
        <w:t xml:space="preserve">Attachment 2: </w:t>
      </w:r>
      <w:r w:rsidR="0086417E" w:rsidRPr="008A1A44">
        <w:rPr>
          <w:rFonts w:eastAsiaTheme="minorHAnsi" w:cstheme="minorBidi"/>
          <w:sz w:val="24"/>
          <w:szCs w:val="24"/>
        </w:rPr>
        <w:t>Proposed Changes to Appendices of the WGQ QEDM</w:t>
      </w:r>
    </w:p>
    <w:p w14:paraId="7D7B5B63" w14:textId="0CD56CF6" w:rsidR="0086417E" w:rsidRPr="008A1A44" w:rsidRDefault="00CF3213" w:rsidP="0086417E">
      <w:pPr>
        <w:spacing w:before="120"/>
        <w:rPr>
          <w:rFonts w:eastAsiaTheme="minorHAnsi" w:cstheme="minorBidi"/>
          <w:sz w:val="24"/>
          <w:szCs w:val="24"/>
        </w:rPr>
      </w:pPr>
      <w:hyperlink r:id="rId8" w:history="1">
        <w:r w:rsidR="008A1A44" w:rsidRPr="008A1A44">
          <w:rPr>
            <w:rStyle w:val="Hyperlink"/>
            <w:sz w:val="24"/>
            <w:szCs w:val="24"/>
          </w:rPr>
          <w:t>https://www.naesb.org/member_login_check.asp?doc=wgq_2019_api_6a-6b_rec_attach2.docx</w:t>
        </w:r>
      </w:hyperlink>
      <w:r w:rsidR="008A1A44" w:rsidRPr="008A1A44">
        <w:rPr>
          <w:sz w:val="24"/>
          <w:szCs w:val="24"/>
        </w:rPr>
        <w:t xml:space="preserve">. </w:t>
      </w:r>
    </w:p>
    <w:p w14:paraId="41FF4827" w14:textId="50EA33CE" w:rsidR="0086417E" w:rsidRPr="008A1A44" w:rsidRDefault="0086417E" w:rsidP="0086417E">
      <w:pPr>
        <w:spacing w:before="120"/>
        <w:rPr>
          <w:rFonts w:eastAsiaTheme="minorHAnsi" w:cstheme="minorBidi"/>
          <w:sz w:val="24"/>
          <w:szCs w:val="24"/>
        </w:rPr>
      </w:pPr>
      <w:r w:rsidRPr="008A1A44">
        <w:rPr>
          <w:rFonts w:eastAsiaTheme="minorHAnsi" w:cstheme="minorBidi"/>
          <w:sz w:val="24"/>
          <w:szCs w:val="24"/>
        </w:rPr>
        <w:t>Attachment 3: Proposed Changes to Appendices of the IET</w:t>
      </w:r>
    </w:p>
    <w:p w14:paraId="6660D28D" w14:textId="77777777" w:rsidR="008A1A44" w:rsidRPr="008A1A44" w:rsidRDefault="00CF3213" w:rsidP="008A1A44">
      <w:pPr>
        <w:rPr>
          <w:sz w:val="24"/>
          <w:szCs w:val="24"/>
        </w:rPr>
      </w:pPr>
      <w:hyperlink r:id="rId9" w:history="1">
        <w:r w:rsidR="008A1A44" w:rsidRPr="008A1A44">
          <w:rPr>
            <w:rStyle w:val="Hyperlink"/>
            <w:sz w:val="24"/>
            <w:szCs w:val="24"/>
          </w:rPr>
          <w:t>https://www.naesb.org/member_login_check.asp?doc=wgq_2019_api_6a-6b_rec_attach3.docx</w:t>
        </w:r>
      </w:hyperlink>
    </w:p>
    <w:p w14:paraId="2ED8D2A6" w14:textId="6F63E54E" w:rsidR="0086417E" w:rsidRDefault="0086417E" w:rsidP="0086417E">
      <w:pPr>
        <w:spacing w:before="120"/>
        <w:rPr>
          <w:rFonts w:eastAsiaTheme="minorHAnsi"/>
          <w:sz w:val="24"/>
          <w:szCs w:val="24"/>
        </w:rPr>
      </w:pPr>
    </w:p>
    <w:p w14:paraId="1287A4E3" w14:textId="77777777" w:rsidR="0086417E" w:rsidRPr="0086417E" w:rsidRDefault="0086417E" w:rsidP="0086417E">
      <w:pPr>
        <w:spacing w:before="120"/>
        <w:rPr>
          <w:rFonts w:eastAsiaTheme="minorHAnsi"/>
          <w:sz w:val="24"/>
          <w:szCs w:val="24"/>
        </w:rPr>
      </w:pPr>
    </w:p>
    <w:p w14:paraId="0CC3AE0C" w14:textId="77777777"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14:paraId="49F8B563" w14:textId="77777777" w:rsidR="00DB3043" w:rsidRPr="009E07F2" w:rsidRDefault="00DB3043" w:rsidP="00A506CF">
      <w:pPr>
        <w:pStyle w:val="DefaultText"/>
        <w:spacing w:before="120"/>
        <w:rPr>
          <w:rFonts w:ascii="Arial" w:hAnsi="Arial" w:cs="Arial"/>
          <w:sz w:val="20"/>
        </w:rPr>
      </w:pPr>
    </w:p>
    <w:p w14:paraId="65536530" w14:textId="77777777" w:rsidR="00DB3043" w:rsidRPr="00273ACC" w:rsidRDefault="00DB3043" w:rsidP="00273ACC">
      <w:pPr>
        <w:pStyle w:val="ListParagraph"/>
        <w:numPr>
          <w:ilvl w:val="0"/>
          <w:numId w:val="7"/>
        </w:numPr>
        <w:tabs>
          <w:tab w:val="left" w:pos="1080"/>
        </w:tabs>
        <w:spacing w:before="120"/>
        <w:contextualSpacing w:val="0"/>
        <w:rPr>
          <w:rFonts w:ascii="Arial" w:hAnsi="Arial" w:cs="Arial"/>
          <w:b/>
        </w:rPr>
      </w:pPr>
      <w:r w:rsidRPr="00273ACC">
        <w:rPr>
          <w:rFonts w:ascii="Arial" w:hAnsi="Arial" w:cs="Arial"/>
          <w:b/>
        </w:rPr>
        <w:t>Description of Request:</w:t>
      </w:r>
    </w:p>
    <w:p w14:paraId="3C5960F8" w14:textId="77777777" w:rsidR="00FF6DB6" w:rsidRPr="003F2490" w:rsidRDefault="00FF6DB6" w:rsidP="00FF6DB6">
      <w:pPr>
        <w:autoSpaceDE w:val="0"/>
        <w:autoSpaceDN w:val="0"/>
        <w:adjustRightInd w:val="0"/>
        <w:spacing w:before="120"/>
        <w:ind w:left="4320" w:hanging="4230"/>
        <w:jc w:val="both"/>
        <w:rPr>
          <w:sz w:val="24"/>
          <w:szCs w:val="24"/>
        </w:rPr>
      </w:pPr>
      <w:r w:rsidRPr="003F2490">
        <w:rPr>
          <w:sz w:val="24"/>
          <w:szCs w:val="24"/>
        </w:rPr>
        <w:t>The full text of 2019 WGQ Annual Plan Items 6.a and 6.b:</w:t>
      </w:r>
    </w:p>
    <w:p w14:paraId="4BE9D865" w14:textId="77777777" w:rsidR="00FF6DB6" w:rsidRPr="003F2490" w:rsidRDefault="00FF6DB6" w:rsidP="00FF6DB6">
      <w:pPr>
        <w:autoSpaceDE w:val="0"/>
        <w:autoSpaceDN w:val="0"/>
        <w:adjustRightInd w:val="0"/>
        <w:spacing w:before="120"/>
        <w:ind w:left="4320" w:hanging="4230"/>
        <w:jc w:val="both"/>
        <w:rPr>
          <w:sz w:val="24"/>
          <w:szCs w:val="24"/>
        </w:rPr>
      </w:pPr>
    </w:p>
    <w:tbl>
      <w:tblPr>
        <w:tblW w:w="9354" w:type="dxa"/>
        <w:tblInd w:w="23" w:type="dxa"/>
        <w:tblLayout w:type="fixed"/>
        <w:tblCellMar>
          <w:left w:w="17" w:type="dxa"/>
          <w:right w:w="17" w:type="dxa"/>
        </w:tblCellMar>
        <w:tblLook w:val="0000" w:firstRow="0" w:lastRow="0" w:firstColumn="0" w:lastColumn="0" w:noHBand="0" w:noVBand="0"/>
      </w:tblPr>
      <w:tblGrid>
        <w:gridCol w:w="5143"/>
        <w:gridCol w:w="1367"/>
        <w:gridCol w:w="2844"/>
      </w:tblGrid>
      <w:tr w:rsidR="00FF6DB6" w:rsidRPr="003F2490" w14:paraId="01B5435E" w14:textId="77777777" w:rsidTr="000D0F7C">
        <w:trPr>
          <w:trHeight w:val="324"/>
        </w:trPr>
        <w:tc>
          <w:tcPr>
            <w:tcW w:w="9354" w:type="dxa"/>
            <w:gridSpan w:val="3"/>
          </w:tcPr>
          <w:p w14:paraId="651F6D69" w14:textId="77777777" w:rsidR="00FF6DB6" w:rsidRPr="003F2490" w:rsidRDefault="00FF6DB6" w:rsidP="000D0F7C">
            <w:pPr>
              <w:spacing w:before="40" w:after="40"/>
              <w:ind w:left="318" w:hanging="180"/>
              <w:rPr>
                <w:b/>
                <w:sz w:val="24"/>
                <w:szCs w:val="24"/>
                <w:highlight w:val="yellow"/>
              </w:rPr>
            </w:pPr>
            <w:r w:rsidRPr="003F2490">
              <w:rPr>
                <w:b/>
                <w:sz w:val="24"/>
                <w:szCs w:val="24"/>
              </w:rPr>
              <w:t>6.  Develop and/or modify the NAESB Business Practice Standards if needed to address any recommendations resulting from the surety assessment performed by Sandia National Laboratories</w:t>
            </w:r>
          </w:p>
        </w:tc>
      </w:tr>
      <w:tr w:rsidR="00FF6DB6" w:rsidRPr="003F2490" w14:paraId="16F99771" w14:textId="77777777" w:rsidTr="000D0F7C">
        <w:trPr>
          <w:trHeight w:val="792"/>
        </w:trPr>
        <w:tc>
          <w:tcPr>
            <w:tcW w:w="5143" w:type="dxa"/>
          </w:tcPr>
          <w:p w14:paraId="21E6280B" w14:textId="77777777" w:rsidR="00FF6DB6" w:rsidRPr="003F2490" w:rsidRDefault="00FF6DB6" w:rsidP="000D0F7C">
            <w:pPr>
              <w:tabs>
                <w:tab w:val="num" w:pos="433"/>
              </w:tabs>
              <w:spacing w:before="40" w:after="40"/>
              <w:ind w:left="172"/>
              <w:rPr>
                <w:color w:val="000000"/>
                <w:sz w:val="24"/>
                <w:szCs w:val="24"/>
              </w:rPr>
            </w:pPr>
            <w:r w:rsidRPr="003F2490">
              <w:rPr>
                <w:color w:val="000000"/>
                <w:sz w:val="24"/>
                <w:szCs w:val="24"/>
              </w:rPr>
              <w:t>Review the surety assessment performed by Sandia National Laboratories and determine if standard changes are necessary.</w:t>
            </w:r>
          </w:p>
          <w:p w14:paraId="159AFF00" w14:textId="77777777" w:rsidR="00FF6DB6" w:rsidRPr="003F2490" w:rsidDel="008506E1" w:rsidRDefault="00FF6DB6" w:rsidP="000D0F7C">
            <w:pPr>
              <w:tabs>
                <w:tab w:val="num" w:pos="433"/>
              </w:tabs>
              <w:spacing w:before="40" w:after="40"/>
              <w:ind w:left="172"/>
              <w:rPr>
                <w:color w:val="000000"/>
                <w:sz w:val="24"/>
                <w:szCs w:val="24"/>
              </w:rPr>
            </w:pPr>
            <w:r w:rsidRPr="003F2490">
              <w:rPr>
                <w:color w:val="000000"/>
                <w:sz w:val="24"/>
                <w:szCs w:val="24"/>
              </w:rPr>
              <w:t>Status: Started</w:t>
            </w:r>
          </w:p>
        </w:tc>
        <w:tc>
          <w:tcPr>
            <w:tcW w:w="1367" w:type="dxa"/>
          </w:tcPr>
          <w:p w14:paraId="763554AD" w14:textId="77777777" w:rsidR="00FF6DB6" w:rsidRPr="003F2490" w:rsidDel="008506E1" w:rsidRDefault="00FF6DB6" w:rsidP="000D0F7C">
            <w:pPr>
              <w:spacing w:before="40" w:after="40"/>
              <w:ind w:left="144"/>
              <w:jc w:val="center"/>
              <w:rPr>
                <w:color w:val="000000"/>
                <w:sz w:val="24"/>
                <w:szCs w:val="24"/>
              </w:rPr>
            </w:pPr>
            <w:r w:rsidRPr="003F2490">
              <w:rPr>
                <w:color w:val="000000"/>
                <w:sz w:val="24"/>
                <w:szCs w:val="24"/>
              </w:rPr>
              <w:t>4</w:t>
            </w:r>
            <w:r w:rsidRPr="003F2490">
              <w:rPr>
                <w:color w:val="000000"/>
                <w:sz w:val="24"/>
                <w:szCs w:val="24"/>
                <w:vertAlign w:val="superscript"/>
              </w:rPr>
              <w:t>th</w:t>
            </w:r>
            <w:r w:rsidRPr="003F2490">
              <w:rPr>
                <w:color w:val="000000"/>
                <w:sz w:val="24"/>
                <w:szCs w:val="24"/>
              </w:rPr>
              <w:t xml:space="preserve"> Q, 2019</w:t>
            </w:r>
          </w:p>
        </w:tc>
        <w:tc>
          <w:tcPr>
            <w:tcW w:w="2844" w:type="dxa"/>
          </w:tcPr>
          <w:p w14:paraId="76FE5B18" w14:textId="77777777" w:rsidR="00FF6DB6" w:rsidRPr="003F2490" w:rsidRDefault="00FF6DB6" w:rsidP="000D0F7C">
            <w:pPr>
              <w:spacing w:before="40" w:after="40"/>
              <w:ind w:left="144"/>
              <w:rPr>
                <w:sz w:val="24"/>
                <w:szCs w:val="24"/>
              </w:rPr>
            </w:pPr>
            <w:r w:rsidRPr="003F2490">
              <w:rPr>
                <w:sz w:val="24"/>
                <w:szCs w:val="24"/>
              </w:rPr>
              <w:t xml:space="preserve"> Joint WGQ EDM and RMQ IR/TEIS</w:t>
            </w:r>
          </w:p>
        </w:tc>
      </w:tr>
      <w:tr w:rsidR="00FF6DB6" w:rsidRPr="003F2490" w14:paraId="591CF99C" w14:textId="77777777" w:rsidTr="000D0F7C">
        <w:trPr>
          <w:trHeight w:val="792"/>
        </w:trPr>
        <w:tc>
          <w:tcPr>
            <w:tcW w:w="5143" w:type="dxa"/>
          </w:tcPr>
          <w:p w14:paraId="003376F0" w14:textId="77777777" w:rsidR="00FF6DB6" w:rsidRPr="003F2490" w:rsidRDefault="00FF6DB6" w:rsidP="000D0F7C">
            <w:pPr>
              <w:tabs>
                <w:tab w:val="num" w:pos="433"/>
              </w:tabs>
              <w:spacing w:before="40" w:after="40"/>
              <w:ind w:left="172"/>
              <w:rPr>
                <w:color w:val="000000"/>
                <w:sz w:val="24"/>
                <w:szCs w:val="24"/>
              </w:rPr>
            </w:pPr>
            <w:r w:rsidRPr="003F2490">
              <w:rPr>
                <w:color w:val="000000"/>
                <w:sz w:val="24"/>
                <w:szCs w:val="24"/>
              </w:rPr>
              <w:t xml:space="preserve">Develop and/or modify the NAESB Business Practice Standards as needed to address Security Issues identified by Sandia National Laboratories </w:t>
            </w:r>
          </w:p>
          <w:p w14:paraId="51668118" w14:textId="77777777" w:rsidR="00FF6DB6" w:rsidRPr="003F2490" w:rsidRDefault="00FF6DB6" w:rsidP="000D0F7C">
            <w:pPr>
              <w:tabs>
                <w:tab w:val="num" w:pos="433"/>
              </w:tabs>
              <w:spacing w:before="40" w:after="40"/>
              <w:ind w:left="172"/>
              <w:rPr>
                <w:color w:val="000000"/>
                <w:sz w:val="24"/>
                <w:szCs w:val="24"/>
              </w:rPr>
            </w:pPr>
            <w:r w:rsidRPr="003F2490">
              <w:rPr>
                <w:color w:val="000000"/>
                <w:sz w:val="24"/>
                <w:szCs w:val="24"/>
              </w:rPr>
              <w:t>Status: Started</w:t>
            </w:r>
          </w:p>
        </w:tc>
        <w:tc>
          <w:tcPr>
            <w:tcW w:w="1367" w:type="dxa"/>
          </w:tcPr>
          <w:p w14:paraId="6473607E" w14:textId="77777777" w:rsidR="00FF6DB6" w:rsidRPr="003F2490" w:rsidDel="008506E1" w:rsidRDefault="00FF6DB6" w:rsidP="000D0F7C">
            <w:pPr>
              <w:spacing w:before="40" w:after="40"/>
              <w:ind w:left="144"/>
              <w:jc w:val="center"/>
              <w:rPr>
                <w:color w:val="000000"/>
                <w:sz w:val="24"/>
                <w:szCs w:val="24"/>
              </w:rPr>
            </w:pPr>
            <w:r w:rsidRPr="003F2490">
              <w:rPr>
                <w:color w:val="000000"/>
                <w:sz w:val="24"/>
                <w:szCs w:val="24"/>
              </w:rPr>
              <w:t>4</w:t>
            </w:r>
            <w:r w:rsidRPr="003F2490">
              <w:rPr>
                <w:color w:val="000000"/>
                <w:sz w:val="24"/>
                <w:szCs w:val="24"/>
                <w:vertAlign w:val="superscript"/>
              </w:rPr>
              <w:t>th</w:t>
            </w:r>
            <w:r w:rsidRPr="003F2490">
              <w:rPr>
                <w:color w:val="000000"/>
                <w:sz w:val="24"/>
                <w:szCs w:val="24"/>
              </w:rPr>
              <w:t xml:space="preserve"> Q, 2019</w:t>
            </w:r>
          </w:p>
        </w:tc>
        <w:tc>
          <w:tcPr>
            <w:tcW w:w="2844" w:type="dxa"/>
          </w:tcPr>
          <w:p w14:paraId="3949A3C8" w14:textId="77777777" w:rsidR="00FF6DB6" w:rsidRPr="003F2490" w:rsidRDefault="00FF6DB6" w:rsidP="000D0F7C">
            <w:pPr>
              <w:spacing w:before="40" w:after="40"/>
              <w:ind w:left="144"/>
              <w:rPr>
                <w:sz w:val="24"/>
                <w:szCs w:val="24"/>
              </w:rPr>
            </w:pPr>
            <w:r w:rsidRPr="003F2490">
              <w:rPr>
                <w:sz w:val="24"/>
                <w:szCs w:val="24"/>
              </w:rPr>
              <w:t xml:space="preserve"> Joint WGQ EDM and RMQ IR/TEIS</w:t>
            </w:r>
          </w:p>
        </w:tc>
      </w:tr>
    </w:tbl>
    <w:p w14:paraId="668C0AAA" w14:textId="77777777" w:rsidR="00332FDF" w:rsidRDefault="00332FDF" w:rsidP="00E1083D">
      <w:pPr>
        <w:tabs>
          <w:tab w:val="left" w:pos="1080"/>
        </w:tabs>
        <w:spacing w:before="120"/>
        <w:rPr>
          <w:sz w:val="24"/>
          <w:szCs w:val="24"/>
        </w:rPr>
        <w:sectPr w:rsidR="00332FDF">
          <w:headerReference w:type="even" r:id="rId10"/>
          <w:headerReference w:type="default" r:id="rId11"/>
          <w:footerReference w:type="even" r:id="rId12"/>
          <w:footerReference w:type="default" r:id="rId13"/>
          <w:headerReference w:type="first" r:id="rId14"/>
          <w:footerReference w:type="first" r:id="rId15"/>
          <w:pgSz w:w="12240" w:h="15840"/>
          <w:pgMar w:top="2088" w:right="1440" w:bottom="1440" w:left="1440" w:header="648" w:footer="648" w:gutter="0"/>
          <w:cols w:space="720"/>
        </w:sectPr>
      </w:pPr>
    </w:p>
    <w:p w14:paraId="1132F838" w14:textId="11683A2A" w:rsidR="00332FDF" w:rsidRDefault="00332FDF" w:rsidP="00E1083D">
      <w:pPr>
        <w:tabs>
          <w:tab w:val="left" w:pos="1080"/>
        </w:tabs>
        <w:spacing w:before="120"/>
        <w:rPr>
          <w:sz w:val="24"/>
          <w:szCs w:val="24"/>
        </w:rPr>
      </w:pPr>
    </w:p>
    <w:p w14:paraId="43AC18B3" w14:textId="77777777" w:rsidR="00DB3043" w:rsidRPr="009E07F2" w:rsidRDefault="00C849B1" w:rsidP="00E1083D">
      <w:pPr>
        <w:tabs>
          <w:tab w:val="left" w:pos="1080"/>
        </w:tabs>
        <w:spacing w:before="120"/>
        <w:rPr>
          <w:rFonts w:ascii="Arial" w:hAnsi="Arial" w:cs="Arial"/>
          <w:b/>
        </w:rPr>
      </w:pPr>
      <w:r>
        <w:rPr>
          <w:rFonts w:ascii="Arial" w:hAnsi="Arial" w:cs="Arial"/>
          <w:b/>
        </w:rPr>
        <w:t>b.</w:t>
      </w:r>
      <w:r>
        <w:rPr>
          <w:rFonts w:ascii="Arial" w:hAnsi="Arial" w:cs="Arial"/>
          <w:b/>
        </w:rPr>
        <w:tab/>
      </w:r>
      <w:r w:rsidR="00DB3043" w:rsidRPr="009E07F2">
        <w:rPr>
          <w:rFonts w:ascii="Arial" w:hAnsi="Arial" w:cs="Arial"/>
          <w:b/>
        </w:rPr>
        <w:t>Description of Recommendation:</w:t>
      </w:r>
    </w:p>
    <w:p w14:paraId="4D500B2B" w14:textId="682BB9EB" w:rsidR="00FF6DB6" w:rsidRPr="003F2490" w:rsidRDefault="00FF6DB6" w:rsidP="00FF6DB6">
      <w:pPr>
        <w:pStyle w:val="DefaultText"/>
        <w:tabs>
          <w:tab w:val="left" w:pos="1080"/>
        </w:tabs>
        <w:ind w:firstLine="720"/>
        <w:rPr>
          <w:szCs w:val="24"/>
        </w:rPr>
      </w:pPr>
      <w:r w:rsidRPr="00AE49CE">
        <w:rPr>
          <w:szCs w:val="24"/>
        </w:rPr>
        <w:t xml:space="preserve">The recommendation incorporates the suggested modifications to </w:t>
      </w:r>
      <w:r>
        <w:rPr>
          <w:szCs w:val="24"/>
        </w:rPr>
        <w:t xml:space="preserve">the </w:t>
      </w:r>
      <w:r w:rsidRPr="003F2490">
        <w:rPr>
          <w:szCs w:val="24"/>
        </w:rPr>
        <w:t xml:space="preserve">Quadrant Electronic Delivery Mechanism Related Standards Manual </w:t>
      </w:r>
      <w:r>
        <w:rPr>
          <w:szCs w:val="24"/>
        </w:rPr>
        <w:t>and the</w:t>
      </w:r>
      <w:r w:rsidRPr="003F2490">
        <w:rPr>
          <w:szCs w:val="24"/>
        </w:rPr>
        <w:t xml:space="preserve"> NAESB WGQ/REQ/RGQ Internet Electronic Transport </w:t>
      </w:r>
      <w:r w:rsidRPr="00AE49CE">
        <w:rPr>
          <w:szCs w:val="24"/>
        </w:rPr>
        <w:t>based on the results of the Sandia National Laboratories surety assessment as proposed by the NAESB Board Critical Infrastructure</w:t>
      </w:r>
      <w:r>
        <w:rPr>
          <w:szCs w:val="24"/>
        </w:rPr>
        <w:t xml:space="preserve"> Committee.</w:t>
      </w:r>
      <w:r w:rsidRPr="00AE49CE">
        <w:rPr>
          <w:szCs w:val="24"/>
        </w:rPr>
        <w:t xml:space="preserve"> </w:t>
      </w:r>
    </w:p>
    <w:p w14:paraId="12C95687" w14:textId="77777777" w:rsidR="00FF6DB6" w:rsidRDefault="00FF6DB6" w:rsidP="00FF6DB6">
      <w:pPr>
        <w:pStyle w:val="DefaultText"/>
        <w:spacing w:before="120"/>
        <w:rPr>
          <w:szCs w:val="24"/>
        </w:rPr>
      </w:pPr>
      <w:r>
        <w:rPr>
          <w:szCs w:val="24"/>
        </w:rPr>
        <w:t>Specifically, the following changes were incorporated regarding the RMQ issues identified by the Board Critical Infrastructure Committee.</w:t>
      </w:r>
    </w:p>
    <w:p w14:paraId="255AC53A" w14:textId="264D05BC" w:rsidR="00332FDF" w:rsidRDefault="00332FDF" w:rsidP="00084E98">
      <w:pPr>
        <w:pStyle w:val="DefaultText"/>
        <w:spacing w:before="120"/>
        <w:rPr>
          <w:szCs w:val="24"/>
        </w:rPr>
      </w:pPr>
    </w:p>
    <w:tbl>
      <w:tblPr>
        <w:tblStyle w:val="TableGrid"/>
        <w:tblW w:w="0" w:type="auto"/>
        <w:tblLayout w:type="fixed"/>
        <w:tblLook w:val="04A0" w:firstRow="1" w:lastRow="0" w:firstColumn="1" w:lastColumn="0" w:noHBand="0" w:noVBand="1"/>
      </w:tblPr>
      <w:tblGrid>
        <w:gridCol w:w="738"/>
        <w:gridCol w:w="2025"/>
        <w:gridCol w:w="4185"/>
        <w:gridCol w:w="3227"/>
        <w:gridCol w:w="2893"/>
      </w:tblGrid>
      <w:tr w:rsidR="00332FDF" w14:paraId="320D80C0" w14:textId="77777777" w:rsidTr="00332FDF">
        <w:trPr>
          <w:tblHeader/>
        </w:trPr>
        <w:tc>
          <w:tcPr>
            <w:tcW w:w="738" w:type="dxa"/>
          </w:tcPr>
          <w:p w14:paraId="0B2CB192" w14:textId="77777777" w:rsidR="00332FDF" w:rsidRPr="00873A6C" w:rsidRDefault="00332FDF" w:rsidP="00810624">
            <w:pPr>
              <w:widowControl w:val="0"/>
              <w:spacing w:before="120" w:after="120"/>
              <w:rPr>
                <w:b/>
              </w:rPr>
            </w:pPr>
            <w:r w:rsidRPr="00873A6C">
              <w:rPr>
                <w:b/>
              </w:rPr>
              <w:t>Issue</w:t>
            </w:r>
          </w:p>
        </w:tc>
        <w:tc>
          <w:tcPr>
            <w:tcW w:w="2025" w:type="dxa"/>
          </w:tcPr>
          <w:p w14:paraId="4CA4F54C" w14:textId="77777777" w:rsidR="00332FDF" w:rsidRPr="00F02102" w:rsidRDefault="00332FDF" w:rsidP="00810624">
            <w:pPr>
              <w:widowControl w:val="0"/>
              <w:spacing w:before="120" w:after="120"/>
              <w:rPr>
                <w:b/>
              </w:rPr>
            </w:pPr>
            <w:r>
              <w:rPr>
                <w:b/>
              </w:rPr>
              <w:t>Report Section (Page Number)</w:t>
            </w:r>
          </w:p>
        </w:tc>
        <w:tc>
          <w:tcPr>
            <w:tcW w:w="4185" w:type="dxa"/>
          </w:tcPr>
          <w:p w14:paraId="6F63347B" w14:textId="77777777" w:rsidR="00332FDF" w:rsidRPr="00F02102" w:rsidRDefault="00332FDF" w:rsidP="00810624">
            <w:pPr>
              <w:widowControl w:val="0"/>
              <w:spacing w:before="120" w:after="120"/>
              <w:jc w:val="both"/>
              <w:rPr>
                <w:b/>
              </w:rPr>
            </w:pPr>
            <w:r w:rsidRPr="00F02102">
              <w:rPr>
                <w:b/>
              </w:rPr>
              <w:t>Sandia Recommendation</w:t>
            </w:r>
          </w:p>
        </w:tc>
        <w:tc>
          <w:tcPr>
            <w:tcW w:w="3227" w:type="dxa"/>
          </w:tcPr>
          <w:p w14:paraId="4BE144A6" w14:textId="77777777" w:rsidR="00332FDF" w:rsidRPr="00CE4EA6" w:rsidRDefault="00332FDF" w:rsidP="00810624">
            <w:pPr>
              <w:widowControl w:val="0"/>
              <w:spacing w:before="120" w:after="120"/>
              <w:rPr>
                <w:b/>
              </w:rPr>
            </w:pPr>
            <w:r w:rsidRPr="00CE4EA6">
              <w:rPr>
                <w:b/>
              </w:rPr>
              <w:t>Recommended Standards Development Activity</w:t>
            </w:r>
          </w:p>
        </w:tc>
        <w:tc>
          <w:tcPr>
            <w:tcW w:w="2893" w:type="dxa"/>
          </w:tcPr>
          <w:p w14:paraId="1C1378C9" w14:textId="77777777" w:rsidR="00332FDF" w:rsidRPr="00CE4EA6" w:rsidRDefault="00332FDF" w:rsidP="00810624">
            <w:pPr>
              <w:widowControl w:val="0"/>
              <w:spacing w:before="120" w:after="120"/>
              <w:rPr>
                <w:b/>
              </w:rPr>
            </w:pPr>
            <w:r w:rsidRPr="00CE4EA6">
              <w:rPr>
                <w:b/>
              </w:rPr>
              <w:t>Recommend</w:t>
            </w:r>
            <w:r>
              <w:rPr>
                <w:b/>
              </w:rPr>
              <w:t>ation Action</w:t>
            </w:r>
          </w:p>
        </w:tc>
      </w:tr>
      <w:tr w:rsidR="00332FDF" w14:paraId="47064BEF" w14:textId="77777777" w:rsidTr="00332FDF">
        <w:tc>
          <w:tcPr>
            <w:tcW w:w="738" w:type="dxa"/>
          </w:tcPr>
          <w:p w14:paraId="4B111566" w14:textId="77777777" w:rsidR="00332FDF" w:rsidRDefault="00332FDF" w:rsidP="00810624">
            <w:pPr>
              <w:widowControl w:val="0"/>
              <w:spacing w:before="120" w:after="120"/>
            </w:pPr>
            <w:r>
              <w:t>One</w:t>
            </w:r>
          </w:p>
        </w:tc>
        <w:tc>
          <w:tcPr>
            <w:tcW w:w="2025" w:type="dxa"/>
          </w:tcPr>
          <w:p w14:paraId="696EC71D" w14:textId="77777777" w:rsidR="00332FDF" w:rsidRDefault="00332FDF" w:rsidP="00810624">
            <w:pPr>
              <w:widowControl w:val="0"/>
              <w:spacing w:before="120" w:after="120"/>
            </w:pPr>
            <w:r>
              <w:t>Business Operations Practices and Standards Report Section 6.1.1 – NAESB Standards Refer to Vulnerable Versions of Communication Protocols (Page 10 – 11)</w:t>
            </w:r>
          </w:p>
        </w:tc>
        <w:tc>
          <w:tcPr>
            <w:tcW w:w="4185" w:type="dxa"/>
          </w:tcPr>
          <w:p w14:paraId="59D9944D" w14:textId="77777777" w:rsidR="00332FDF" w:rsidRDefault="00332FDF" w:rsidP="00810624">
            <w:pPr>
              <w:widowControl w:val="0"/>
              <w:spacing w:before="120" w:after="120"/>
              <w:jc w:val="both"/>
              <w:rPr>
                <w:szCs w:val="20"/>
              </w:rPr>
            </w:pPr>
            <w:r>
              <w:rPr>
                <w:szCs w:val="20"/>
              </w:rPr>
              <w:t>Level: High</w:t>
            </w:r>
          </w:p>
          <w:p w14:paraId="0B1B35FA" w14:textId="77777777" w:rsidR="00332FDF" w:rsidRDefault="00332FDF" w:rsidP="00810624">
            <w:pPr>
              <w:widowControl w:val="0"/>
              <w:spacing w:before="120" w:after="120"/>
              <w:jc w:val="both"/>
            </w:pPr>
            <w:r w:rsidRPr="008B371A">
              <w:rPr>
                <w:szCs w:val="20"/>
              </w:rPr>
              <w:t>In addition, to ensure timely adoption of new technology the assessment team recommends that new versions of technologies and standards that include fixes or patches for known vulnerabilities (as opposed to simply adding new functionality) should be adopted within 30 days of their publication.</w:t>
            </w:r>
          </w:p>
        </w:tc>
        <w:tc>
          <w:tcPr>
            <w:tcW w:w="3227" w:type="dxa"/>
          </w:tcPr>
          <w:p w14:paraId="2DF26FCB" w14:textId="77777777" w:rsidR="00332FDF" w:rsidRPr="00CE4EA6" w:rsidRDefault="00332FDF" w:rsidP="00810624">
            <w:pPr>
              <w:widowControl w:val="0"/>
              <w:spacing w:before="120" w:after="120"/>
            </w:pPr>
            <w:r w:rsidRPr="00CE4EA6">
              <w:t>Subcommittees should consider standard(s) to require the implementation of fixes or patches for known vulnerabilities within 30 days of their publication as recommended.</w:t>
            </w:r>
          </w:p>
        </w:tc>
        <w:tc>
          <w:tcPr>
            <w:tcW w:w="2893" w:type="dxa"/>
          </w:tcPr>
          <w:p w14:paraId="48B78C85" w14:textId="77777777" w:rsidR="00332FDF" w:rsidRDefault="00332FDF" w:rsidP="00810624">
            <w:pPr>
              <w:widowControl w:val="0"/>
              <w:spacing w:before="120" w:after="120"/>
              <w:jc w:val="both"/>
              <w:rPr>
                <w:szCs w:val="20"/>
              </w:rPr>
            </w:pPr>
            <w:r>
              <w:rPr>
                <w:szCs w:val="20"/>
              </w:rPr>
              <w:t xml:space="preserve">Modified </w:t>
            </w:r>
            <w:r w:rsidRPr="009662CB">
              <w:rPr>
                <w:szCs w:val="20"/>
              </w:rPr>
              <w:t>standards to specify specific timelines where applicable, and in all other cases make change as soon as possible in coord</w:t>
            </w:r>
            <w:r>
              <w:rPr>
                <w:szCs w:val="20"/>
              </w:rPr>
              <w:t>ination with trading partners.</w:t>
            </w:r>
          </w:p>
          <w:p w14:paraId="4496B8FC" w14:textId="77777777" w:rsidR="00332FDF" w:rsidRDefault="00332FDF" w:rsidP="00810624">
            <w:pPr>
              <w:widowControl w:val="0"/>
              <w:spacing w:before="120" w:after="120"/>
            </w:pPr>
            <w:r w:rsidRPr="0093065B">
              <w:rPr>
                <w:b/>
                <w:u w:val="single"/>
              </w:rPr>
              <w:t>WGQ</w:t>
            </w:r>
            <w:r>
              <w:t>:</w:t>
            </w:r>
          </w:p>
          <w:p w14:paraId="65438040" w14:textId="77777777" w:rsidR="00332FDF" w:rsidRDefault="00332FDF" w:rsidP="00810624">
            <w:pPr>
              <w:widowControl w:val="0"/>
              <w:spacing w:before="120" w:after="120"/>
            </w:pPr>
            <w:r>
              <w:t>D2, D3, D5, D6, D32, D34</w:t>
            </w:r>
          </w:p>
          <w:p w14:paraId="699BF5E2" w14:textId="77777777" w:rsidR="00332FDF" w:rsidRDefault="00332FDF" w:rsidP="00810624">
            <w:pPr>
              <w:widowControl w:val="0"/>
              <w:spacing w:before="120" w:after="120"/>
            </w:pPr>
            <w:r w:rsidRPr="0093065B">
              <w:rPr>
                <w:b/>
                <w:u w:val="single"/>
              </w:rPr>
              <w:t>RMQ</w:t>
            </w:r>
            <w:r>
              <w:t>:</w:t>
            </w:r>
          </w:p>
          <w:p w14:paraId="1F34C8C1" w14:textId="77777777" w:rsidR="00332FDF" w:rsidRPr="00CE4EA6" w:rsidRDefault="00332FDF" w:rsidP="00810624">
            <w:pPr>
              <w:widowControl w:val="0"/>
              <w:spacing w:before="120" w:after="120"/>
            </w:pPr>
            <w:r>
              <w:t>D4, D7, D8</w:t>
            </w:r>
          </w:p>
        </w:tc>
      </w:tr>
      <w:tr w:rsidR="00332FDF" w14:paraId="4C7F9DBB" w14:textId="77777777" w:rsidTr="00332FDF">
        <w:tc>
          <w:tcPr>
            <w:tcW w:w="738" w:type="dxa"/>
          </w:tcPr>
          <w:p w14:paraId="579BF606" w14:textId="77777777" w:rsidR="00332FDF" w:rsidRDefault="00332FDF" w:rsidP="00810624">
            <w:pPr>
              <w:spacing w:before="120" w:after="120"/>
            </w:pPr>
            <w:r>
              <w:t>Two</w:t>
            </w:r>
          </w:p>
        </w:tc>
        <w:tc>
          <w:tcPr>
            <w:tcW w:w="2025" w:type="dxa"/>
          </w:tcPr>
          <w:p w14:paraId="153A3B18" w14:textId="77777777" w:rsidR="00332FDF" w:rsidRDefault="00332FDF" w:rsidP="00810624">
            <w:pPr>
              <w:spacing w:before="120" w:after="120"/>
            </w:pPr>
            <w:r>
              <w:t xml:space="preserve">Business Operations Practices and Standards Report </w:t>
            </w:r>
            <w:r>
              <w:lastRenderedPageBreak/>
              <w:t>Section 6.1.1 – NAESB Standards Refer to Vulnerable Versions of Communication Protocols (Pages 10 – 11)</w:t>
            </w:r>
          </w:p>
        </w:tc>
        <w:tc>
          <w:tcPr>
            <w:tcW w:w="4185" w:type="dxa"/>
          </w:tcPr>
          <w:p w14:paraId="75F9C54F" w14:textId="77777777" w:rsidR="00332FDF" w:rsidRDefault="00332FDF" w:rsidP="00810624">
            <w:pPr>
              <w:spacing w:before="120" w:after="120"/>
              <w:jc w:val="both"/>
              <w:rPr>
                <w:szCs w:val="20"/>
              </w:rPr>
            </w:pPr>
            <w:r>
              <w:rPr>
                <w:szCs w:val="20"/>
              </w:rPr>
              <w:lastRenderedPageBreak/>
              <w:t>Level: High</w:t>
            </w:r>
          </w:p>
          <w:p w14:paraId="0A134D61" w14:textId="77777777" w:rsidR="00332FDF" w:rsidRPr="00FC11D6" w:rsidRDefault="00332FDF" w:rsidP="00810624">
            <w:pPr>
              <w:spacing w:before="120" w:after="120"/>
              <w:jc w:val="both"/>
              <w:rPr>
                <w:szCs w:val="20"/>
              </w:rPr>
            </w:pPr>
            <w:r w:rsidRPr="008B371A">
              <w:rPr>
                <w:szCs w:val="20"/>
              </w:rPr>
              <w:t xml:space="preserve">Since existing systems may not be compatible </w:t>
            </w:r>
            <w:r w:rsidRPr="008B371A">
              <w:rPr>
                <w:szCs w:val="20"/>
              </w:rPr>
              <w:lastRenderedPageBreak/>
              <w:t>with updated software packages or protocol versions, updates may be too expensive to utilize, or for other business related decisions, the assessment team recommends the owning organization notify their trading partners of any systems or software that have not been updated and the potential impact of utilizing the vulnerable system in the 30-day window. This allows business partners to assess the risk of conducting business over those legacy systems.</w:t>
            </w:r>
          </w:p>
        </w:tc>
        <w:tc>
          <w:tcPr>
            <w:tcW w:w="3227" w:type="dxa"/>
          </w:tcPr>
          <w:p w14:paraId="218C4873" w14:textId="77777777" w:rsidR="00332FDF" w:rsidRPr="00CE4EA6" w:rsidRDefault="00332FDF" w:rsidP="00810624">
            <w:pPr>
              <w:spacing w:before="120" w:after="120"/>
            </w:pPr>
            <w:r w:rsidRPr="00CE4EA6">
              <w:lastRenderedPageBreak/>
              <w:t xml:space="preserve">Subcommittees should consider standard(s) to provide notice to </w:t>
            </w:r>
            <w:r w:rsidRPr="00CE4EA6">
              <w:lastRenderedPageBreak/>
              <w:t>trading partners as recommended</w:t>
            </w:r>
          </w:p>
        </w:tc>
        <w:tc>
          <w:tcPr>
            <w:tcW w:w="2893" w:type="dxa"/>
          </w:tcPr>
          <w:p w14:paraId="1DC41ED3" w14:textId="77777777" w:rsidR="00332FDF" w:rsidRDefault="00332FDF" w:rsidP="00810624">
            <w:pPr>
              <w:spacing w:before="120" w:after="120"/>
              <w:rPr>
                <w:szCs w:val="20"/>
              </w:rPr>
            </w:pPr>
            <w:r>
              <w:rPr>
                <w:szCs w:val="20"/>
              </w:rPr>
              <w:lastRenderedPageBreak/>
              <w:t xml:space="preserve">Modified </w:t>
            </w:r>
            <w:r w:rsidRPr="009662CB">
              <w:rPr>
                <w:szCs w:val="20"/>
              </w:rPr>
              <w:t xml:space="preserve">standards to specify specific notification timelines where applicable, and in all other </w:t>
            </w:r>
            <w:r w:rsidRPr="009662CB">
              <w:rPr>
                <w:szCs w:val="20"/>
              </w:rPr>
              <w:lastRenderedPageBreak/>
              <w:t>cases make change as soon as possible in coordination with tr</w:t>
            </w:r>
            <w:r>
              <w:rPr>
                <w:szCs w:val="20"/>
              </w:rPr>
              <w:t xml:space="preserve">ading partners. </w:t>
            </w:r>
          </w:p>
          <w:p w14:paraId="07DF3D3A" w14:textId="77777777" w:rsidR="00332FDF" w:rsidRDefault="00332FDF" w:rsidP="00810624">
            <w:pPr>
              <w:spacing w:before="120" w:after="120"/>
              <w:rPr>
                <w:b/>
                <w:szCs w:val="20"/>
              </w:rPr>
            </w:pPr>
            <w:r w:rsidRPr="006562CD">
              <w:rPr>
                <w:b/>
                <w:szCs w:val="20"/>
                <w:u w:val="single"/>
              </w:rPr>
              <w:t>WGQ</w:t>
            </w:r>
            <w:r w:rsidRPr="006562CD">
              <w:rPr>
                <w:b/>
                <w:szCs w:val="20"/>
              </w:rPr>
              <w:t>:</w:t>
            </w:r>
          </w:p>
          <w:p w14:paraId="1A3C92DE" w14:textId="77777777" w:rsidR="00332FDF" w:rsidRPr="0083438D" w:rsidRDefault="00332FDF" w:rsidP="00810624">
            <w:pPr>
              <w:spacing w:before="120" w:after="120"/>
              <w:rPr>
                <w:szCs w:val="20"/>
              </w:rPr>
            </w:pPr>
            <w:r w:rsidRPr="0083438D">
              <w:rPr>
                <w:szCs w:val="20"/>
              </w:rPr>
              <w:t>D2, D3, D5, D6</w:t>
            </w:r>
          </w:p>
          <w:p w14:paraId="20DB1C5A" w14:textId="77777777" w:rsidR="00332FDF" w:rsidRDefault="00332FDF" w:rsidP="00810624">
            <w:pPr>
              <w:spacing w:before="120" w:after="120"/>
              <w:rPr>
                <w:szCs w:val="20"/>
              </w:rPr>
            </w:pPr>
            <w:r w:rsidRPr="006562CD">
              <w:rPr>
                <w:b/>
                <w:szCs w:val="20"/>
                <w:u w:val="single"/>
              </w:rPr>
              <w:t>RMQ</w:t>
            </w:r>
            <w:r w:rsidRPr="006562CD">
              <w:rPr>
                <w:b/>
                <w:szCs w:val="20"/>
              </w:rPr>
              <w:t>:</w:t>
            </w:r>
            <w:r>
              <w:rPr>
                <w:szCs w:val="20"/>
              </w:rPr>
              <w:t xml:space="preserve"> </w:t>
            </w:r>
          </w:p>
          <w:p w14:paraId="10DB6A09" w14:textId="77777777" w:rsidR="00332FDF" w:rsidRPr="0083438D" w:rsidRDefault="00332FDF" w:rsidP="00810624">
            <w:pPr>
              <w:spacing w:before="120" w:after="120"/>
              <w:rPr>
                <w:szCs w:val="20"/>
              </w:rPr>
            </w:pPr>
            <w:r w:rsidRPr="002B4081">
              <w:t>D4, D7</w:t>
            </w:r>
            <w:r>
              <w:t>, D8.</w:t>
            </w:r>
          </w:p>
        </w:tc>
      </w:tr>
      <w:tr w:rsidR="00332FDF" w14:paraId="601CD45A" w14:textId="77777777" w:rsidTr="00332FDF">
        <w:tc>
          <w:tcPr>
            <w:tcW w:w="738" w:type="dxa"/>
          </w:tcPr>
          <w:p w14:paraId="56D2ED31" w14:textId="77777777" w:rsidR="00332FDF" w:rsidRDefault="00332FDF" w:rsidP="00810624">
            <w:pPr>
              <w:spacing w:before="120" w:after="120"/>
            </w:pPr>
            <w:r>
              <w:lastRenderedPageBreak/>
              <w:t>Three</w:t>
            </w:r>
          </w:p>
        </w:tc>
        <w:tc>
          <w:tcPr>
            <w:tcW w:w="2025" w:type="dxa"/>
          </w:tcPr>
          <w:p w14:paraId="2B3BE5E3" w14:textId="6021086B" w:rsidR="00332FDF" w:rsidRDefault="00332FDF" w:rsidP="00810624">
            <w:pPr>
              <w:spacing w:before="120" w:after="120"/>
            </w:pPr>
            <w:r>
              <w:t>Business Operations Practices and Standards Report Section 6.1.1 – NAESB Standards Refer to Vulnerable Versions of Communication Protocols (Pages 10 – 11)</w:t>
            </w:r>
          </w:p>
        </w:tc>
        <w:tc>
          <w:tcPr>
            <w:tcW w:w="4185" w:type="dxa"/>
          </w:tcPr>
          <w:p w14:paraId="33EEF36E" w14:textId="77777777" w:rsidR="00332FDF" w:rsidRDefault="00332FDF" w:rsidP="00810624">
            <w:pPr>
              <w:spacing w:before="120" w:after="120"/>
              <w:jc w:val="both"/>
              <w:rPr>
                <w:szCs w:val="20"/>
              </w:rPr>
            </w:pPr>
            <w:r>
              <w:rPr>
                <w:szCs w:val="20"/>
              </w:rPr>
              <w:t>Level: High</w:t>
            </w:r>
          </w:p>
          <w:p w14:paraId="70FDA51D" w14:textId="77777777" w:rsidR="00332FDF" w:rsidRDefault="00332FDF" w:rsidP="00810624">
            <w:pPr>
              <w:spacing w:before="120" w:after="120"/>
              <w:jc w:val="both"/>
            </w:pPr>
            <w:r w:rsidRPr="008B371A">
              <w:rPr>
                <w:szCs w:val="20"/>
              </w:rPr>
              <w:t>All the communications standards specified in the Internet Electronic Transport (IET) standards and the Electronic Delivery Manual (EDM) for Retail Gas Quadrant and Retail Electric Quadrants</w:t>
            </w:r>
            <w:r>
              <w:rPr>
                <w:szCs w:val="20"/>
              </w:rPr>
              <w:t xml:space="preserve">.  </w:t>
            </w:r>
            <w:r w:rsidRPr="008B371A">
              <w:rPr>
                <w:szCs w:val="20"/>
              </w:rPr>
              <w:t>The assessment team recommends that the NAESB review and upgrade the minimum requirement for SSL/TLS to version 1.2 configured with FIPS-based cipher suites as a minimum</w:t>
            </w:r>
            <w:r w:rsidRPr="008B371A">
              <w:rPr>
                <w:rStyle w:val="FootnoteReference"/>
              </w:rPr>
              <w:footnoteReference w:id="1"/>
            </w:r>
            <w:r w:rsidRPr="008B371A">
              <w:rPr>
                <w:szCs w:val="20"/>
              </w:rPr>
              <w:t xml:space="preserve">. NIST 800-52 details the TLS version and associated configurations and currently requires version 1.2 and support for version 1.3 by January 1, 2021. Specific configurations for TLS servers and TLS versions are detailed in </w:t>
            </w:r>
            <w:r w:rsidRPr="008B371A">
              <w:rPr>
                <w:szCs w:val="20"/>
              </w:rPr>
              <w:lastRenderedPageBreak/>
              <w:t xml:space="preserve">section 4 of NIST 800-52 and the specific server implementation is dependent on the TLS version and implementation strategy. SSL protocol is disallowed for both government and business – facing applications and as such, the assessment team recommends disallowing support for SSL version protocols.  </w:t>
            </w:r>
          </w:p>
        </w:tc>
        <w:tc>
          <w:tcPr>
            <w:tcW w:w="3227" w:type="dxa"/>
          </w:tcPr>
          <w:p w14:paraId="4DB447CA" w14:textId="77777777" w:rsidR="00332FDF" w:rsidRPr="00CE4EA6" w:rsidRDefault="00332FDF" w:rsidP="00810624">
            <w:pPr>
              <w:spacing w:before="120" w:after="120"/>
            </w:pPr>
            <w:r w:rsidRPr="00CE4EA6">
              <w:lastRenderedPageBreak/>
              <w:t>Subcommittees should review TLS/SSL references and update the standard(s) accordingly as recommended</w:t>
            </w:r>
          </w:p>
        </w:tc>
        <w:tc>
          <w:tcPr>
            <w:tcW w:w="2893" w:type="dxa"/>
          </w:tcPr>
          <w:p w14:paraId="1832ECC6" w14:textId="77777777" w:rsidR="00332FDF" w:rsidRDefault="00332FDF" w:rsidP="00810624">
            <w:pPr>
              <w:spacing w:before="120" w:after="120"/>
              <w:rPr>
                <w:szCs w:val="20"/>
              </w:rPr>
            </w:pPr>
            <w:r>
              <w:rPr>
                <w:szCs w:val="20"/>
              </w:rPr>
              <w:t>Modified</w:t>
            </w:r>
            <w:r w:rsidRPr="009662CB">
              <w:rPr>
                <w:szCs w:val="20"/>
              </w:rPr>
              <w:t xml:space="preserve"> standards to specify TLS V1.2, and </w:t>
            </w:r>
            <w:r>
              <w:rPr>
                <w:szCs w:val="20"/>
              </w:rPr>
              <w:t xml:space="preserve">centralized </w:t>
            </w:r>
            <w:r w:rsidRPr="009662CB">
              <w:rPr>
                <w:szCs w:val="20"/>
              </w:rPr>
              <w:t>such references to make future revisions easier.</w:t>
            </w:r>
          </w:p>
          <w:p w14:paraId="74B219FB" w14:textId="77777777" w:rsidR="00332FDF" w:rsidRPr="006562CD" w:rsidRDefault="00332FDF" w:rsidP="00810624">
            <w:pPr>
              <w:spacing w:before="120" w:after="120"/>
              <w:rPr>
                <w:szCs w:val="20"/>
              </w:rPr>
            </w:pPr>
            <w:r w:rsidRPr="006562CD">
              <w:rPr>
                <w:b/>
                <w:szCs w:val="20"/>
                <w:u w:val="single"/>
              </w:rPr>
              <w:t>WGQ</w:t>
            </w:r>
            <w:r w:rsidRPr="006562CD">
              <w:rPr>
                <w:b/>
                <w:szCs w:val="20"/>
              </w:rPr>
              <w:t>:</w:t>
            </w:r>
          </w:p>
          <w:p w14:paraId="6F9B98E8" w14:textId="77777777" w:rsidR="00332FDF" w:rsidRDefault="00332FDF" w:rsidP="00810624">
            <w:pPr>
              <w:spacing w:before="120" w:after="120"/>
              <w:rPr>
                <w:szCs w:val="20"/>
              </w:rPr>
            </w:pPr>
            <w:r>
              <w:rPr>
                <w:szCs w:val="20"/>
              </w:rPr>
              <w:t>D10, D12, D14, D19, D28, D29, D30, D32, D34, D35, D36, D39, D40, D44</w:t>
            </w:r>
          </w:p>
          <w:p w14:paraId="3F45FDAF" w14:textId="77777777" w:rsidR="00332FDF" w:rsidRDefault="00332FDF" w:rsidP="00810624">
            <w:pPr>
              <w:spacing w:before="120" w:after="120"/>
              <w:rPr>
                <w:szCs w:val="20"/>
              </w:rPr>
            </w:pPr>
            <w:r w:rsidRPr="006562CD">
              <w:rPr>
                <w:b/>
                <w:szCs w:val="20"/>
                <w:u w:val="single"/>
              </w:rPr>
              <w:t>RMQ</w:t>
            </w:r>
            <w:r w:rsidRPr="006562CD">
              <w:rPr>
                <w:b/>
                <w:szCs w:val="20"/>
              </w:rPr>
              <w:t>:</w:t>
            </w:r>
          </w:p>
          <w:p w14:paraId="7B21F0B9" w14:textId="77777777" w:rsidR="00332FDF" w:rsidRPr="00CE4EA6" w:rsidRDefault="00332FDF" w:rsidP="00810624">
            <w:pPr>
              <w:spacing w:before="120" w:after="120"/>
            </w:pPr>
            <w:r>
              <w:t>D20, D21, D26a, D26b, D36, D39, D40, D44</w:t>
            </w:r>
          </w:p>
        </w:tc>
      </w:tr>
      <w:tr w:rsidR="00332FDF" w14:paraId="149FA294" w14:textId="77777777" w:rsidTr="00332FDF">
        <w:tc>
          <w:tcPr>
            <w:tcW w:w="738" w:type="dxa"/>
          </w:tcPr>
          <w:p w14:paraId="4D0B774E" w14:textId="77777777" w:rsidR="00332FDF" w:rsidRPr="0007296C" w:rsidRDefault="00332FDF" w:rsidP="00810624">
            <w:pPr>
              <w:spacing w:before="120" w:after="120"/>
              <w:ind w:left="180" w:hanging="180"/>
            </w:pPr>
            <w:r>
              <w:t>Four</w:t>
            </w:r>
          </w:p>
        </w:tc>
        <w:tc>
          <w:tcPr>
            <w:tcW w:w="2025" w:type="dxa"/>
          </w:tcPr>
          <w:p w14:paraId="4BECD9C8" w14:textId="77777777" w:rsidR="00332FDF" w:rsidRPr="00C30C78" w:rsidRDefault="00332FDF" w:rsidP="00810624">
            <w:pPr>
              <w:spacing w:before="120" w:after="120"/>
            </w:pPr>
            <w:r w:rsidRPr="00C30C78">
              <w:t>Business Operations Practices and Standards Report Section 6.1.1 – NAESB Standards Refer to Vulnerable Versions of Communication Protocols (Pages 10 – 11)</w:t>
            </w:r>
          </w:p>
        </w:tc>
        <w:tc>
          <w:tcPr>
            <w:tcW w:w="4185" w:type="dxa"/>
          </w:tcPr>
          <w:p w14:paraId="586B9D74" w14:textId="77777777" w:rsidR="00332FDF" w:rsidRPr="00C30C78" w:rsidRDefault="00332FDF" w:rsidP="00810624">
            <w:pPr>
              <w:spacing w:before="120" w:after="120"/>
              <w:jc w:val="both"/>
              <w:rPr>
                <w:szCs w:val="20"/>
              </w:rPr>
            </w:pPr>
            <w:r w:rsidRPr="00C30C78">
              <w:rPr>
                <w:szCs w:val="20"/>
              </w:rPr>
              <w:t>Level: High</w:t>
            </w:r>
          </w:p>
          <w:p w14:paraId="33845624" w14:textId="77777777" w:rsidR="00332FDF" w:rsidRPr="00C30C78" w:rsidRDefault="00332FDF" w:rsidP="00810624">
            <w:pPr>
              <w:spacing w:before="120" w:after="120"/>
              <w:jc w:val="both"/>
              <w:rPr>
                <w:szCs w:val="20"/>
              </w:rPr>
            </w:pPr>
            <w:r w:rsidRPr="00C30C78">
              <w:rPr>
                <w:szCs w:val="20"/>
              </w:rPr>
              <w:t>In addition, while implementation details are outside the purview of NAESB, the assessment team recommends adding a note that any major security bulletins or recommendations should, at the least, be considered for implementation within a 30-day window, even if a new version of the standard is not yet available or finalized.</w:t>
            </w:r>
          </w:p>
        </w:tc>
        <w:tc>
          <w:tcPr>
            <w:tcW w:w="3227" w:type="dxa"/>
          </w:tcPr>
          <w:p w14:paraId="76E9653D" w14:textId="77777777" w:rsidR="00332FDF" w:rsidRPr="00CE4EA6" w:rsidRDefault="00332FDF" w:rsidP="00810624">
            <w:pPr>
              <w:spacing w:before="120" w:after="120"/>
            </w:pPr>
            <w:r w:rsidRPr="00CE4EA6">
              <w:t>Subcommittees should consider standard(s) with a recommended implementation window.</w:t>
            </w:r>
          </w:p>
        </w:tc>
        <w:tc>
          <w:tcPr>
            <w:tcW w:w="2893" w:type="dxa"/>
          </w:tcPr>
          <w:p w14:paraId="72DDBDE8" w14:textId="77777777" w:rsidR="00332FDF" w:rsidRDefault="00332FDF" w:rsidP="00810624">
            <w:pPr>
              <w:spacing w:before="120" w:after="120"/>
              <w:rPr>
                <w:szCs w:val="20"/>
              </w:rPr>
            </w:pPr>
            <w:r>
              <w:rPr>
                <w:szCs w:val="20"/>
              </w:rPr>
              <w:t xml:space="preserve">Modified </w:t>
            </w:r>
            <w:r w:rsidRPr="009662CB">
              <w:rPr>
                <w:szCs w:val="20"/>
              </w:rPr>
              <w:t xml:space="preserve">standards to specify specific notification timelines where applicable, and in all other cases make change as soon as possible in coordination with trading partners.  </w:t>
            </w:r>
          </w:p>
          <w:p w14:paraId="3FCB6B16" w14:textId="77777777" w:rsidR="00332FDF" w:rsidRPr="006562CD" w:rsidRDefault="00332FDF" w:rsidP="00810624">
            <w:pPr>
              <w:spacing w:before="120" w:after="120"/>
              <w:rPr>
                <w:szCs w:val="20"/>
              </w:rPr>
            </w:pPr>
            <w:r w:rsidRPr="006562CD">
              <w:rPr>
                <w:b/>
                <w:szCs w:val="20"/>
                <w:u w:val="single"/>
              </w:rPr>
              <w:t>WGQ</w:t>
            </w:r>
            <w:r w:rsidRPr="006562CD">
              <w:rPr>
                <w:b/>
                <w:szCs w:val="20"/>
              </w:rPr>
              <w:t>:</w:t>
            </w:r>
          </w:p>
          <w:p w14:paraId="79D803EE" w14:textId="77777777" w:rsidR="00332FDF" w:rsidRPr="0083438D" w:rsidRDefault="00332FDF" w:rsidP="00810624">
            <w:pPr>
              <w:spacing w:before="120" w:after="120"/>
              <w:rPr>
                <w:szCs w:val="20"/>
              </w:rPr>
            </w:pPr>
            <w:r w:rsidRPr="0083438D">
              <w:rPr>
                <w:szCs w:val="20"/>
              </w:rPr>
              <w:t>D1, D2, D3, D5, D6</w:t>
            </w:r>
          </w:p>
          <w:p w14:paraId="6F1BB29A" w14:textId="77777777" w:rsidR="00332FDF" w:rsidRPr="002B4081" w:rsidRDefault="00332FDF" w:rsidP="00810624">
            <w:pPr>
              <w:spacing w:before="120" w:after="120"/>
              <w:rPr>
                <w:szCs w:val="20"/>
              </w:rPr>
            </w:pPr>
            <w:r w:rsidRPr="006562CD">
              <w:rPr>
                <w:b/>
                <w:szCs w:val="20"/>
                <w:u w:val="single"/>
              </w:rPr>
              <w:t>RMQ</w:t>
            </w:r>
            <w:r w:rsidRPr="006562CD">
              <w:rPr>
                <w:b/>
                <w:szCs w:val="20"/>
              </w:rPr>
              <w:t>:</w:t>
            </w:r>
            <w:r>
              <w:rPr>
                <w:szCs w:val="20"/>
              </w:rPr>
              <w:t>D4, D7</w:t>
            </w:r>
          </w:p>
        </w:tc>
      </w:tr>
      <w:tr w:rsidR="00332FDF" w14:paraId="2003B86E" w14:textId="77777777" w:rsidTr="00332FDF">
        <w:tc>
          <w:tcPr>
            <w:tcW w:w="738" w:type="dxa"/>
          </w:tcPr>
          <w:p w14:paraId="4B2CB925" w14:textId="77777777" w:rsidR="00332FDF" w:rsidRPr="00E91C95" w:rsidRDefault="00332FDF" w:rsidP="00810624">
            <w:pPr>
              <w:spacing w:before="120" w:after="120"/>
            </w:pPr>
            <w:r>
              <w:t>Five</w:t>
            </w:r>
          </w:p>
        </w:tc>
        <w:tc>
          <w:tcPr>
            <w:tcW w:w="2025" w:type="dxa"/>
          </w:tcPr>
          <w:p w14:paraId="0DC78ED2" w14:textId="77777777" w:rsidR="00332FDF" w:rsidRPr="00E91C95" w:rsidRDefault="00332FDF" w:rsidP="00810624">
            <w:pPr>
              <w:spacing w:before="120" w:after="120"/>
            </w:pPr>
            <w:r w:rsidRPr="00E91C95">
              <w:t>Business Operations Practices and Standards Report Section 6.1.</w:t>
            </w:r>
            <w:r>
              <w:t xml:space="preserve">2 – </w:t>
            </w:r>
            <w:r w:rsidRPr="00E91C95">
              <w:t xml:space="preserve">NAESB Standards Need Review for Unused or Unnecessary </w:t>
            </w:r>
            <w:r w:rsidRPr="00E91C95">
              <w:lastRenderedPageBreak/>
              <w:t>Functionality</w:t>
            </w:r>
            <w:r>
              <w:t xml:space="preserve"> (Page 11)</w:t>
            </w:r>
          </w:p>
        </w:tc>
        <w:tc>
          <w:tcPr>
            <w:tcW w:w="4185" w:type="dxa"/>
          </w:tcPr>
          <w:p w14:paraId="3BBEC19E" w14:textId="77777777" w:rsidR="00332FDF" w:rsidRDefault="00332FDF" w:rsidP="00810624">
            <w:pPr>
              <w:spacing w:before="120" w:after="120"/>
              <w:jc w:val="both"/>
            </w:pPr>
            <w:r>
              <w:lastRenderedPageBreak/>
              <w:t>Level: Low</w:t>
            </w:r>
          </w:p>
          <w:p w14:paraId="20168E23" w14:textId="77777777" w:rsidR="00332FDF" w:rsidRDefault="00332FDF" w:rsidP="00810624">
            <w:pPr>
              <w:spacing w:before="120" w:after="120"/>
              <w:jc w:val="both"/>
            </w:pPr>
            <w:r w:rsidRPr="008C5A1C">
              <w:t>As part of an annual review the analysis team recommends review of NIST 800-52 for guidance. Monitoring of required protocols as defined in WEQ-002.3</w:t>
            </w:r>
            <w:r w:rsidRPr="008C5A1C">
              <w:rPr>
                <w:bCs/>
              </w:rPr>
              <w:t xml:space="preserve"> and the IET data dictionary table</w:t>
            </w:r>
            <w:r w:rsidRPr="008C5A1C">
              <w:rPr>
                <w:b/>
                <w:bCs/>
              </w:rPr>
              <w:t xml:space="preserve"> </w:t>
            </w:r>
            <w:r w:rsidRPr="008C5A1C">
              <w:rPr>
                <w:bCs/>
              </w:rPr>
              <w:t xml:space="preserve">updates for acceptable configurations for supported secure communication protocols defined for IET are all </w:t>
            </w:r>
            <w:r w:rsidRPr="008C5A1C">
              <w:rPr>
                <w:bCs/>
              </w:rPr>
              <w:lastRenderedPageBreak/>
              <w:t>recommended for immediate update as required by independent facility implementation based on NIST NVD, US CERT, ICS CERT or vendor mandate. The assessment team recommends any updates for these communication protocols to be considered for incorporation into standards following review as an updated minimum version</w:t>
            </w:r>
            <w:r w:rsidRPr="008C5A1C">
              <w:t xml:space="preserve"> as included in the Wholesale Gas Electronic Delivery Mechanism Related Standards and incorporated by FERC in 18 CFR 284.12</w:t>
            </w:r>
            <w:r>
              <w:t>,</w:t>
            </w:r>
            <w:r w:rsidRPr="008C5A1C">
              <w:t xml:space="preserve"> updating to the latest versions of available protocols as soon as practicable and not to exceed 9 months is a general best practice that organizations within the wholesale electric quadrant, retail electric and retail gas quadrants should consider for incorporation as well.</w:t>
            </w:r>
          </w:p>
        </w:tc>
        <w:tc>
          <w:tcPr>
            <w:tcW w:w="3227" w:type="dxa"/>
          </w:tcPr>
          <w:p w14:paraId="1C578FFC" w14:textId="77777777" w:rsidR="00332FDF" w:rsidRPr="00CE4EA6" w:rsidRDefault="00332FDF" w:rsidP="00810624">
            <w:pPr>
              <w:spacing w:before="120" w:after="120"/>
            </w:pPr>
            <w:r w:rsidRPr="00CE4EA6">
              <w:lastRenderedPageBreak/>
              <w:t>As part of a recurring WGQ Annual Plan Item, the WGQ EDM Subcommittee reviews and updates the technical characteristics in WGQ EDM Manual Appendices B – D.</w:t>
            </w:r>
          </w:p>
          <w:p w14:paraId="663B8405" w14:textId="77777777" w:rsidR="00332FDF" w:rsidRPr="00CE4EA6" w:rsidRDefault="00332FDF" w:rsidP="00810624">
            <w:pPr>
              <w:spacing w:before="120" w:after="120"/>
            </w:pPr>
            <w:r w:rsidRPr="00CE4EA6">
              <w:t xml:space="preserve">Subcommittees should consider adding requirement to RMQ EDM Manual to state entities should seek </w:t>
            </w:r>
            <w:r w:rsidRPr="00CE4EA6">
              <w:lastRenderedPageBreak/>
              <w:t>to utilize the latest generally available version of protocols within 9 months of such version becoming available as recommended.</w:t>
            </w:r>
          </w:p>
        </w:tc>
        <w:tc>
          <w:tcPr>
            <w:tcW w:w="2893" w:type="dxa"/>
          </w:tcPr>
          <w:p w14:paraId="1444ACFA" w14:textId="77777777" w:rsidR="00332FDF" w:rsidRDefault="00332FDF" w:rsidP="00810624">
            <w:pPr>
              <w:spacing w:before="120" w:after="120"/>
              <w:rPr>
                <w:szCs w:val="20"/>
              </w:rPr>
            </w:pPr>
            <w:r>
              <w:rPr>
                <w:szCs w:val="20"/>
              </w:rPr>
              <w:lastRenderedPageBreak/>
              <w:t>M</w:t>
            </w:r>
            <w:r w:rsidRPr="009662CB">
              <w:rPr>
                <w:szCs w:val="20"/>
              </w:rPr>
              <w:t xml:space="preserve">odified our standards to </w:t>
            </w:r>
            <w:r>
              <w:rPr>
                <w:szCs w:val="20"/>
              </w:rPr>
              <w:t xml:space="preserve">include </w:t>
            </w:r>
            <w:r w:rsidRPr="009662CB">
              <w:rPr>
                <w:szCs w:val="20"/>
              </w:rPr>
              <w:t>specific</w:t>
            </w:r>
            <w:r>
              <w:rPr>
                <w:szCs w:val="20"/>
              </w:rPr>
              <w:t xml:space="preserve"> versions that should be observed. Not, however, that the “9 month GA” timeline is relevant to WGQ web sites standards; the RMQ has no corresponding web site standards.</w:t>
            </w:r>
          </w:p>
          <w:p w14:paraId="29ACC1A6" w14:textId="77777777" w:rsidR="00332FDF" w:rsidRPr="006562CD" w:rsidRDefault="00332FDF" w:rsidP="00810624">
            <w:pPr>
              <w:spacing w:before="120" w:after="120"/>
              <w:rPr>
                <w:szCs w:val="20"/>
              </w:rPr>
            </w:pPr>
            <w:r w:rsidRPr="006562CD">
              <w:rPr>
                <w:b/>
                <w:szCs w:val="20"/>
                <w:u w:val="single"/>
              </w:rPr>
              <w:lastRenderedPageBreak/>
              <w:t>WGQ</w:t>
            </w:r>
            <w:r w:rsidRPr="006562CD">
              <w:rPr>
                <w:b/>
                <w:szCs w:val="20"/>
              </w:rPr>
              <w:t>:</w:t>
            </w:r>
          </w:p>
          <w:p w14:paraId="638DB413" w14:textId="77777777" w:rsidR="00332FDF" w:rsidRDefault="00332FDF" w:rsidP="00810624">
            <w:pPr>
              <w:spacing w:before="120" w:after="120"/>
              <w:rPr>
                <w:szCs w:val="20"/>
              </w:rPr>
            </w:pPr>
            <w:r>
              <w:rPr>
                <w:szCs w:val="20"/>
              </w:rPr>
              <w:t>N/A</w:t>
            </w:r>
          </w:p>
          <w:p w14:paraId="4E4234A3" w14:textId="77777777" w:rsidR="00332FDF" w:rsidRDefault="00332FDF" w:rsidP="00810624">
            <w:pPr>
              <w:spacing w:before="120" w:after="120"/>
              <w:rPr>
                <w:szCs w:val="20"/>
              </w:rPr>
            </w:pPr>
            <w:r w:rsidRPr="006562CD">
              <w:rPr>
                <w:b/>
                <w:szCs w:val="20"/>
                <w:u w:val="single"/>
              </w:rPr>
              <w:t>RMQ</w:t>
            </w:r>
            <w:r w:rsidRPr="006562CD">
              <w:rPr>
                <w:b/>
                <w:szCs w:val="20"/>
              </w:rPr>
              <w:t>:</w:t>
            </w:r>
          </w:p>
          <w:p w14:paraId="5CEA3518" w14:textId="77777777" w:rsidR="00332FDF" w:rsidRPr="00CE4EA6" w:rsidRDefault="00332FDF" w:rsidP="00810624">
            <w:pPr>
              <w:spacing w:before="120" w:after="120"/>
            </w:pPr>
            <w:r>
              <w:t>D7, D8</w:t>
            </w:r>
          </w:p>
        </w:tc>
      </w:tr>
    </w:tbl>
    <w:p w14:paraId="73E1B198" w14:textId="5D2CF1C4" w:rsidR="00332FDF" w:rsidRDefault="00332FDF" w:rsidP="00084E98">
      <w:pPr>
        <w:pStyle w:val="DefaultText"/>
        <w:spacing w:before="120"/>
        <w:rPr>
          <w:szCs w:val="24"/>
        </w:rPr>
      </w:pPr>
    </w:p>
    <w:p w14:paraId="2043D87A" w14:textId="77777777" w:rsidR="00332FDF" w:rsidRDefault="00332FDF" w:rsidP="00084E98">
      <w:pPr>
        <w:pStyle w:val="DefaultText"/>
        <w:spacing w:before="120"/>
        <w:rPr>
          <w:szCs w:val="24"/>
        </w:rPr>
      </w:pPr>
    </w:p>
    <w:tbl>
      <w:tblPr>
        <w:tblStyle w:val="TableGrid"/>
        <w:tblW w:w="0" w:type="auto"/>
        <w:tblLook w:val="04A0" w:firstRow="1" w:lastRow="0" w:firstColumn="1" w:lastColumn="0" w:noHBand="0" w:noVBand="1"/>
      </w:tblPr>
      <w:tblGrid>
        <w:gridCol w:w="895"/>
        <w:gridCol w:w="1938"/>
        <w:gridCol w:w="4662"/>
        <w:gridCol w:w="2528"/>
        <w:gridCol w:w="2505"/>
      </w:tblGrid>
      <w:tr w:rsidR="00332FDF" w:rsidRPr="00CE4EA6" w14:paraId="0325E058" w14:textId="77777777" w:rsidTr="00810624">
        <w:trPr>
          <w:tblHeader/>
        </w:trPr>
        <w:tc>
          <w:tcPr>
            <w:tcW w:w="895" w:type="dxa"/>
          </w:tcPr>
          <w:p w14:paraId="17BE290A" w14:textId="77777777" w:rsidR="00332FDF" w:rsidRPr="00022F41" w:rsidRDefault="00332FDF" w:rsidP="00810624">
            <w:pPr>
              <w:spacing w:before="120" w:after="120"/>
              <w:rPr>
                <w:b/>
                <w:bCs/>
              </w:rPr>
            </w:pPr>
            <w:r w:rsidRPr="00022F41">
              <w:rPr>
                <w:b/>
                <w:bCs/>
              </w:rPr>
              <w:t>Issue</w:t>
            </w:r>
          </w:p>
        </w:tc>
        <w:tc>
          <w:tcPr>
            <w:tcW w:w="1980" w:type="dxa"/>
          </w:tcPr>
          <w:p w14:paraId="75391DF3" w14:textId="77777777" w:rsidR="00332FDF" w:rsidRPr="00022F41" w:rsidRDefault="00332FDF" w:rsidP="00810624">
            <w:pPr>
              <w:spacing w:before="120" w:after="120"/>
              <w:rPr>
                <w:b/>
                <w:bCs/>
              </w:rPr>
            </w:pPr>
            <w:r w:rsidRPr="00022F41">
              <w:rPr>
                <w:b/>
                <w:bCs/>
              </w:rPr>
              <w:t>Report Section (Page Number)</w:t>
            </w:r>
          </w:p>
        </w:tc>
        <w:tc>
          <w:tcPr>
            <w:tcW w:w="4895" w:type="dxa"/>
          </w:tcPr>
          <w:p w14:paraId="2B3EF1C2" w14:textId="77777777" w:rsidR="00332FDF" w:rsidRPr="00022F41" w:rsidRDefault="00332FDF" w:rsidP="00810624">
            <w:pPr>
              <w:spacing w:before="120" w:after="120"/>
              <w:rPr>
                <w:b/>
                <w:bCs/>
              </w:rPr>
            </w:pPr>
            <w:r w:rsidRPr="00022F41">
              <w:rPr>
                <w:b/>
                <w:bCs/>
              </w:rPr>
              <w:t>Sandia Findin</w:t>
            </w:r>
            <w:r>
              <w:rPr>
                <w:b/>
                <w:bCs/>
              </w:rPr>
              <w:t>g or Consideration</w:t>
            </w:r>
          </w:p>
        </w:tc>
        <w:tc>
          <w:tcPr>
            <w:tcW w:w="2590" w:type="dxa"/>
          </w:tcPr>
          <w:p w14:paraId="28CD6A55" w14:textId="77777777" w:rsidR="00332FDF" w:rsidRPr="00CE4EA6" w:rsidRDefault="00332FDF" w:rsidP="00810624">
            <w:pPr>
              <w:spacing w:before="120" w:after="120"/>
              <w:rPr>
                <w:b/>
                <w:bCs/>
              </w:rPr>
            </w:pPr>
            <w:r w:rsidRPr="00CE4EA6">
              <w:rPr>
                <w:b/>
                <w:bCs/>
              </w:rPr>
              <w:t>Standard Considerations (if applicable)</w:t>
            </w:r>
          </w:p>
        </w:tc>
        <w:tc>
          <w:tcPr>
            <w:tcW w:w="2590" w:type="dxa"/>
          </w:tcPr>
          <w:p w14:paraId="6B7503F6" w14:textId="77777777" w:rsidR="00332FDF" w:rsidRPr="00CE4EA6" w:rsidRDefault="00332FDF" w:rsidP="00810624">
            <w:pPr>
              <w:spacing w:before="120" w:after="120"/>
              <w:rPr>
                <w:b/>
                <w:bCs/>
              </w:rPr>
            </w:pPr>
            <w:r w:rsidRPr="00CE4EA6">
              <w:rPr>
                <w:b/>
                <w:bCs/>
              </w:rPr>
              <w:t>Assignment (if applicable)</w:t>
            </w:r>
          </w:p>
        </w:tc>
      </w:tr>
      <w:tr w:rsidR="00332FDF" w:rsidRPr="00CE4EA6" w14:paraId="07594BE3" w14:textId="77777777" w:rsidTr="00810624">
        <w:tc>
          <w:tcPr>
            <w:tcW w:w="895" w:type="dxa"/>
          </w:tcPr>
          <w:p w14:paraId="5F1C39B4" w14:textId="77777777" w:rsidR="00332FDF" w:rsidRDefault="00332FDF" w:rsidP="00810624">
            <w:pPr>
              <w:spacing w:before="120" w:after="120"/>
              <w:jc w:val="right"/>
            </w:pPr>
            <w:r>
              <w:t>Seven</w:t>
            </w:r>
          </w:p>
        </w:tc>
        <w:tc>
          <w:tcPr>
            <w:tcW w:w="1980" w:type="dxa"/>
          </w:tcPr>
          <w:p w14:paraId="58DE8EE6" w14:textId="77777777" w:rsidR="00332FDF" w:rsidRDefault="00332FDF" w:rsidP="00810624">
            <w:pPr>
              <w:spacing w:before="120" w:after="120"/>
            </w:pPr>
            <w:r>
              <w:t xml:space="preserve">Business Operations Practices and Standards Report Section 6.1.4 – Use of Human Control </w:t>
            </w:r>
            <w:r>
              <w:lastRenderedPageBreak/>
              <w:t>and Review in Operations (Page 12)</w:t>
            </w:r>
          </w:p>
          <w:p w14:paraId="6D1CFC99" w14:textId="77777777" w:rsidR="00332FDF" w:rsidRDefault="00332FDF" w:rsidP="00810624">
            <w:pPr>
              <w:spacing w:before="120" w:after="120"/>
            </w:pPr>
            <w:r>
              <w:t>(Table of Contents Section 6.2.1 Use of Human Control and Review in Operations)</w:t>
            </w:r>
          </w:p>
        </w:tc>
        <w:tc>
          <w:tcPr>
            <w:tcW w:w="4895" w:type="dxa"/>
          </w:tcPr>
          <w:p w14:paraId="0C135AC4" w14:textId="77777777" w:rsidR="00332FDF" w:rsidRDefault="00332FDF" w:rsidP="00810624">
            <w:pPr>
              <w:spacing w:before="120" w:after="120"/>
            </w:pPr>
            <w:bookmarkStart w:id="1" w:name="_Hlk10107157"/>
            <w:r w:rsidRPr="00220852">
              <w:rPr>
                <w:szCs w:val="20"/>
              </w:rPr>
              <w:lastRenderedPageBreak/>
              <w:t xml:space="preserve">With the current trend towards more automation and computer control, this strength should be considered when replacing human operators with autonomous </w:t>
            </w:r>
            <w:bookmarkEnd w:id="1"/>
            <w:r w:rsidRPr="00220852">
              <w:rPr>
                <w:szCs w:val="20"/>
              </w:rPr>
              <w:t xml:space="preserve">systems. Many tools exist to help automate both security of network systems and can provide additional </w:t>
            </w:r>
            <w:r w:rsidRPr="00220852">
              <w:rPr>
                <w:szCs w:val="20"/>
              </w:rPr>
              <w:lastRenderedPageBreak/>
              <w:t>support for monitoring network traffic and operations through technologies such as Intrusion Detection Systems (IDS), Intrusion Prevention Systems (IPS), machine learning, user behavioral analysis, zero trust models or other technologies that may become available. These are implementation details that may optionally be reviewed for acceptable standards.</w:t>
            </w:r>
            <w:r w:rsidRPr="00220852">
              <w:rPr>
                <w:rStyle w:val="FootnoteReference"/>
              </w:rPr>
              <w:footnoteReference w:id="2"/>
            </w:r>
            <w:r w:rsidRPr="00220852">
              <w:rPr>
                <w:szCs w:val="20"/>
              </w:rPr>
              <w:t xml:space="preserve">   This includes recommended guidelines for configuration and even logging, network traffic monitoring, and alerting systems. The assessment team also recommends that, at a minimum, humans retain monitoring capability and where possible provide manual continuity of operations in the event of abnormal behavior or failure conditions with the system.</w:t>
            </w:r>
          </w:p>
        </w:tc>
        <w:tc>
          <w:tcPr>
            <w:tcW w:w="2590" w:type="dxa"/>
          </w:tcPr>
          <w:p w14:paraId="5D8DDB4E" w14:textId="77777777" w:rsidR="00332FDF" w:rsidRPr="00CE4EA6" w:rsidRDefault="00332FDF" w:rsidP="00810624">
            <w:pPr>
              <w:spacing w:before="120" w:after="120"/>
            </w:pPr>
            <w:r w:rsidRPr="00CE4EA6">
              <w:lastRenderedPageBreak/>
              <w:t xml:space="preserve">Subcommittees should consider standard(s) to address recommended guidelines for configuration and logging, network traffic </w:t>
            </w:r>
            <w:r w:rsidRPr="00CE4EA6">
              <w:lastRenderedPageBreak/>
              <w:t>monitoring, and alerting systems as well standard(s) requiring manual continuity of operations in the event of abnormal behavior or failure conditions with the system.</w:t>
            </w:r>
          </w:p>
        </w:tc>
        <w:tc>
          <w:tcPr>
            <w:tcW w:w="2590" w:type="dxa"/>
          </w:tcPr>
          <w:p w14:paraId="262331D4" w14:textId="77777777" w:rsidR="00332FDF" w:rsidRDefault="00332FDF" w:rsidP="00810624">
            <w:pPr>
              <w:spacing w:before="120" w:after="120"/>
              <w:rPr>
                <w:szCs w:val="20"/>
              </w:rPr>
            </w:pPr>
            <w:r>
              <w:rPr>
                <w:szCs w:val="20"/>
              </w:rPr>
              <w:lastRenderedPageBreak/>
              <w:t>M</w:t>
            </w:r>
            <w:r w:rsidRPr="009662CB">
              <w:rPr>
                <w:szCs w:val="20"/>
              </w:rPr>
              <w:t xml:space="preserve">odified standards to include both specific and broad adoption of system security measures, and specific notification and </w:t>
            </w:r>
            <w:r w:rsidRPr="009662CB">
              <w:rPr>
                <w:szCs w:val="20"/>
              </w:rPr>
              <w:lastRenderedPageBreak/>
              <w:t xml:space="preserve">coordination during outages with effected trading partners.  </w:t>
            </w:r>
          </w:p>
          <w:p w14:paraId="2F3B5A79" w14:textId="77777777" w:rsidR="00332FDF" w:rsidRPr="006562CD" w:rsidRDefault="00332FDF" w:rsidP="00810624">
            <w:pPr>
              <w:spacing w:before="120" w:after="120"/>
              <w:rPr>
                <w:szCs w:val="20"/>
              </w:rPr>
            </w:pPr>
            <w:r w:rsidRPr="006562CD">
              <w:rPr>
                <w:b/>
                <w:szCs w:val="20"/>
                <w:u w:val="single"/>
              </w:rPr>
              <w:t>WGQ</w:t>
            </w:r>
            <w:r w:rsidRPr="006562CD">
              <w:rPr>
                <w:b/>
                <w:szCs w:val="20"/>
              </w:rPr>
              <w:t>:</w:t>
            </w:r>
          </w:p>
          <w:p w14:paraId="130AA03D" w14:textId="77777777" w:rsidR="00332FDF" w:rsidRDefault="00332FDF" w:rsidP="00810624">
            <w:pPr>
              <w:spacing w:before="120" w:after="120"/>
              <w:rPr>
                <w:szCs w:val="20"/>
              </w:rPr>
            </w:pPr>
            <w:r>
              <w:rPr>
                <w:szCs w:val="20"/>
              </w:rPr>
              <w:t>D3, D5</w:t>
            </w:r>
          </w:p>
          <w:p w14:paraId="19B1F431" w14:textId="77777777" w:rsidR="00332FDF" w:rsidRDefault="00332FDF" w:rsidP="00810624">
            <w:pPr>
              <w:spacing w:before="120" w:after="120"/>
              <w:rPr>
                <w:szCs w:val="20"/>
              </w:rPr>
            </w:pPr>
            <w:r w:rsidRPr="006562CD">
              <w:rPr>
                <w:b/>
                <w:szCs w:val="20"/>
                <w:u w:val="single"/>
              </w:rPr>
              <w:t>RMQ</w:t>
            </w:r>
            <w:r w:rsidRPr="006562CD">
              <w:rPr>
                <w:b/>
                <w:szCs w:val="20"/>
              </w:rPr>
              <w:t>:</w:t>
            </w:r>
          </w:p>
          <w:p w14:paraId="5AF1BFD6" w14:textId="77777777" w:rsidR="00332FDF" w:rsidRPr="00CE4EA6" w:rsidRDefault="00332FDF" w:rsidP="00810624">
            <w:pPr>
              <w:spacing w:before="120" w:after="120"/>
            </w:pPr>
            <w:r>
              <w:t>D4</w:t>
            </w:r>
          </w:p>
        </w:tc>
      </w:tr>
      <w:tr w:rsidR="00332FDF" w:rsidRPr="005B2446" w14:paraId="0DC07E78" w14:textId="77777777" w:rsidTr="00810624">
        <w:tc>
          <w:tcPr>
            <w:tcW w:w="895" w:type="dxa"/>
          </w:tcPr>
          <w:p w14:paraId="07C10076" w14:textId="77777777" w:rsidR="00332FDF" w:rsidRDefault="00332FDF" w:rsidP="00810624">
            <w:pPr>
              <w:spacing w:before="120" w:after="120"/>
              <w:jc w:val="right"/>
            </w:pPr>
            <w:r>
              <w:lastRenderedPageBreak/>
              <w:t>Nine</w:t>
            </w:r>
          </w:p>
        </w:tc>
        <w:tc>
          <w:tcPr>
            <w:tcW w:w="1980" w:type="dxa"/>
          </w:tcPr>
          <w:p w14:paraId="123B5CCD" w14:textId="77777777" w:rsidR="00332FDF" w:rsidRDefault="00332FDF" w:rsidP="00810624">
            <w:pPr>
              <w:spacing w:before="120" w:after="120"/>
            </w:pPr>
            <w:r>
              <w:t>Business Operations Practices and Standards Report – Section 6.1.6 Continued Use of Different Security Paradigms (Pages 13 – 15)</w:t>
            </w:r>
          </w:p>
          <w:p w14:paraId="0A63E537" w14:textId="77777777" w:rsidR="00332FDF" w:rsidRDefault="00332FDF" w:rsidP="00810624">
            <w:pPr>
              <w:spacing w:before="120" w:after="120"/>
            </w:pPr>
            <w:r>
              <w:t xml:space="preserve">(Table of Contents </w:t>
            </w:r>
            <w:r>
              <w:lastRenderedPageBreak/>
              <w:t>Section 6.2.3 Gas and Electric Industry Interactions)</w:t>
            </w:r>
          </w:p>
        </w:tc>
        <w:tc>
          <w:tcPr>
            <w:tcW w:w="4895" w:type="dxa"/>
          </w:tcPr>
          <w:p w14:paraId="355D200F" w14:textId="77777777" w:rsidR="00332FDF" w:rsidRDefault="00332FDF" w:rsidP="00810624">
            <w:pPr>
              <w:spacing w:before="120" w:after="120"/>
            </w:pPr>
            <w:r w:rsidRPr="00E13BE2">
              <w:rPr>
                <w:szCs w:val="20"/>
              </w:rPr>
              <w:lastRenderedPageBreak/>
              <w:t xml:space="preserve">Both PGP and PKI provide adequate security provided they are properly configured and NIST - 131A encryption and decryptions denotes AES encryption and decryption as acceptable. NIST - 131A makes allowance for some legacy encryption and decryption algorithms, the assessment team recommends removal of legacy support and a minimum encryption strength of 128 bits. This is consistent with NAESB Internet Electronic Transport standards which requires 128-bit </w:t>
            </w:r>
            <w:r w:rsidRPr="00E13BE2">
              <w:rPr>
                <w:szCs w:val="20"/>
              </w:rPr>
              <w:lastRenderedPageBreak/>
              <w:t>strength encryption.</w:t>
            </w:r>
          </w:p>
        </w:tc>
        <w:tc>
          <w:tcPr>
            <w:tcW w:w="2590" w:type="dxa"/>
          </w:tcPr>
          <w:p w14:paraId="50A3B850" w14:textId="77777777" w:rsidR="00332FDF" w:rsidRPr="00CE4EA6" w:rsidRDefault="00332FDF" w:rsidP="00810624">
            <w:pPr>
              <w:spacing w:before="120" w:after="120"/>
            </w:pPr>
            <w:r w:rsidRPr="00CE4EA6">
              <w:lastRenderedPageBreak/>
              <w:t>Subcommittees should review the standards for legacy support references and remove as recommended.</w:t>
            </w:r>
          </w:p>
        </w:tc>
        <w:tc>
          <w:tcPr>
            <w:tcW w:w="2590" w:type="dxa"/>
          </w:tcPr>
          <w:p w14:paraId="33E2BF3D" w14:textId="77777777" w:rsidR="00332FDF" w:rsidRDefault="00332FDF" w:rsidP="00810624">
            <w:pPr>
              <w:spacing w:before="120" w:after="120"/>
              <w:rPr>
                <w:szCs w:val="20"/>
              </w:rPr>
            </w:pPr>
            <w:r>
              <w:rPr>
                <w:szCs w:val="20"/>
              </w:rPr>
              <w:t>M</w:t>
            </w:r>
            <w:r w:rsidRPr="009662CB">
              <w:rPr>
                <w:szCs w:val="20"/>
              </w:rPr>
              <w:t xml:space="preserve">odified our standards to </w:t>
            </w:r>
            <w:r>
              <w:rPr>
                <w:szCs w:val="20"/>
              </w:rPr>
              <w:t xml:space="preserve">both remove dated versions (specifically PGP) </w:t>
            </w:r>
            <w:r w:rsidRPr="009662CB">
              <w:rPr>
                <w:szCs w:val="20"/>
              </w:rPr>
              <w:t xml:space="preserve">and </w:t>
            </w:r>
            <w:r>
              <w:rPr>
                <w:szCs w:val="20"/>
              </w:rPr>
              <w:t xml:space="preserve">centralized </w:t>
            </w:r>
            <w:r w:rsidRPr="009662CB">
              <w:rPr>
                <w:szCs w:val="20"/>
              </w:rPr>
              <w:t>such references to make future revisions easier.</w:t>
            </w:r>
          </w:p>
          <w:p w14:paraId="1CCF4966" w14:textId="77777777" w:rsidR="00332FDF" w:rsidRPr="006562CD" w:rsidRDefault="00332FDF" w:rsidP="00810624">
            <w:pPr>
              <w:spacing w:before="120" w:after="120"/>
              <w:rPr>
                <w:szCs w:val="20"/>
              </w:rPr>
            </w:pPr>
            <w:r w:rsidRPr="006562CD">
              <w:rPr>
                <w:b/>
                <w:szCs w:val="20"/>
                <w:u w:val="single"/>
              </w:rPr>
              <w:t>WGQ</w:t>
            </w:r>
            <w:r w:rsidRPr="006562CD">
              <w:rPr>
                <w:b/>
                <w:szCs w:val="20"/>
              </w:rPr>
              <w:t>:</w:t>
            </w:r>
          </w:p>
          <w:p w14:paraId="573F9769" w14:textId="77777777" w:rsidR="00332FDF" w:rsidRDefault="00332FDF" w:rsidP="00810624">
            <w:pPr>
              <w:spacing w:before="120" w:after="120"/>
              <w:rPr>
                <w:szCs w:val="20"/>
              </w:rPr>
            </w:pPr>
            <w:r>
              <w:rPr>
                <w:szCs w:val="20"/>
              </w:rPr>
              <w:t xml:space="preserve">D15, D17, D37, D38, D46, </w:t>
            </w:r>
            <w:r>
              <w:rPr>
                <w:szCs w:val="20"/>
              </w:rPr>
              <w:lastRenderedPageBreak/>
              <w:t>D49, D51, D55, D57, D58, D60, D61</w:t>
            </w:r>
          </w:p>
          <w:p w14:paraId="3DA06A51" w14:textId="77777777" w:rsidR="00332FDF" w:rsidRDefault="00332FDF" w:rsidP="00810624">
            <w:pPr>
              <w:spacing w:before="120" w:after="120"/>
              <w:rPr>
                <w:b/>
                <w:szCs w:val="20"/>
              </w:rPr>
            </w:pPr>
            <w:r w:rsidRPr="006562CD">
              <w:rPr>
                <w:b/>
                <w:szCs w:val="20"/>
                <w:u w:val="single"/>
              </w:rPr>
              <w:t>RMQ</w:t>
            </w:r>
            <w:r w:rsidRPr="006562CD">
              <w:rPr>
                <w:b/>
                <w:szCs w:val="20"/>
              </w:rPr>
              <w:t>:</w:t>
            </w:r>
          </w:p>
          <w:p w14:paraId="4E1B70BA" w14:textId="77777777" w:rsidR="00332FDF" w:rsidRPr="005B2446" w:rsidRDefault="00332FDF" w:rsidP="00810624">
            <w:pPr>
              <w:spacing w:before="120" w:after="120"/>
              <w:rPr>
                <w:szCs w:val="20"/>
              </w:rPr>
            </w:pPr>
            <w:r>
              <w:rPr>
                <w:szCs w:val="20"/>
              </w:rPr>
              <w:t>D15</w:t>
            </w:r>
            <w:r w:rsidRPr="005B2446">
              <w:rPr>
                <w:szCs w:val="20"/>
              </w:rPr>
              <w:t>, D37, D38, D46, D49, D51, D55, D57, D58, D60, D61</w:t>
            </w:r>
          </w:p>
        </w:tc>
      </w:tr>
      <w:tr w:rsidR="00332FDF" w:rsidRPr="005B2446" w14:paraId="01E143B6" w14:textId="77777777" w:rsidTr="00810624">
        <w:tc>
          <w:tcPr>
            <w:tcW w:w="895" w:type="dxa"/>
          </w:tcPr>
          <w:p w14:paraId="2CC06E7A" w14:textId="77777777" w:rsidR="00332FDF" w:rsidRDefault="00332FDF" w:rsidP="00810624">
            <w:pPr>
              <w:spacing w:before="120" w:after="120"/>
              <w:jc w:val="right"/>
            </w:pPr>
            <w:r>
              <w:lastRenderedPageBreak/>
              <w:t>Ten</w:t>
            </w:r>
          </w:p>
        </w:tc>
        <w:tc>
          <w:tcPr>
            <w:tcW w:w="1980" w:type="dxa"/>
          </w:tcPr>
          <w:p w14:paraId="6D5B1097" w14:textId="77777777" w:rsidR="00332FDF" w:rsidRDefault="00332FDF" w:rsidP="00810624">
            <w:pPr>
              <w:spacing w:before="120" w:after="120"/>
            </w:pPr>
            <w:r>
              <w:t>Business Operations Practices and Standards Report – Section 6.1.6 Continued Use of Different Security Paradigms (Pages 13 – 15)</w:t>
            </w:r>
          </w:p>
          <w:p w14:paraId="59985BA1" w14:textId="77777777" w:rsidR="00332FDF" w:rsidRDefault="00332FDF" w:rsidP="00810624">
            <w:pPr>
              <w:spacing w:before="120" w:after="120"/>
            </w:pPr>
            <w:r>
              <w:t>(Table of Contents Section 6.2.3 Gas and Electric Industry Interactions)</w:t>
            </w:r>
          </w:p>
          <w:p w14:paraId="4500032F" w14:textId="77777777" w:rsidR="00332FDF" w:rsidRDefault="00332FDF" w:rsidP="00810624">
            <w:pPr>
              <w:spacing w:before="120" w:after="120"/>
            </w:pPr>
          </w:p>
        </w:tc>
        <w:tc>
          <w:tcPr>
            <w:tcW w:w="4895" w:type="dxa"/>
          </w:tcPr>
          <w:p w14:paraId="2C86F7CB" w14:textId="77777777" w:rsidR="00332FDF" w:rsidRPr="00E13BE2" w:rsidRDefault="00332FDF" w:rsidP="00810624">
            <w:pPr>
              <w:spacing w:before="120" w:after="120"/>
              <w:rPr>
                <w:szCs w:val="20"/>
              </w:rPr>
            </w:pPr>
            <w:r w:rsidRPr="006A5AD7">
              <w:rPr>
                <w:szCs w:val="20"/>
              </w:rPr>
              <w:t>The assessment team recommends that updates within the IET standards to clarify language under the security section to NIST 800-52 details the TLS version and associated configurations and currently requires version 1.2 and support for version 1.3 by January 1, 2021. Specific configurations for TLS servers and TLS versions are detailed in section 4 of NIST 800-52 and the specific server implementation is dependent on the TLS version and implementation strategy. NIST 800-52 disallows SSL implementation for both government and business – facing applications and as such, the assessment team recommends disallowing support for SSL version protocols and implement TLS version 1.2 as described.</w:t>
            </w:r>
          </w:p>
        </w:tc>
        <w:tc>
          <w:tcPr>
            <w:tcW w:w="2590" w:type="dxa"/>
          </w:tcPr>
          <w:p w14:paraId="50DCF8CB" w14:textId="77777777" w:rsidR="00332FDF" w:rsidRPr="00CE4EA6" w:rsidRDefault="00332FDF" w:rsidP="00810624">
            <w:pPr>
              <w:spacing w:before="120" w:after="120"/>
            </w:pPr>
            <w:r w:rsidRPr="00CE4EA6">
              <w:t xml:space="preserve">The subcommittees should review TLS/SSL references and update the standard(s) accordingly as recommended </w:t>
            </w:r>
          </w:p>
          <w:p w14:paraId="4841599D" w14:textId="77777777" w:rsidR="00332FDF" w:rsidRPr="00CE4EA6" w:rsidRDefault="00332FDF" w:rsidP="00810624">
            <w:pPr>
              <w:spacing w:before="120" w:after="120"/>
            </w:pPr>
            <w:r w:rsidRPr="00CE4EA6">
              <w:t>(Already addressed as part of Issue #3)</w:t>
            </w:r>
          </w:p>
        </w:tc>
        <w:tc>
          <w:tcPr>
            <w:tcW w:w="2590" w:type="dxa"/>
          </w:tcPr>
          <w:p w14:paraId="0E17BC06" w14:textId="77777777" w:rsidR="00332FDF" w:rsidRDefault="00332FDF" w:rsidP="00810624">
            <w:pPr>
              <w:spacing w:before="120" w:after="120"/>
              <w:rPr>
                <w:szCs w:val="20"/>
              </w:rPr>
            </w:pPr>
            <w:r>
              <w:rPr>
                <w:szCs w:val="20"/>
              </w:rPr>
              <w:t>M</w:t>
            </w:r>
            <w:r w:rsidRPr="009662CB">
              <w:rPr>
                <w:szCs w:val="20"/>
              </w:rPr>
              <w:t xml:space="preserve">odified our standards to specify TLS V1.2, and </w:t>
            </w:r>
            <w:r>
              <w:rPr>
                <w:szCs w:val="20"/>
              </w:rPr>
              <w:t xml:space="preserve">centralized </w:t>
            </w:r>
            <w:r w:rsidRPr="009662CB">
              <w:rPr>
                <w:szCs w:val="20"/>
              </w:rPr>
              <w:t>such references to make future revisions easier.</w:t>
            </w:r>
          </w:p>
          <w:p w14:paraId="3F94D971" w14:textId="77777777" w:rsidR="00332FDF" w:rsidRPr="006562CD" w:rsidRDefault="00332FDF" w:rsidP="00810624">
            <w:pPr>
              <w:spacing w:before="120" w:after="120"/>
              <w:rPr>
                <w:szCs w:val="20"/>
              </w:rPr>
            </w:pPr>
            <w:r w:rsidRPr="006562CD">
              <w:rPr>
                <w:b/>
                <w:szCs w:val="20"/>
                <w:u w:val="single"/>
              </w:rPr>
              <w:t>WGQ</w:t>
            </w:r>
            <w:r w:rsidRPr="006562CD">
              <w:rPr>
                <w:b/>
                <w:szCs w:val="20"/>
              </w:rPr>
              <w:t>:</w:t>
            </w:r>
          </w:p>
          <w:p w14:paraId="4C66A4C8" w14:textId="77777777" w:rsidR="00332FDF" w:rsidRPr="0083438D" w:rsidRDefault="00332FDF" w:rsidP="00810624">
            <w:pPr>
              <w:spacing w:before="120" w:after="120"/>
              <w:rPr>
                <w:szCs w:val="20"/>
              </w:rPr>
            </w:pPr>
            <w:r>
              <w:rPr>
                <w:szCs w:val="20"/>
              </w:rPr>
              <w:t>D10, D12, D14, D19, D28, D29, D30, D32, D34, D</w:t>
            </w:r>
            <w:r w:rsidRPr="0083438D">
              <w:rPr>
                <w:szCs w:val="20"/>
              </w:rPr>
              <w:t>35, D36, D39, D40, D44</w:t>
            </w:r>
          </w:p>
          <w:p w14:paraId="18CC799B" w14:textId="77777777" w:rsidR="00332FDF" w:rsidRDefault="00332FDF" w:rsidP="00810624">
            <w:pPr>
              <w:spacing w:before="120" w:after="120"/>
              <w:rPr>
                <w:b/>
                <w:szCs w:val="20"/>
              </w:rPr>
            </w:pPr>
            <w:r w:rsidRPr="006562CD">
              <w:rPr>
                <w:b/>
                <w:szCs w:val="20"/>
                <w:u w:val="single"/>
              </w:rPr>
              <w:t>RMQ</w:t>
            </w:r>
            <w:r w:rsidRPr="006562CD">
              <w:rPr>
                <w:b/>
                <w:szCs w:val="20"/>
              </w:rPr>
              <w:t>:</w:t>
            </w:r>
            <w:r>
              <w:rPr>
                <w:b/>
                <w:szCs w:val="20"/>
              </w:rPr>
              <w:t xml:space="preserve"> </w:t>
            </w:r>
          </w:p>
          <w:p w14:paraId="7761E6D4" w14:textId="77777777" w:rsidR="00332FDF" w:rsidRPr="005B2446" w:rsidRDefault="00332FDF" w:rsidP="00810624">
            <w:pPr>
              <w:spacing w:before="120" w:after="120"/>
              <w:rPr>
                <w:szCs w:val="20"/>
              </w:rPr>
            </w:pPr>
            <w:r w:rsidRPr="0083438D">
              <w:rPr>
                <w:szCs w:val="20"/>
              </w:rPr>
              <w:t>D20, D21, D26a, D26b, D36, D39, D40, D44</w:t>
            </w:r>
          </w:p>
        </w:tc>
      </w:tr>
      <w:tr w:rsidR="00332FDF" w:rsidRPr="005B2446" w14:paraId="65756264" w14:textId="77777777" w:rsidTr="00810624">
        <w:tc>
          <w:tcPr>
            <w:tcW w:w="895" w:type="dxa"/>
          </w:tcPr>
          <w:p w14:paraId="39EF57C9" w14:textId="77777777" w:rsidR="00332FDF" w:rsidRDefault="00332FDF" w:rsidP="00810624">
            <w:pPr>
              <w:spacing w:before="120" w:after="120"/>
              <w:jc w:val="right"/>
            </w:pPr>
            <w:r>
              <w:t>Eleven</w:t>
            </w:r>
          </w:p>
        </w:tc>
        <w:tc>
          <w:tcPr>
            <w:tcW w:w="1980" w:type="dxa"/>
          </w:tcPr>
          <w:p w14:paraId="2E079C7B" w14:textId="77777777" w:rsidR="00332FDF" w:rsidRDefault="00332FDF" w:rsidP="00810624">
            <w:pPr>
              <w:spacing w:before="120" w:after="120"/>
            </w:pPr>
            <w:r>
              <w:t xml:space="preserve">Business Operations Practices and Standards Report – </w:t>
            </w:r>
            <w:r>
              <w:lastRenderedPageBreak/>
              <w:t>Section 6.1.6 Continued Use of Different Security Paradigms (Pages 13 – 15)</w:t>
            </w:r>
          </w:p>
          <w:p w14:paraId="750AD8B9" w14:textId="77777777" w:rsidR="00332FDF" w:rsidRDefault="00332FDF" w:rsidP="00810624">
            <w:pPr>
              <w:spacing w:before="120" w:after="120"/>
            </w:pPr>
            <w:r>
              <w:t>(Table of Contents Section 6.2.3 Gas and Electric Industry Interactions)</w:t>
            </w:r>
          </w:p>
        </w:tc>
        <w:tc>
          <w:tcPr>
            <w:tcW w:w="4895" w:type="dxa"/>
          </w:tcPr>
          <w:p w14:paraId="3C291A55" w14:textId="77777777" w:rsidR="00332FDF" w:rsidRPr="006A5AD7" w:rsidRDefault="00332FDF" w:rsidP="00810624">
            <w:pPr>
              <w:spacing w:before="120" w:after="120"/>
              <w:rPr>
                <w:szCs w:val="20"/>
              </w:rPr>
            </w:pPr>
            <w:r w:rsidRPr="006A5AD7">
              <w:rPr>
                <w:szCs w:val="20"/>
              </w:rPr>
              <w:lastRenderedPageBreak/>
              <w:t>An HTTPS</w:t>
            </w:r>
            <w:r w:rsidRPr="006A5AD7">
              <w:rPr>
                <w:rStyle w:val="FootnoteReference"/>
              </w:rPr>
              <w:footnoteReference w:id="3"/>
            </w:r>
            <w:r w:rsidRPr="006A5AD7">
              <w:rPr>
                <w:szCs w:val="20"/>
              </w:rPr>
              <w:t xml:space="preserve"> solution will protect information in transit, supporting overall privacy needs. Using basic authentication over HTTP is inherently insecure as </w:t>
            </w:r>
            <w:r w:rsidRPr="006A5AD7">
              <w:rPr>
                <w:szCs w:val="20"/>
              </w:rPr>
              <w:lastRenderedPageBreak/>
              <w:t>username/password combinations are not encrypted in HTTP basic authentication</w:t>
            </w:r>
            <w:r w:rsidRPr="006A5AD7">
              <w:rPr>
                <w:rStyle w:val="FootnoteReference"/>
              </w:rPr>
              <w:footnoteReference w:id="4"/>
            </w:r>
            <w:r w:rsidRPr="006A5AD7">
              <w:rPr>
                <w:szCs w:val="20"/>
              </w:rPr>
              <w:t>.</w:t>
            </w:r>
            <w:r>
              <w:rPr>
                <w:szCs w:val="20"/>
              </w:rPr>
              <w:t xml:space="preserve"> </w:t>
            </w:r>
            <w:r w:rsidRPr="006A5AD7">
              <w:rPr>
                <w:szCs w:val="20"/>
              </w:rPr>
              <w:t>If the communication channel is secured via HTTPS, then those credentials are secured as well.</w:t>
            </w:r>
            <w:r>
              <w:rPr>
                <w:szCs w:val="20"/>
              </w:rPr>
              <w:t xml:space="preserve"> </w:t>
            </w:r>
            <w:r w:rsidRPr="006A5AD7">
              <w:rPr>
                <w:szCs w:val="20"/>
              </w:rPr>
              <w:t xml:space="preserve">While self-signed certificates are acceptable for payload protection, HTTPS communication must be secured via certificates issued by a trusted, commercial certificate authority such as a NAESB ACA in order to verify certificate authenticity. Additional options for certificate authorities include commercial certificate authorities include </w:t>
            </w:r>
            <w:proofErr w:type="spellStart"/>
            <w:r w:rsidRPr="006A5AD7">
              <w:rPr>
                <w:szCs w:val="20"/>
              </w:rPr>
              <w:t>IdenTrust</w:t>
            </w:r>
            <w:proofErr w:type="spellEnd"/>
            <w:r w:rsidRPr="006A5AD7">
              <w:rPr>
                <w:szCs w:val="20"/>
              </w:rPr>
              <w:t xml:space="preserve">, Comodo, GoDaddy, </w:t>
            </w:r>
            <w:proofErr w:type="spellStart"/>
            <w:r w:rsidRPr="006A5AD7">
              <w:rPr>
                <w:szCs w:val="20"/>
              </w:rPr>
              <w:t>GlobalSign</w:t>
            </w:r>
            <w:proofErr w:type="spellEnd"/>
            <w:r w:rsidRPr="006A5AD7">
              <w:rPr>
                <w:szCs w:val="20"/>
              </w:rPr>
              <w:t>, and DigiCert; other valid certificate authorities exist as well.</w:t>
            </w:r>
          </w:p>
        </w:tc>
        <w:tc>
          <w:tcPr>
            <w:tcW w:w="2590" w:type="dxa"/>
          </w:tcPr>
          <w:p w14:paraId="0FE402BA" w14:textId="77777777" w:rsidR="00332FDF" w:rsidRPr="00CE4EA6" w:rsidRDefault="00332FDF" w:rsidP="00810624">
            <w:pPr>
              <w:spacing w:before="120" w:after="120"/>
            </w:pPr>
            <w:r w:rsidRPr="00CE4EA6">
              <w:lastRenderedPageBreak/>
              <w:t xml:space="preserve">Subcommittees should review standard(s) referencing HTTP/HTTPS </w:t>
            </w:r>
            <w:r w:rsidRPr="00CE4EA6">
              <w:lastRenderedPageBreak/>
              <w:t>(specifically WGQ Standards 4.3.60, 4.3.83, and 10.3.4 and RXQ Standard 7.3.4) and modify as needed.</w:t>
            </w:r>
          </w:p>
          <w:p w14:paraId="394956DD" w14:textId="77777777" w:rsidR="00332FDF" w:rsidRPr="00CE4EA6" w:rsidRDefault="00332FDF" w:rsidP="00810624">
            <w:pPr>
              <w:spacing w:before="120" w:after="120"/>
            </w:pPr>
            <w:r w:rsidRPr="00CE4EA6">
              <w:t>Subcommittees should consider standard(s) securing communications via certificates as recommended.</w:t>
            </w:r>
          </w:p>
        </w:tc>
        <w:tc>
          <w:tcPr>
            <w:tcW w:w="2590" w:type="dxa"/>
          </w:tcPr>
          <w:p w14:paraId="4D962617" w14:textId="77777777" w:rsidR="00332FDF" w:rsidRDefault="00332FDF" w:rsidP="00810624">
            <w:pPr>
              <w:spacing w:before="120" w:after="120"/>
              <w:rPr>
                <w:szCs w:val="20"/>
              </w:rPr>
            </w:pPr>
            <w:r>
              <w:rPr>
                <w:szCs w:val="20"/>
              </w:rPr>
              <w:lastRenderedPageBreak/>
              <w:t>M</w:t>
            </w:r>
            <w:r w:rsidRPr="009662CB">
              <w:rPr>
                <w:szCs w:val="20"/>
              </w:rPr>
              <w:t xml:space="preserve">odified our standards to specify </w:t>
            </w:r>
            <w:r>
              <w:rPr>
                <w:szCs w:val="20"/>
              </w:rPr>
              <w:t xml:space="preserve">HTTPS whenever secure communication is </w:t>
            </w:r>
            <w:r>
              <w:rPr>
                <w:szCs w:val="20"/>
              </w:rPr>
              <w:lastRenderedPageBreak/>
              <w:t>required</w:t>
            </w:r>
            <w:r w:rsidRPr="009662CB">
              <w:rPr>
                <w:szCs w:val="20"/>
              </w:rPr>
              <w:t>.</w:t>
            </w:r>
          </w:p>
          <w:p w14:paraId="144016FA" w14:textId="77777777" w:rsidR="00332FDF" w:rsidRDefault="00332FDF" w:rsidP="00810624">
            <w:pPr>
              <w:spacing w:before="120" w:after="120"/>
              <w:rPr>
                <w:b/>
                <w:szCs w:val="20"/>
              </w:rPr>
            </w:pPr>
            <w:r w:rsidRPr="006562CD">
              <w:rPr>
                <w:b/>
                <w:szCs w:val="20"/>
                <w:u w:val="single"/>
              </w:rPr>
              <w:t>WGQ</w:t>
            </w:r>
            <w:r w:rsidRPr="006562CD">
              <w:rPr>
                <w:b/>
                <w:szCs w:val="20"/>
              </w:rPr>
              <w:t>:</w:t>
            </w:r>
          </w:p>
          <w:p w14:paraId="79BE2765" w14:textId="77777777" w:rsidR="00332FDF" w:rsidRPr="0083438D" w:rsidRDefault="00332FDF" w:rsidP="00810624">
            <w:pPr>
              <w:spacing w:before="120" w:after="120"/>
              <w:rPr>
                <w:szCs w:val="20"/>
              </w:rPr>
            </w:pPr>
            <w:r w:rsidRPr="0083438D">
              <w:rPr>
                <w:szCs w:val="20"/>
              </w:rPr>
              <w:t>D1, D9, D13, D16, D18, D27, D28, D29, D40, D45</w:t>
            </w:r>
          </w:p>
          <w:p w14:paraId="0EFA3ED6" w14:textId="77777777" w:rsidR="00332FDF" w:rsidRDefault="00332FDF" w:rsidP="00810624">
            <w:pPr>
              <w:spacing w:before="120" w:after="120"/>
              <w:rPr>
                <w:b/>
                <w:szCs w:val="20"/>
              </w:rPr>
            </w:pPr>
            <w:r w:rsidRPr="006562CD">
              <w:rPr>
                <w:b/>
                <w:szCs w:val="20"/>
                <w:u w:val="single"/>
              </w:rPr>
              <w:t>RMQ</w:t>
            </w:r>
            <w:r w:rsidRPr="006562CD">
              <w:rPr>
                <w:b/>
                <w:szCs w:val="20"/>
              </w:rPr>
              <w:t>:</w:t>
            </w:r>
          </w:p>
          <w:p w14:paraId="31495602" w14:textId="77777777" w:rsidR="00332FDF" w:rsidRPr="005B2446" w:rsidRDefault="00332FDF" w:rsidP="00810624">
            <w:pPr>
              <w:spacing w:before="120" w:after="120"/>
              <w:rPr>
                <w:szCs w:val="20"/>
              </w:rPr>
            </w:pPr>
            <w:r w:rsidRPr="005B2446">
              <w:rPr>
                <w:szCs w:val="20"/>
              </w:rPr>
              <w:t xml:space="preserve">D24, </w:t>
            </w:r>
            <w:r>
              <w:rPr>
                <w:szCs w:val="20"/>
              </w:rPr>
              <w:t xml:space="preserve">D25, </w:t>
            </w:r>
            <w:r w:rsidRPr="005B2446">
              <w:rPr>
                <w:szCs w:val="20"/>
              </w:rPr>
              <w:t>D40, D45</w:t>
            </w:r>
          </w:p>
        </w:tc>
      </w:tr>
      <w:tr w:rsidR="00332FDF" w:rsidRPr="00CE4EA6" w14:paraId="45C95E88" w14:textId="77777777" w:rsidTr="00810624">
        <w:tc>
          <w:tcPr>
            <w:tcW w:w="895" w:type="dxa"/>
          </w:tcPr>
          <w:p w14:paraId="634C8419" w14:textId="77777777" w:rsidR="00332FDF" w:rsidRDefault="00332FDF" w:rsidP="00810624">
            <w:pPr>
              <w:spacing w:before="120" w:after="120"/>
              <w:jc w:val="right"/>
            </w:pPr>
            <w:r>
              <w:lastRenderedPageBreak/>
              <w:t>Twelve</w:t>
            </w:r>
          </w:p>
        </w:tc>
        <w:tc>
          <w:tcPr>
            <w:tcW w:w="1980" w:type="dxa"/>
          </w:tcPr>
          <w:p w14:paraId="097490E5" w14:textId="77777777" w:rsidR="00332FDF" w:rsidRDefault="00332FDF" w:rsidP="00810624">
            <w:pPr>
              <w:spacing w:before="120" w:after="120"/>
            </w:pPr>
            <w:r>
              <w:t>Business Operations Practices and Standards Report – Section 6.1.6 Continued Use of Different Security Paradigms (Pages 13 – 15)</w:t>
            </w:r>
          </w:p>
          <w:p w14:paraId="57E7648D" w14:textId="77777777" w:rsidR="00332FDF" w:rsidRDefault="00332FDF" w:rsidP="00810624">
            <w:pPr>
              <w:spacing w:before="120" w:after="120"/>
            </w:pPr>
            <w:r>
              <w:t xml:space="preserve">(Table of Contents Section 6.2.3 Gas and Electric Industry </w:t>
            </w:r>
            <w:r>
              <w:lastRenderedPageBreak/>
              <w:t>Interactions)</w:t>
            </w:r>
          </w:p>
        </w:tc>
        <w:tc>
          <w:tcPr>
            <w:tcW w:w="4895" w:type="dxa"/>
          </w:tcPr>
          <w:p w14:paraId="63095A60" w14:textId="77777777" w:rsidR="00332FDF" w:rsidRPr="006A5AD7" w:rsidRDefault="00332FDF" w:rsidP="00810624">
            <w:pPr>
              <w:spacing w:before="120" w:after="120"/>
              <w:rPr>
                <w:szCs w:val="20"/>
              </w:rPr>
            </w:pPr>
            <w:r w:rsidRPr="00A63874">
              <w:rPr>
                <w:szCs w:val="20"/>
              </w:rPr>
              <w:lastRenderedPageBreak/>
              <w:t>Key lengths must be updated to reflect current acceptable encryption strength</w:t>
            </w:r>
            <w:r w:rsidRPr="00A63874">
              <w:rPr>
                <w:rStyle w:val="FootnoteReference"/>
              </w:rPr>
              <w:footnoteReference w:id="5"/>
            </w:r>
            <w:r w:rsidRPr="00A63874">
              <w:rPr>
                <w:szCs w:val="20"/>
              </w:rPr>
              <w:t xml:space="preserve">. Specifically, RSA keys must be no shorter than 2048 bits, while ECDSA keys must be no shorter than 224 bits. Hash algorithms should be from the SHA-2 or SHA-3 families. Acceptable AES key lengths range from 128, to 192, to 256. In general, implementors should use the largest feasible key length consistent with implementation of current business processes. In order to be in compliance with these stronger algorithms, any PGP command line clients should be at version 9 or greater </w:t>
            </w:r>
            <w:r w:rsidRPr="00A63874">
              <w:rPr>
                <w:szCs w:val="20"/>
              </w:rPr>
              <w:lastRenderedPageBreak/>
              <w:t>as earlier versions did not support SHA-2 or SHA-3 family hashing algorithms or fully support AES</w:t>
            </w:r>
            <w:r w:rsidRPr="00A63874">
              <w:rPr>
                <w:rStyle w:val="FootnoteReference"/>
              </w:rPr>
              <w:footnoteReference w:id="6"/>
            </w:r>
            <w:r w:rsidRPr="00A63874">
              <w:rPr>
                <w:szCs w:val="20"/>
              </w:rPr>
              <w:t>.</w:t>
            </w:r>
          </w:p>
        </w:tc>
        <w:tc>
          <w:tcPr>
            <w:tcW w:w="2590" w:type="dxa"/>
          </w:tcPr>
          <w:p w14:paraId="78DCF6F4" w14:textId="77777777" w:rsidR="00332FDF" w:rsidRPr="00CE4EA6" w:rsidRDefault="00332FDF" w:rsidP="00810624">
            <w:pPr>
              <w:spacing w:before="120" w:after="120"/>
            </w:pPr>
            <w:r w:rsidRPr="00CE4EA6">
              <w:lastRenderedPageBreak/>
              <w:t xml:space="preserve">Review and revise as recommended the NAESB Accreditation Requirements for Certificate Authorities (Section 5.1.6 Key Sizes) currently specifies: </w:t>
            </w:r>
          </w:p>
          <w:p w14:paraId="4FFAE5ED" w14:textId="77777777" w:rsidR="00332FDF" w:rsidRPr="00CE4EA6" w:rsidRDefault="00332FDF" w:rsidP="00332FDF">
            <w:pPr>
              <w:pStyle w:val="ListParagraph"/>
              <w:numPr>
                <w:ilvl w:val="0"/>
                <w:numId w:val="9"/>
              </w:numPr>
              <w:spacing w:before="120" w:after="120"/>
            </w:pPr>
            <w:r w:rsidRPr="00CE4EA6">
              <w:t>2048 bit RSA/DSA key length and 160 bit ECDSA key length</w:t>
            </w:r>
          </w:p>
          <w:p w14:paraId="67539587" w14:textId="77777777" w:rsidR="00332FDF" w:rsidRPr="00CE4EA6" w:rsidRDefault="00332FDF" w:rsidP="00332FDF">
            <w:pPr>
              <w:pStyle w:val="ListParagraph"/>
              <w:numPr>
                <w:ilvl w:val="0"/>
                <w:numId w:val="9"/>
              </w:numPr>
              <w:spacing w:before="120" w:after="120"/>
            </w:pPr>
            <w:r w:rsidRPr="00CE4EA6">
              <w:lastRenderedPageBreak/>
              <w:t>4096 bit RSA/DSA key length and 256 bit ECDSA key length for certificates expiring after 12/31/2012</w:t>
            </w:r>
          </w:p>
          <w:p w14:paraId="0C9C537B" w14:textId="77777777" w:rsidR="00332FDF" w:rsidRPr="00CE4EA6" w:rsidRDefault="00332FDF" w:rsidP="00332FDF">
            <w:pPr>
              <w:pStyle w:val="ListParagraph"/>
              <w:numPr>
                <w:ilvl w:val="0"/>
                <w:numId w:val="9"/>
              </w:numPr>
              <w:spacing w:before="120" w:after="120"/>
            </w:pPr>
            <w:r w:rsidRPr="00CE4EA6">
              <w:t>3072 bit RSA/DSA for certificates expiring after 12/31/2030</w:t>
            </w:r>
          </w:p>
          <w:p w14:paraId="643B5DB0" w14:textId="77777777" w:rsidR="00332FDF" w:rsidRPr="00CE4EA6" w:rsidRDefault="00332FDF" w:rsidP="00332FDF">
            <w:pPr>
              <w:pStyle w:val="ListParagraph"/>
              <w:numPr>
                <w:ilvl w:val="0"/>
                <w:numId w:val="9"/>
              </w:numPr>
              <w:spacing w:before="120" w:after="120"/>
            </w:pPr>
            <w:r w:rsidRPr="00CE4EA6">
              <w:t xml:space="preserve">SHA-1, SHA-224, SHA-256, SHA-384, or SHA-512 has algorithms </w:t>
            </w:r>
          </w:p>
          <w:p w14:paraId="54861821" w14:textId="77777777" w:rsidR="00332FDF" w:rsidRPr="00CE4EA6" w:rsidRDefault="00332FDF" w:rsidP="00810624">
            <w:pPr>
              <w:spacing w:before="120" w:after="120"/>
            </w:pPr>
            <w:r w:rsidRPr="00CE4EA6">
              <w:t>Review and revise as recommended the WGQ EDM Manual (Page 90 – Security: Login and Encryption) requires 128-bit RSA JAVA communications</w:t>
            </w:r>
          </w:p>
          <w:p w14:paraId="3758991C" w14:textId="77777777" w:rsidR="00332FDF" w:rsidRPr="00CE4EA6" w:rsidRDefault="00332FDF" w:rsidP="00810624">
            <w:pPr>
              <w:spacing w:before="120" w:after="120"/>
            </w:pPr>
            <w:r w:rsidRPr="00CE4EA6">
              <w:t xml:space="preserve">The RMQ EDM Manual does not specify anything </w:t>
            </w:r>
            <w:r w:rsidRPr="00CE4EA6">
              <w:lastRenderedPageBreak/>
              <w:t>RSA related</w:t>
            </w:r>
          </w:p>
          <w:p w14:paraId="5CF688F5" w14:textId="77777777" w:rsidR="00332FDF" w:rsidRPr="00CE4EA6" w:rsidRDefault="00332FDF" w:rsidP="00810624">
            <w:pPr>
              <w:spacing w:before="120" w:after="120"/>
            </w:pPr>
            <w:r w:rsidRPr="00CE4EA6">
              <w:t>The WGQ IET Standards require a PGP version 2.6 or greater using RSA algorithm to generate keys (WGQ 10.3.15)</w:t>
            </w:r>
          </w:p>
          <w:p w14:paraId="78F10B46" w14:textId="77777777" w:rsidR="00332FDF" w:rsidRPr="00CE4EA6" w:rsidRDefault="00332FDF" w:rsidP="00810624">
            <w:pPr>
              <w:spacing w:before="120" w:after="120"/>
            </w:pPr>
            <w:r w:rsidRPr="00CE4EA6">
              <w:t>The RMQ IET Standards require a RSA algorithm to generate keys and PGP Version 2.6 or greater (RXQ 7.3.15)</w:t>
            </w:r>
          </w:p>
          <w:p w14:paraId="524A6853" w14:textId="77777777" w:rsidR="00332FDF" w:rsidRPr="00CE4EA6" w:rsidRDefault="00332FDF" w:rsidP="00810624">
            <w:pPr>
              <w:spacing w:before="120" w:after="120"/>
            </w:pPr>
            <w:r w:rsidRPr="00CE4EA6">
              <w:t xml:space="preserve">Neither the WGQ/RMQ EDM or IET Standards address specifically address hash algorithms </w:t>
            </w:r>
          </w:p>
        </w:tc>
        <w:tc>
          <w:tcPr>
            <w:tcW w:w="2590" w:type="dxa"/>
          </w:tcPr>
          <w:p w14:paraId="0B912793" w14:textId="77777777" w:rsidR="00332FDF" w:rsidRPr="00CE4EA6" w:rsidRDefault="00332FDF" w:rsidP="00810624">
            <w:pPr>
              <w:spacing w:before="120" w:after="120"/>
            </w:pPr>
            <w:r>
              <w:lastRenderedPageBreak/>
              <w:t>N/A</w:t>
            </w:r>
          </w:p>
          <w:p w14:paraId="5AA7E9B3" w14:textId="77777777" w:rsidR="00332FDF" w:rsidRPr="00CE4EA6" w:rsidRDefault="00332FDF" w:rsidP="00810624">
            <w:pPr>
              <w:spacing w:before="120" w:after="120"/>
            </w:pPr>
          </w:p>
          <w:p w14:paraId="76BD53D0" w14:textId="77777777" w:rsidR="00332FDF" w:rsidRPr="00CE4EA6" w:rsidRDefault="00332FDF" w:rsidP="00810624">
            <w:pPr>
              <w:spacing w:before="120" w:after="120"/>
            </w:pPr>
          </w:p>
          <w:p w14:paraId="58453FF5" w14:textId="77777777" w:rsidR="00332FDF" w:rsidRPr="00CE4EA6" w:rsidRDefault="00332FDF" w:rsidP="00810624">
            <w:pPr>
              <w:spacing w:before="120" w:after="120"/>
            </w:pPr>
          </w:p>
          <w:p w14:paraId="73B37B55" w14:textId="77777777" w:rsidR="00332FDF" w:rsidRPr="00CE4EA6" w:rsidRDefault="00332FDF" w:rsidP="00810624">
            <w:pPr>
              <w:spacing w:before="120" w:after="120"/>
            </w:pPr>
          </w:p>
          <w:p w14:paraId="478F6A35" w14:textId="77777777" w:rsidR="00332FDF" w:rsidRDefault="00332FDF" w:rsidP="00810624">
            <w:pPr>
              <w:spacing w:before="120" w:after="120"/>
            </w:pPr>
          </w:p>
          <w:p w14:paraId="63EA56AF" w14:textId="77777777" w:rsidR="00332FDF" w:rsidRDefault="00332FDF" w:rsidP="00810624">
            <w:pPr>
              <w:spacing w:before="120" w:after="120"/>
              <w:rPr>
                <w:szCs w:val="20"/>
              </w:rPr>
            </w:pPr>
            <w:r w:rsidRPr="00CE4EA6">
              <w:t xml:space="preserve">Jointly between WGQ EDM </w:t>
            </w:r>
            <w:r w:rsidRPr="00CE4EA6">
              <w:lastRenderedPageBreak/>
              <w:t>and RMQ IR/TEIS</w:t>
            </w:r>
            <w:r w:rsidRPr="009662CB">
              <w:rPr>
                <w:szCs w:val="20"/>
              </w:rPr>
              <w:t xml:space="preserve"> </w:t>
            </w:r>
          </w:p>
          <w:p w14:paraId="300C52D7" w14:textId="77777777" w:rsidR="00332FDF" w:rsidRDefault="00332FDF" w:rsidP="00810624">
            <w:pPr>
              <w:spacing w:before="120" w:after="120"/>
              <w:rPr>
                <w:szCs w:val="20"/>
              </w:rPr>
            </w:pPr>
            <w:r>
              <w:rPr>
                <w:szCs w:val="20"/>
              </w:rPr>
              <w:t>M</w:t>
            </w:r>
            <w:r w:rsidRPr="009662CB">
              <w:rPr>
                <w:szCs w:val="20"/>
              </w:rPr>
              <w:t xml:space="preserve">odified standards to specify </w:t>
            </w:r>
            <w:r>
              <w:rPr>
                <w:szCs w:val="20"/>
              </w:rPr>
              <w:t>128-bit key length, newer PGP versions and hash algorithms.</w:t>
            </w:r>
          </w:p>
          <w:p w14:paraId="63D2BEB8" w14:textId="77777777" w:rsidR="00332FDF" w:rsidRDefault="00332FDF" w:rsidP="00810624">
            <w:pPr>
              <w:spacing w:before="120" w:after="120"/>
              <w:rPr>
                <w:szCs w:val="20"/>
              </w:rPr>
            </w:pPr>
          </w:p>
          <w:p w14:paraId="26EB9706" w14:textId="77777777" w:rsidR="00332FDF" w:rsidRPr="006562CD" w:rsidRDefault="00332FDF" w:rsidP="00810624">
            <w:pPr>
              <w:spacing w:before="120" w:after="120"/>
              <w:rPr>
                <w:szCs w:val="20"/>
              </w:rPr>
            </w:pPr>
            <w:r w:rsidRPr="006562CD">
              <w:rPr>
                <w:b/>
                <w:szCs w:val="20"/>
                <w:u w:val="single"/>
              </w:rPr>
              <w:t>WGQ</w:t>
            </w:r>
            <w:r w:rsidRPr="006562CD">
              <w:rPr>
                <w:b/>
                <w:szCs w:val="20"/>
              </w:rPr>
              <w:t>:</w:t>
            </w:r>
          </w:p>
          <w:p w14:paraId="370D9686" w14:textId="77777777" w:rsidR="00332FDF" w:rsidRDefault="00332FDF" w:rsidP="00810624">
            <w:pPr>
              <w:spacing w:before="120" w:after="120"/>
              <w:rPr>
                <w:szCs w:val="20"/>
              </w:rPr>
            </w:pPr>
            <w:r>
              <w:rPr>
                <w:szCs w:val="20"/>
              </w:rPr>
              <w:t>D12, D27, D53</w:t>
            </w:r>
          </w:p>
          <w:p w14:paraId="1F546840" w14:textId="77777777" w:rsidR="00332FDF" w:rsidRDefault="00332FDF" w:rsidP="00810624">
            <w:pPr>
              <w:spacing w:before="120" w:after="120"/>
              <w:rPr>
                <w:szCs w:val="20"/>
              </w:rPr>
            </w:pPr>
            <w:r w:rsidRPr="006562CD">
              <w:rPr>
                <w:b/>
                <w:szCs w:val="20"/>
                <w:u w:val="single"/>
              </w:rPr>
              <w:t>RMQ</w:t>
            </w:r>
            <w:r w:rsidRPr="006562CD">
              <w:rPr>
                <w:b/>
                <w:szCs w:val="20"/>
              </w:rPr>
              <w:t>:</w:t>
            </w:r>
          </w:p>
          <w:p w14:paraId="0430235D" w14:textId="77777777" w:rsidR="00332FDF" w:rsidRPr="00CE4EA6" w:rsidRDefault="00332FDF" w:rsidP="00810624">
            <w:pPr>
              <w:spacing w:before="120" w:after="120"/>
            </w:pPr>
            <w:r>
              <w:t>D53</w:t>
            </w:r>
          </w:p>
        </w:tc>
      </w:tr>
      <w:tr w:rsidR="00332FDF" w:rsidRPr="0080361B" w14:paraId="4F327AD2" w14:textId="77777777" w:rsidTr="00810624">
        <w:tc>
          <w:tcPr>
            <w:tcW w:w="895" w:type="dxa"/>
          </w:tcPr>
          <w:p w14:paraId="593C66A4" w14:textId="77777777" w:rsidR="00332FDF" w:rsidRDefault="00332FDF" w:rsidP="00810624">
            <w:pPr>
              <w:spacing w:before="120" w:after="120"/>
              <w:jc w:val="right"/>
            </w:pPr>
            <w:r>
              <w:lastRenderedPageBreak/>
              <w:t>Thirteen</w:t>
            </w:r>
          </w:p>
        </w:tc>
        <w:tc>
          <w:tcPr>
            <w:tcW w:w="1980" w:type="dxa"/>
          </w:tcPr>
          <w:p w14:paraId="7D3A763E" w14:textId="77777777" w:rsidR="00332FDF" w:rsidRPr="00E4717A" w:rsidRDefault="00332FDF" w:rsidP="00810624">
            <w:pPr>
              <w:spacing w:before="120" w:after="120"/>
            </w:pPr>
            <w:r w:rsidRPr="00E4717A">
              <w:t xml:space="preserve">Business Operations Practices and Standards Report – Section 6.1.6 Continued Use of Different Security Paradigms (Pages 13 </w:t>
            </w:r>
            <w:r w:rsidRPr="00E4717A">
              <w:lastRenderedPageBreak/>
              <w:t>– 15)</w:t>
            </w:r>
          </w:p>
          <w:p w14:paraId="46D73277" w14:textId="77777777" w:rsidR="00332FDF" w:rsidRPr="00E4717A" w:rsidRDefault="00332FDF" w:rsidP="00810624">
            <w:pPr>
              <w:spacing w:before="120" w:after="120"/>
            </w:pPr>
            <w:r w:rsidRPr="00E4717A">
              <w:t>(Table of Contents Section 6.2.3 Gas and Electric Industry Interactions)</w:t>
            </w:r>
          </w:p>
          <w:p w14:paraId="48B7E881" w14:textId="77777777" w:rsidR="00332FDF" w:rsidRPr="00E4717A" w:rsidRDefault="00332FDF" w:rsidP="00810624">
            <w:pPr>
              <w:spacing w:before="120" w:after="120"/>
            </w:pPr>
          </w:p>
        </w:tc>
        <w:tc>
          <w:tcPr>
            <w:tcW w:w="4895" w:type="dxa"/>
          </w:tcPr>
          <w:p w14:paraId="525F7E92" w14:textId="77777777" w:rsidR="00332FDF" w:rsidRPr="00E4717A" w:rsidRDefault="00332FDF" w:rsidP="00810624">
            <w:pPr>
              <w:spacing w:before="120" w:after="120"/>
              <w:jc w:val="both"/>
              <w:rPr>
                <w:szCs w:val="20"/>
              </w:rPr>
            </w:pPr>
            <w:r w:rsidRPr="00E4717A">
              <w:rPr>
                <w:szCs w:val="20"/>
              </w:rPr>
              <w:lastRenderedPageBreak/>
              <w:t>Finally, IET business process as currently implemented may be vulnerable to both replay</w:t>
            </w:r>
            <w:r w:rsidRPr="00E4717A">
              <w:rPr>
                <w:rStyle w:val="FootnoteReference"/>
              </w:rPr>
              <w:footnoteReference w:id="7"/>
            </w:r>
            <w:r w:rsidRPr="00E4717A">
              <w:rPr>
                <w:szCs w:val="20"/>
              </w:rPr>
              <w:t xml:space="preserve"> and amplification</w:t>
            </w:r>
            <w:r w:rsidRPr="00E4717A">
              <w:rPr>
                <w:rStyle w:val="FootnoteReference"/>
              </w:rPr>
              <w:footnoteReference w:id="8"/>
            </w:r>
            <w:r w:rsidRPr="00E4717A">
              <w:rPr>
                <w:szCs w:val="20"/>
              </w:rPr>
              <w:t xml:space="preserve"> attacks. Based on the assessment teams review of the transactional process these two attacks were immediately identified as attacks of concern…</w:t>
            </w:r>
          </w:p>
          <w:p w14:paraId="34877B7C" w14:textId="77777777" w:rsidR="00332FDF" w:rsidRPr="00E4717A" w:rsidRDefault="00332FDF" w:rsidP="00810624">
            <w:pPr>
              <w:spacing w:before="120" w:after="120"/>
              <w:rPr>
                <w:szCs w:val="20"/>
              </w:rPr>
            </w:pPr>
            <w:r w:rsidRPr="00E4717A">
              <w:rPr>
                <w:szCs w:val="20"/>
              </w:rPr>
              <w:t xml:space="preserve">Note that this attack is feasible even with payloads that are encrypted with foreign, untrusted keys, or with </w:t>
            </w:r>
            <w:r w:rsidRPr="00E4717A">
              <w:rPr>
                <w:szCs w:val="20"/>
              </w:rPr>
              <w:lastRenderedPageBreak/>
              <w:t xml:space="preserve">payloads that are filled with garbage bits. Two basic approaches exist to help eliminate this kind of amplification attack. The first strategy involves making error notification messages to be as small as possible and smaller than the original requests. This way, an attacker using this mechanism will not be able to amplify the volume of data sent to a target; rather, as the response message is smaller, the overall denial-of-service risk will be correspondingly lowered. The second strategy uses rate limiting to ensure that error messages are sent at a rate that is lower than expected message processing speeds. This way, even if the responses are larger than the adversary-submitted requests, they will not be sent to the target at a rate that would strain target computational resources. </w:t>
            </w:r>
          </w:p>
        </w:tc>
        <w:tc>
          <w:tcPr>
            <w:tcW w:w="2590" w:type="dxa"/>
          </w:tcPr>
          <w:p w14:paraId="4C9912B9" w14:textId="77777777" w:rsidR="00332FDF" w:rsidRPr="00CE4EA6" w:rsidRDefault="00332FDF" w:rsidP="00810624">
            <w:pPr>
              <w:spacing w:before="120" w:after="120"/>
            </w:pPr>
            <w:r w:rsidRPr="00CE4EA6">
              <w:lastRenderedPageBreak/>
              <w:t>The subcommittees should consider standard(s) to address mitigation of replay and amplification attacks as aligned with recommended strategies</w:t>
            </w:r>
          </w:p>
        </w:tc>
        <w:tc>
          <w:tcPr>
            <w:tcW w:w="2590" w:type="dxa"/>
          </w:tcPr>
          <w:p w14:paraId="27701268" w14:textId="77777777" w:rsidR="00332FDF" w:rsidRDefault="00332FDF" w:rsidP="00810624">
            <w:pPr>
              <w:spacing w:before="120" w:after="120"/>
              <w:rPr>
                <w:highlight w:val="red"/>
              </w:rPr>
            </w:pPr>
            <w:r w:rsidRPr="0080361B">
              <w:rPr>
                <w:highlight w:val="red"/>
              </w:rPr>
              <w:t>?</w:t>
            </w:r>
          </w:p>
          <w:p w14:paraId="117EF966" w14:textId="77777777" w:rsidR="00332FDF" w:rsidRPr="0080361B" w:rsidRDefault="00332FDF" w:rsidP="00810624">
            <w:pPr>
              <w:spacing w:before="120" w:after="120"/>
              <w:rPr>
                <w:highlight w:val="red"/>
              </w:rPr>
            </w:pPr>
          </w:p>
        </w:tc>
      </w:tr>
      <w:tr w:rsidR="00332FDF" w:rsidRPr="0080361B" w14:paraId="305C1959" w14:textId="77777777" w:rsidTr="00810624">
        <w:tc>
          <w:tcPr>
            <w:tcW w:w="895" w:type="dxa"/>
          </w:tcPr>
          <w:p w14:paraId="5E9EB00A" w14:textId="77777777" w:rsidR="00332FDF" w:rsidRDefault="00332FDF" w:rsidP="00810624">
            <w:pPr>
              <w:spacing w:before="120" w:after="120"/>
              <w:jc w:val="right"/>
            </w:pPr>
            <w:r>
              <w:t>Four</w:t>
            </w:r>
          </w:p>
        </w:tc>
        <w:tc>
          <w:tcPr>
            <w:tcW w:w="1980" w:type="dxa"/>
          </w:tcPr>
          <w:p w14:paraId="08D4631A" w14:textId="77777777" w:rsidR="00332FDF" w:rsidRPr="00E4717A" w:rsidRDefault="00332FDF" w:rsidP="00810624">
            <w:pPr>
              <w:spacing w:before="120" w:after="120"/>
            </w:pPr>
            <w:r w:rsidRPr="00DB4735">
              <w:rPr>
                <w:szCs w:val="20"/>
              </w:rPr>
              <w:t>Addendum Report Section 2.3.2 – Ukrainian Power Grid Attack (Pages 23 – 25</w:t>
            </w:r>
          </w:p>
        </w:tc>
        <w:tc>
          <w:tcPr>
            <w:tcW w:w="4895" w:type="dxa"/>
          </w:tcPr>
          <w:p w14:paraId="56EA8C66" w14:textId="77777777" w:rsidR="00332FDF" w:rsidRPr="00E4717A" w:rsidRDefault="00332FDF" w:rsidP="00810624">
            <w:pPr>
              <w:spacing w:before="120" w:after="120"/>
              <w:jc w:val="both"/>
              <w:rPr>
                <w:szCs w:val="20"/>
              </w:rPr>
            </w:pPr>
            <w:r w:rsidRPr="00DB4735">
              <w:rPr>
                <w:szCs w:val="20"/>
              </w:rPr>
              <w:t xml:space="preserve">Specific to NAESB standards, the WEQ-002-5.1.1 authentication method is considered adequate and consistent with current business practices. WGQ Standard 4.3.60 and WGQ Standard 10.3.16/RMQ Standard 7.3.16 both allow basic authentication; however, the assessment team recommends multi-factor (e.g. two-factor) authentication be required on </w:t>
            </w:r>
            <w:r w:rsidRPr="00DB4735">
              <w:rPr>
                <w:i/>
                <w:szCs w:val="20"/>
              </w:rPr>
              <w:t>an individual basis</w:t>
            </w:r>
            <w:r w:rsidRPr="00DB4735">
              <w:rPr>
                <w:szCs w:val="20"/>
              </w:rPr>
              <w:t>. Simply authenticating the nodes involved is not acceptable.</w:t>
            </w:r>
          </w:p>
        </w:tc>
        <w:tc>
          <w:tcPr>
            <w:tcW w:w="2590" w:type="dxa"/>
          </w:tcPr>
          <w:p w14:paraId="7F19087B" w14:textId="77777777" w:rsidR="00332FDF" w:rsidRPr="00402469" w:rsidRDefault="00332FDF" w:rsidP="00810624">
            <w:pPr>
              <w:spacing w:before="120" w:after="120"/>
            </w:pPr>
            <w:r>
              <w:t>T</w:t>
            </w:r>
            <w:r w:rsidRPr="00402469">
              <w:t>he WGQ EDM Manual requires HTTP Basic Authentication or similar logon/password mechanisms for customer activity websites (WGQ 4.3.60) and accessing Interactive Flat File EDM (WGQ 4.3.84)</w:t>
            </w:r>
          </w:p>
          <w:p w14:paraId="7E67584E" w14:textId="77777777" w:rsidR="00332FDF" w:rsidRPr="00402469" w:rsidRDefault="00332FDF" w:rsidP="00810624">
            <w:pPr>
              <w:spacing w:before="120" w:after="120"/>
            </w:pPr>
            <w:r w:rsidRPr="00402469">
              <w:t xml:space="preserve">The RMQ EDM Manual relies on the RMQ IET Standards for security principles, including </w:t>
            </w:r>
            <w:r w:rsidRPr="00402469">
              <w:lastRenderedPageBreak/>
              <w:t>authentication. (RXQ.5.6 Technical Implementation)</w:t>
            </w:r>
          </w:p>
          <w:p w14:paraId="5DB3B1D4" w14:textId="77777777" w:rsidR="00332FDF" w:rsidRPr="00402469" w:rsidRDefault="00332FDF" w:rsidP="00810624">
            <w:pPr>
              <w:spacing w:before="120" w:after="120"/>
            </w:pPr>
            <w:r w:rsidRPr="00402469">
              <w:t>The WGQ/RMQ IET Standards require basic authentication (WGQ.10.3.16 and RMQ.7.3.16) with the Security Sections (WGQ Page 20 and RMQ Page 14) specifically requiring 128-bit SSL-protected usernames and passwords to establish authentication and list optional techniques such as firewall security for further authentication.</w:t>
            </w:r>
          </w:p>
          <w:p w14:paraId="51B9F7D8" w14:textId="77777777" w:rsidR="00332FDF" w:rsidRPr="00CE4EA6" w:rsidRDefault="00332FDF" w:rsidP="00810624">
            <w:pPr>
              <w:spacing w:before="120" w:after="120"/>
            </w:pPr>
          </w:p>
        </w:tc>
        <w:tc>
          <w:tcPr>
            <w:tcW w:w="2590" w:type="dxa"/>
          </w:tcPr>
          <w:p w14:paraId="6665ED89" w14:textId="77777777" w:rsidR="00332FDF" w:rsidRDefault="00332FDF" w:rsidP="00810624">
            <w:pPr>
              <w:spacing w:before="120" w:after="120"/>
              <w:rPr>
                <w:rFonts w:ascii="Calibri" w:hAnsi="Calibri"/>
                <w:szCs w:val="20"/>
              </w:rPr>
            </w:pPr>
            <w:r>
              <w:rPr>
                <w:rFonts w:ascii="Calibri" w:hAnsi="Calibri"/>
                <w:szCs w:val="20"/>
              </w:rPr>
              <w:lastRenderedPageBreak/>
              <w:t>M</w:t>
            </w:r>
            <w:r w:rsidRPr="0080361B">
              <w:rPr>
                <w:rFonts w:ascii="Calibri" w:hAnsi="Calibri"/>
                <w:szCs w:val="20"/>
              </w:rPr>
              <w:t xml:space="preserve">odified standards to </w:t>
            </w:r>
            <w:proofErr w:type="spellStart"/>
            <w:r>
              <w:rPr>
                <w:rFonts w:ascii="Calibri" w:hAnsi="Calibri"/>
                <w:szCs w:val="20"/>
              </w:rPr>
              <w:t>to</w:t>
            </w:r>
            <w:proofErr w:type="spellEnd"/>
            <w:r>
              <w:rPr>
                <w:rFonts w:ascii="Calibri" w:hAnsi="Calibri"/>
                <w:szCs w:val="20"/>
              </w:rPr>
              <w:t xml:space="preserve"> state that </w:t>
            </w:r>
            <w:r w:rsidRPr="0080361B">
              <w:rPr>
                <w:rFonts w:ascii="Calibri" w:hAnsi="Calibri"/>
                <w:szCs w:val="20"/>
              </w:rPr>
              <w:t xml:space="preserve">secure web sites should employ individual user credentials. However, we find that the current standard of user IDs and passwords maintains the security of web sites without complicating the login process, especially for users that access multiple </w:t>
            </w:r>
            <w:r w:rsidRPr="0080361B">
              <w:rPr>
                <w:rFonts w:ascii="Calibri" w:hAnsi="Calibri"/>
                <w:szCs w:val="20"/>
              </w:rPr>
              <w:lastRenderedPageBreak/>
              <w:t>web sites.</w:t>
            </w:r>
          </w:p>
          <w:p w14:paraId="6F569954" w14:textId="77777777" w:rsidR="00332FDF" w:rsidRPr="006562CD" w:rsidRDefault="00332FDF" w:rsidP="00810624">
            <w:pPr>
              <w:spacing w:before="120" w:after="120"/>
              <w:rPr>
                <w:szCs w:val="20"/>
              </w:rPr>
            </w:pPr>
            <w:r w:rsidRPr="006562CD">
              <w:rPr>
                <w:b/>
                <w:szCs w:val="20"/>
                <w:u w:val="single"/>
              </w:rPr>
              <w:t>WGQ</w:t>
            </w:r>
            <w:r w:rsidRPr="006562CD">
              <w:rPr>
                <w:b/>
                <w:szCs w:val="20"/>
              </w:rPr>
              <w:t>:</w:t>
            </w:r>
          </w:p>
          <w:p w14:paraId="68450F51" w14:textId="77777777" w:rsidR="00332FDF" w:rsidRDefault="00332FDF" w:rsidP="00810624">
            <w:pPr>
              <w:spacing w:before="120" w:after="120"/>
              <w:rPr>
                <w:szCs w:val="20"/>
              </w:rPr>
            </w:pPr>
            <w:r>
              <w:rPr>
                <w:szCs w:val="20"/>
              </w:rPr>
              <w:t>D1, D9, D18, D29, D40, D45</w:t>
            </w:r>
          </w:p>
          <w:p w14:paraId="3C699488" w14:textId="77777777" w:rsidR="00332FDF" w:rsidRDefault="00332FDF" w:rsidP="00810624">
            <w:pPr>
              <w:spacing w:before="120" w:after="120"/>
              <w:rPr>
                <w:szCs w:val="20"/>
              </w:rPr>
            </w:pPr>
            <w:r w:rsidRPr="006562CD">
              <w:rPr>
                <w:b/>
                <w:szCs w:val="20"/>
                <w:u w:val="single"/>
              </w:rPr>
              <w:t>RMQ</w:t>
            </w:r>
            <w:r w:rsidRPr="006562CD">
              <w:rPr>
                <w:b/>
                <w:szCs w:val="20"/>
              </w:rPr>
              <w:t>:</w:t>
            </w:r>
          </w:p>
          <w:p w14:paraId="3973F3C8" w14:textId="77777777" w:rsidR="00332FDF" w:rsidRPr="0080361B" w:rsidRDefault="00332FDF" w:rsidP="00810624">
            <w:pPr>
              <w:spacing w:before="120" w:after="120"/>
              <w:rPr>
                <w:highlight w:val="red"/>
              </w:rPr>
            </w:pPr>
            <w:r w:rsidRPr="00B326FF">
              <w:t>D40, D</w:t>
            </w:r>
            <w:r>
              <w:t>4</w:t>
            </w:r>
            <w:r w:rsidRPr="00B326FF">
              <w:t>5</w:t>
            </w:r>
          </w:p>
        </w:tc>
      </w:tr>
      <w:tr w:rsidR="00332FDF" w:rsidRPr="00402469" w14:paraId="489CBCF4" w14:textId="77777777" w:rsidTr="00810624">
        <w:tc>
          <w:tcPr>
            <w:tcW w:w="895" w:type="dxa"/>
          </w:tcPr>
          <w:p w14:paraId="58452F11" w14:textId="77777777" w:rsidR="00332FDF" w:rsidRDefault="00332FDF" w:rsidP="00810624">
            <w:pPr>
              <w:spacing w:before="120" w:after="120"/>
              <w:jc w:val="right"/>
            </w:pPr>
            <w:r>
              <w:lastRenderedPageBreak/>
              <w:t>Ten</w:t>
            </w:r>
          </w:p>
        </w:tc>
        <w:tc>
          <w:tcPr>
            <w:tcW w:w="1980" w:type="dxa"/>
          </w:tcPr>
          <w:p w14:paraId="712B80CE" w14:textId="77777777" w:rsidR="00332FDF" w:rsidRDefault="00332FDF" w:rsidP="00810624">
            <w:pPr>
              <w:spacing w:before="120" w:after="120"/>
            </w:pPr>
            <w:r w:rsidRPr="00DB4735">
              <w:rPr>
                <w:szCs w:val="20"/>
              </w:rPr>
              <w:t>Addendum Report Section 3.4 – Recommended Future Assessments (Pages 29 – 30)</w:t>
            </w:r>
          </w:p>
        </w:tc>
        <w:tc>
          <w:tcPr>
            <w:tcW w:w="4895" w:type="dxa"/>
          </w:tcPr>
          <w:p w14:paraId="2CF952AD" w14:textId="77777777" w:rsidR="00332FDF" w:rsidRPr="00E4717A" w:rsidRDefault="00332FDF" w:rsidP="00810624">
            <w:pPr>
              <w:spacing w:before="120" w:after="120"/>
              <w:jc w:val="both"/>
              <w:rPr>
                <w:szCs w:val="20"/>
              </w:rPr>
            </w:pPr>
            <w:r w:rsidRPr="00DB4735">
              <w:rPr>
                <w:szCs w:val="20"/>
              </w:rPr>
              <w:t xml:space="preserve">Perform security assessments on applicable software, services or platforms (SSP’s). Also according to SANS: “Security assessments should be performed on all externally-accessible SSPs for all new or major application releases. All point releases, patch releases, etc. should be subject to the appropriate level of assessment needed based on the level of risk the change posed to the application but at a minimum, annually.” The assessment team recommends that the </w:t>
            </w:r>
            <w:r w:rsidRPr="00DB4735">
              <w:rPr>
                <w:szCs w:val="20"/>
              </w:rPr>
              <w:lastRenderedPageBreak/>
              <w:t>software vendors, in partnership with their customers, determine the specifics of these assessments to ensure that all relevant risks are addressed.</w:t>
            </w:r>
          </w:p>
        </w:tc>
        <w:tc>
          <w:tcPr>
            <w:tcW w:w="2590" w:type="dxa"/>
          </w:tcPr>
          <w:p w14:paraId="73E589CA" w14:textId="77777777" w:rsidR="00332FDF" w:rsidRPr="00CE4EA6" w:rsidRDefault="00332FDF" w:rsidP="00810624">
            <w:pPr>
              <w:spacing w:before="120" w:after="120"/>
            </w:pPr>
            <w:r w:rsidRPr="00E30AB2">
              <w:rPr>
                <w:szCs w:val="20"/>
              </w:rPr>
              <w:lastRenderedPageBreak/>
              <w:t>Subcommittees should review EDM and IET Standards to determine if there are areas where additional language could be added recommending customers and software vendors work together as recommended</w:t>
            </w:r>
          </w:p>
        </w:tc>
        <w:tc>
          <w:tcPr>
            <w:tcW w:w="2590" w:type="dxa"/>
          </w:tcPr>
          <w:p w14:paraId="47E40D82" w14:textId="77777777" w:rsidR="00332FDF" w:rsidRDefault="00332FDF" w:rsidP="00810624">
            <w:pPr>
              <w:spacing w:before="120" w:after="120"/>
              <w:rPr>
                <w:szCs w:val="20"/>
              </w:rPr>
            </w:pPr>
            <w:r>
              <w:rPr>
                <w:szCs w:val="20"/>
              </w:rPr>
              <w:t>Modified</w:t>
            </w:r>
            <w:r w:rsidRPr="009662CB">
              <w:rPr>
                <w:szCs w:val="20"/>
              </w:rPr>
              <w:t xml:space="preserve"> standards to </w:t>
            </w:r>
            <w:r>
              <w:rPr>
                <w:szCs w:val="20"/>
              </w:rPr>
              <w:t>encourage security assessments and coordination between customers, vendors and trading partners.</w:t>
            </w:r>
          </w:p>
          <w:p w14:paraId="12E70946" w14:textId="77777777" w:rsidR="00332FDF" w:rsidRDefault="00332FDF" w:rsidP="00810624">
            <w:pPr>
              <w:spacing w:before="120" w:after="120"/>
              <w:rPr>
                <w:szCs w:val="20"/>
              </w:rPr>
            </w:pPr>
            <w:r w:rsidRPr="006562CD">
              <w:rPr>
                <w:b/>
                <w:szCs w:val="20"/>
                <w:u w:val="single"/>
              </w:rPr>
              <w:t>WGQ</w:t>
            </w:r>
            <w:r w:rsidRPr="006562CD">
              <w:rPr>
                <w:b/>
                <w:szCs w:val="20"/>
              </w:rPr>
              <w:t>:</w:t>
            </w:r>
          </w:p>
          <w:p w14:paraId="445B7C20" w14:textId="77777777" w:rsidR="00332FDF" w:rsidRDefault="00332FDF" w:rsidP="00810624">
            <w:pPr>
              <w:spacing w:before="120" w:after="120"/>
              <w:rPr>
                <w:szCs w:val="20"/>
              </w:rPr>
            </w:pPr>
            <w:r>
              <w:rPr>
                <w:szCs w:val="20"/>
              </w:rPr>
              <w:lastRenderedPageBreak/>
              <w:t>D1, D32, D33, D34</w:t>
            </w:r>
          </w:p>
          <w:p w14:paraId="04B5AC39" w14:textId="77777777" w:rsidR="00332FDF" w:rsidRPr="00402469" w:rsidRDefault="00332FDF" w:rsidP="00810624">
            <w:pPr>
              <w:spacing w:before="120" w:after="120"/>
              <w:rPr>
                <w:szCs w:val="20"/>
              </w:rPr>
            </w:pPr>
            <w:r w:rsidRPr="00402469">
              <w:rPr>
                <w:b/>
                <w:szCs w:val="20"/>
                <w:u w:val="single"/>
              </w:rPr>
              <w:t>RMQ</w:t>
            </w:r>
            <w:r w:rsidRPr="00402469">
              <w:rPr>
                <w:b/>
                <w:szCs w:val="20"/>
              </w:rPr>
              <w:t>:</w:t>
            </w:r>
            <w:r>
              <w:rPr>
                <w:szCs w:val="20"/>
              </w:rPr>
              <w:t xml:space="preserve"> N/A</w:t>
            </w:r>
          </w:p>
        </w:tc>
      </w:tr>
    </w:tbl>
    <w:p w14:paraId="704B1334" w14:textId="77777777" w:rsidR="00332FDF" w:rsidRDefault="00332FDF" w:rsidP="00084E98">
      <w:pPr>
        <w:pStyle w:val="DefaultText"/>
        <w:spacing w:before="120"/>
        <w:rPr>
          <w:szCs w:val="24"/>
        </w:rPr>
      </w:pPr>
    </w:p>
    <w:p w14:paraId="2E51E5EB" w14:textId="77777777" w:rsidR="00084E98" w:rsidRDefault="00084E98" w:rsidP="00A506CF">
      <w:pPr>
        <w:pStyle w:val="DefaultText"/>
        <w:spacing w:before="120"/>
        <w:rPr>
          <w:szCs w:val="24"/>
        </w:rPr>
      </w:pPr>
    </w:p>
    <w:p w14:paraId="25D47573" w14:textId="48137A91" w:rsidR="00332FDF" w:rsidRDefault="00332FDF" w:rsidP="00A506CF">
      <w:pPr>
        <w:pStyle w:val="DefaultText"/>
        <w:spacing w:before="120"/>
        <w:rPr>
          <w:szCs w:val="24"/>
        </w:rPr>
        <w:sectPr w:rsidR="00332FDF" w:rsidSect="00332FDF">
          <w:pgSz w:w="15840" w:h="12240" w:orient="landscape"/>
          <w:pgMar w:top="1440" w:right="2088" w:bottom="1440" w:left="1440" w:header="648" w:footer="648" w:gutter="0"/>
          <w:cols w:space="720"/>
          <w:docGrid w:linePitch="272"/>
        </w:sectPr>
      </w:pPr>
    </w:p>
    <w:p w14:paraId="62AA8621" w14:textId="77777777" w:rsidR="00DB3043" w:rsidRDefault="00DB3043" w:rsidP="00683645">
      <w:pPr>
        <w:pStyle w:val="DefaultText"/>
        <w:numPr>
          <w:ilvl w:val="0"/>
          <w:numId w:val="8"/>
        </w:numPr>
        <w:tabs>
          <w:tab w:val="left" w:pos="1080"/>
        </w:tabs>
        <w:spacing w:before="120"/>
        <w:rPr>
          <w:rFonts w:ascii="Arial" w:hAnsi="Arial" w:cs="Arial"/>
          <w:b/>
          <w:sz w:val="20"/>
        </w:rPr>
      </w:pPr>
      <w:r w:rsidRPr="009E07F2">
        <w:rPr>
          <w:rFonts w:ascii="Arial" w:hAnsi="Arial" w:cs="Arial"/>
          <w:b/>
          <w:sz w:val="20"/>
        </w:rPr>
        <w:lastRenderedPageBreak/>
        <w:t>Business Purpose:</w:t>
      </w:r>
    </w:p>
    <w:p w14:paraId="42E89986" w14:textId="795B6427" w:rsidR="00683645" w:rsidRPr="00683645" w:rsidRDefault="00FF6DB6" w:rsidP="00683645">
      <w:pPr>
        <w:spacing w:before="120"/>
        <w:rPr>
          <w:sz w:val="24"/>
          <w:szCs w:val="24"/>
        </w:rPr>
      </w:pPr>
      <w:r w:rsidRPr="00FF6DB6">
        <w:rPr>
          <w:sz w:val="24"/>
          <w:szCs w:val="24"/>
        </w:rPr>
        <w:t>To establish needed modifications to the NAESB WGQ Business Practice Standards based on the results of the Sandia National Laboratories surety assessment as proposed by the NAESB Board Critical Infrastructure Committee.</w:t>
      </w:r>
    </w:p>
    <w:p w14:paraId="705674FB" w14:textId="77777777"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3FD2B014" w14:textId="5876233F" w:rsidR="00273ACC" w:rsidRDefault="00273ACC" w:rsidP="00273ACC">
      <w:pPr>
        <w:tabs>
          <w:tab w:val="left" w:pos="1080"/>
        </w:tabs>
        <w:spacing w:before="120"/>
        <w:rPr>
          <w:sz w:val="24"/>
          <w:szCs w:val="24"/>
        </w:rPr>
      </w:pPr>
      <w:r>
        <w:rPr>
          <w:sz w:val="24"/>
          <w:szCs w:val="24"/>
        </w:rPr>
        <w:t xml:space="preserve">The </w:t>
      </w:r>
      <w:r w:rsidR="00FF6DB6">
        <w:rPr>
          <w:sz w:val="24"/>
          <w:szCs w:val="24"/>
        </w:rPr>
        <w:t xml:space="preserve">WGQ EDM Subcommittee </w:t>
      </w:r>
      <w:r>
        <w:rPr>
          <w:sz w:val="24"/>
          <w:szCs w:val="24"/>
        </w:rPr>
        <w:t xml:space="preserve">and </w:t>
      </w:r>
      <w:r w:rsidR="00FF6DB6">
        <w:rPr>
          <w:sz w:val="24"/>
          <w:szCs w:val="24"/>
        </w:rPr>
        <w:t xml:space="preserve">RMQ IR/TEIS </w:t>
      </w:r>
      <w:r>
        <w:rPr>
          <w:sz w:val="24"/>
          <w:szCs w:val="24"/>
        </w:rPr>
        <w:t>held 8 joint conference calls on the following dates:</w:t>
      </w:r>
    </w:p>
    <w:p w14:paraId="10B9C284" w14:textId="77777777" w:rsidR="00273ACC" w:rsidRDefault="00CF3213" w:rsidP="00273ACC">
      <w:pPr>
        <w:tabs>
          <w:tab w:val="left" w:pos="1080"/>
        </w:tabs>
        <w:spacing w:before="120"/>
        <w:rPr>
          <w:sz w:val="24"/>
          <w:szCs w:val="24"/>
        </w:rPr>
      </w:pPr>
      <w:hyperlink r:id="rId16" w:history="1">
        <w:r w:rsidR="00273ACC" w:rsidRPr="00273ACC">
          <w:rPr>
            <w:rStyle w:val="Hyperlink"/>
            <w:sz w:val="24"/>
            <w:szCs w:val="24"/>
          </w:rPr>
          <w:t>August 19, 2019</w:t>
        </w:r>
      </w:hyperlink>
    </w:p>
    <w:p w14:paraId="4167EDDD" w14:textId="77777777" w:rsidR="00273ACC" w:rsidRDefault="00CF3213" w:rsidP="00273ACC">
      <w:pPr>
        <w:tabs>
          <w:tab w:val="left" w:pos="1080"/>
        </w:tabs>
        <w:spacing w:before="120"/>
        <w:rPr>
          <w:sz w:val="24"/>
          <w:szCs w:val="24"/>
        </w:rPr>
      </w:pPr>
      <w:hyperlink r:id="rId17" w:history="1">
        <w:r w:rsidR="00273ACC" w:rsidRPr="00273ACC">
          <w:rPr>
            <w:rStyle w:val="Hyperlink"/>
            <w:sz w:val="24"/>
            <w:szCs w:val="24"/>
          </w:rPr>
          <w:t>August 26, 2019</w:t>
        </w:r>
      </w:hyperlink>
    </w:p>
    <w:p w14:paraId="4B1CFBB2" w14:textId="77777777" w:rsidR="00273ACC" w:rsidRDefault="00CF3213" w:rsidP="00273ACC">
      <w:pPr>
        <w:tabs>
          <w:tab w:val="left" w:pos="1080"/>
        </w:tabs>
        <w:spacing w:before="120"/>
        <w:rPr>
          <w:sz w:val="24"/>
          <w:szCs w:val="24"/>
        </w:rPr>
      </w:pPr>
      <w:hyperlink r:id="rId18" w:history="1">
        <w:r w:rsidR="00273ACC" w:rsidRPr="00273ACC">
          <w:rPr>
            <w:rStyle w:val="Hyperlink"/>
            <w:sz w:val="24"/>
            <w:szCs w:val="24"/>
          </w:rPr>
          <w:t>September 9, 2019</w:t>
        </w:r>
      </w:hyperlink>
    </w:p>
    <w:p w14:paraId="31F0AF49" w14:textId="77777777" w:rsidR="00273ACC" w:rsidRDefault="00CF3213" w:rsidP="00273ACC">
      <w:pPr>
        <w:tabs>
          <w:tab w:val="left" w:pos="1080"/>
        </w:tabs>
        <w:spacing w:before="120"/>
        <w:rPr>
          <w:sz w:val="24"/>
          <w:szCs w:val="24"/>
        </w:rPr>
      </w:pPr>
      <w:hyperlink r:id="rId19" w:history="1">
        <w:r w:rsidR="00273ACC" w:rsidRPr="00273ACC">
          <w:rPr>
            <w:rStyle w:val="Hyperlink"/>
            <w:sz w:val="24"/>
            <w:szCs w:val="24"/>
          </w:rPr>
          <w:t>September 23, 2019</w:t>
        </w:r>
      </w:hyperlink>
    </w:p>
    <w:p w14:paraId="79815244" w14:textId="77777777" w:rsidR="00273ACC" w:rsidRDefault="00CF3213" w:rsidP="00273ACC">
      <w:pPr>
        <w:tabs>
          <w:tab w:val="left" w:pos="1080"/>
        </w:tabs>
        <w:spacing w:before="120"/>
        <w:rPr>
          <w:sz w:val="24"/>
          <w:szCs w:val="24"/>
        </w:rPr>
      </w:pPr>
      <w:hyperlink r:id="rId20" w:history="1">
        <w:r w:rsidR="00273ACC" w:rsidRPr="00273ACC">
          <w:rPr>
            <w:rStyle w:val="Hyperlink"/>
            <w:sz w:val="24"/>
            <w:szCs w:val="24"/>
          </w:rPr>
          <w:t>October 9, 2019</w:t>
        </w:r>
      </w:hyperlink>
    </w:p>
    <w:p w14:paraId="713DF73B" w14:textId="77777777" w:rsidR="00273ACC" w:rsidRDefault="00273ACC" w:rsidP="00273ACC">
      <w:pPr>
        <w:tabs>
          <w:tab w:val="left" w:pos="1080"/>
        </w:tabs>
        <w:spacing w:before="120"/>
        <w:rPr>
          <w:sz w:val="24"/>
          <w:szCs w:val="24"/>
        </w:rPr>
      </w:pPr>
      <w:r>
        <w:rPr>
          <w:sz w:val="24"/>
          <w:szCs w:val="24"/>
        </w:rPr>
        <w:t>October 23, 2019</w:t>
      </w:r>
    </w:p>
    <w:p w14:paraId="71428E70" w14:textId="77777777" w:rsidR="00273ACC" w:rsidRDefault="00273ACC" w:rsidP="00273ACC">
      <w:pPr>
        <w:tabs>
          <w:tab w:val="left" w:pos="1080"/>
        </w:tabs>
        <w:spacing w:before="120"/>
        <w:rPr>
          <w:sz w:val="24"/>
          <w:szCs w:val="24"/>
        </w:rPr>
      </w:pPr>
      <w:r>
        <w:rPr>
          <w:sz w:val="24"/>
          <w:szCs w:val="24"/>
        </w:rPr>
        <w:t>November 11, 2019</w:t>
      </w:r>
    </w:p>
    <w:p w14:paraId="215F5035" w14:textId="77777777" w:rsidR="00273ACC" w:rsidRDefault="00273ACC" w:rsidP="00273ACC">
      <w:pPr>
        <w:tabs>
          <w:tab w:val="left" w:pos="1080"/>
        </w:tabs>
        <w:spacing w:before="120"/>
        <w:rPr>
          <w:sz w:val="24"/>
          <w:szCs w:val="24"/>
        </w:rPr>
      </w:pPr>
      <w:r>
        <w:rPr>
          <w:sz w:val="24"/>
          <w:szCs w:val="24"/>
        </w:rPr>
        <w:t>December 2, 2019</w:t>
      </w:r>
    </w:p>
    <w:p w14:paraId="6094BBEC" w14:textId="77777777" w:rsidR="00273ACC" w:rsidRDefault="00273ACC" w:rsidP="00273ACC">
      <w:pPr>
        <w:tabs>
          <w:tab w:val="left" w:pos="1080"/>
        </w:tabs>
        <w:spacing w:before="120"/>
        <w:rPr>
          <w:sz w:val="24"/>
          <w:szCs w:val="24"/>
        </w:rPr>
      </w:pPr>
    </w:p>
    <w:p w14:paraId="44FA2F31" w14:textId="5E173F6F" w:rsidR="00273ACC" w:rsidRPr="00273ACC" w:rsidRDefault="008A1A44" w:rsidP="00273ACC">
      <w:pPr>
        <w:tabs>
          <w:tab w:val="left" w:pos="1080"/>
        </w:tabs>
        <w:spacing w:before="120"/>
        <w:rPr>
          <w:sz w:val="24"/>
          <w:szCs w:val="24"/>
        </w:rPr>
      </w:pPr>
      <w:r>
        <w:rPr>
          <w:sz w:val="24"/>
          <w:szCs w:val="24"/>
        </w:rPr>
        <w:t>The WGQ EDM Subcommittee voted out the recommendation during the</w:t>
      </w:r>
      <w:r w:rsidR="0069443C">
        <w:rPr>
          <w:sz w:val="24"/>
          <w:szCs w:val="24"/>
        </w:rPr>
        <w:t xml:space="preserve"> December 2, 2019 joint WGQ EDM and RM</w:t>
      </w:r>
      <w:r>
        <w:rPr>
          <w:sz w:val="24"/>
          <w:szCs w:val="24"/>
        </w:rPr>
        <w:t>Q IR/TEIS conference call.</w:t>
      </w:r>
    </w:p>
    <w:sectPr w:rsidR="00273ACC" w:rsidRPr="00273ACC">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7964D" w14:textId="77777777" w:rsidR="00CF3213" w:rsidRDefault="00CF3213">
      <w:r>
        <w:separator/>
      </w:r>
    </w:p>
  </w:endnote>
  <w:endnote w:type="continuationSeparator" w:id="0">
    <w:p w14:paraId="240C143F" w14:textId="77777777" w:rsidR="00CF3213" w:rsidRDefault="00CF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287F" w14:textId="77777777" w:rsidR="00EB111F" w:rsidRDefault="00EB1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4E2F4" w14:textId="77777777" w:rsidR="001F55B3" w:rsidRPr="001F55B3" w:rsidRDefault="0069443C" w:rsidP="001F55B3">
    <w:pPr>
      <w:pStyle w:val="DefaultText"/>
      <w:jc w:val="right"/>
      <w:rPr>
        <w:rFonts w:ascii="Arial" w:hAnsi="Arial" w:cs="Arial"/>
        <w:sz w:val="20"/>
      </w:rPr>
    </w:pPr>
    <w:r>
      <w:rPr>
        <w:rFonts w:ascii="Arial" w:hAnsi="Arial" w:cs="Arial"/>
        <w:sz w:val="20"/>
      </w:rPr>
      <w:t>December 2, 2019</w:t>
    </w:r>
  </w:p>
  <w:p w14:paraId="6C338A2C" w14:textId="77777777"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8A1A44">
      <w:rPr>
        <w:rStyle w:val="PageNumber"/>
        <w:rFonts w:ascii="Arial" w:hAnsi="Arial" w:cs="Arial"/>
        <w:noProof/>
        <w:sz w:val="20"/>
      </w:rPr>
      <w:t>1</w:t>
    </w:r>
    <w:r w:rsidRPr="001F55B3">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A3D4" w14:textId="77777777" w:rsidR="00EB111F" w:rsidRDefault="00EB1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39EF1" w14:textId="77777777" w:rsidR="00CF3213" w:rsidRDefault="00CF3213">
      <w:r>
        <w:separator/>
      </w:r>
    </w:p>
  </w:footnote>
  <w:footnote w:type="continuationSeparator" w:id="0">
    <w:p w14:paraId="39EFFDA7" w14:textId="77777777" w:rsidR="00CF3213" w:rsidRDefault="00CF3213">
      <w:r>
        <w:continuationSeparator/>
      </w:r>
    </w:p>
  </w:footnote>
  <w:footnote w:id="1">
    <w:p w14:paraId="49C71E37" w14:textId="77777777" w:rsidR="00332FDF" w:rsidRDefault="00332FDF" w:rsidP="00332FDF">
      <w:pPr>
        <w:pStyle w:val="FootnoteText"/>
      </w:pPr>
      <w:r>
        <w:rPr>
          <w:rStyle w:val="FootnoteReference"/>
        </w:rPr>
        <w:footnoteRef/>
      </w:r>
      <w:r>
        <w:t xml:space="preserve"> NIST 800-52 section 3.1 Protocol Version Support </w:t>
      </w:r>
      <w:hyperlink r:id="rId1" w:history="1">
        <w:r w:rsidRPr="00872B39">
          <w:rPr>
            <w:rStyle w:val="Hyperlink"/>
          </w:rPr>
          <w:t>https://csrc.nist.gov/CSRC/media/Publications/sp/800-52/rev-2/draft/documents/sp800-52r2-draft2.pdf</w:t>
        </w:r>
      </w:hyperlink>
    </w:p>
  </w:footnote>
  <w:footnote w:id="2">
    <w:p w14:paraId="4009C9F6" w14:textId="77777777" w:rsidR="00332FDF" w:rsidRDefault="00332FDF" w:rsidP="00332FDF">
      <w:pPr>
        <w:pStyle w:val="FootnoteText"/>
      </w:pPr>
      <w:r>
        <w:rPr>
          <w:rStyle w:val="FootnoteReference"/>
        </w:rPr>
        <w:footnoteRef/>
      </w:r>
      <w:r>
        <w:t xml:space="preserve"> NIST SP 800-94 Guide to Intrusion Detection and Prevention Systems (IDPS) </w:t>
      </w:r>
      <w:hyperlink r:id="rId2" w:history="1">
        <w:r w:rsidRPr="00E26520">
          <w:rPr>
            <w:rStyle w:val="Hyperlink"/>
          </w:rPr>
          <w:t>https://nvlpubs.nist.gov/nistpubs/Legacy/SP/nistspecialpublication800-94.pdf</w:t>
        </w:r>
      </w:hyperlink>
      <w:r>
        <w:t xml:space="preserve"> </w:t>
      </w:r>
    </w:p>
  </w:footnote>
  <w:footnote w:id="3">
    <w:p w14:paraId="5295BCBB" w14:textId="77777777" w:rsidR="00332FDF" w:rsidRPr="00630A71" w:rsidRDefault="00332FDF" w:rsidP="00332FDF">
      <w:pPr>
        <w:pStyle w:val="Footnote"/>
        <w:rPr>
          <w:rFonts w:ascii="Times New Roman" w:hAnsi="Times New Roman" w:cs="Times New Roman"/>
          <w:sz w:val="20"/>
          <w:szCs w:val="20"/>
        </w:rPr>
      </w:pPr>
      <w:r w:rsidRPr="00630A71">
        <w:rPr>
          <w:rFonts w:ascii="Times New Roman" w:hAnsi="Times New Roman" w:cs="Times New Roman"/>
          <w:sz w:val="20"/>
          <w:szCs w:val="20"/>
          <w:vertAlign w:val="superscript"/>
        </w:rPr>
        <w:footnoteRef/>
      </w:r>
      <w:r w:rsidRPr="00630A71">
        <w:rPr>
          <w:rFonts w:ascii="Times New Roman" w:eastAsia="Arial Unicode MS" w:hAnsi="Times New Roman" w:cs="Times New Roman"/>
          <w:sz w:val="20"/>
          <w:szCs w:val="20"/>
        </w:rPr>
        <w:t xml:space="preserve"> </w:t>
      </w:r>
      <w:r w:rsidRPr="00630A71">
        <w:rPr>
          <w:rFonts w:ascii="Times New Roman" w:eastAsia="Arial Unicode MS" w:hAnsi="Times New Roman" w:cs="Times New Roman"/>
          <w:i/>
          <w:iCs/>
          <w:sz w:val="20"/>
          <w:szCs w:val="20"/>
        </w:rPr>
        <w:t>Securing the Web</w:t>
      </w:r>
      <w:r w:rsidRPr="00630A71">
        <w:rPr>
          <w:rFonts w:ascii="Times New Roman" w:eastAsia="Arial Unicode MS" w:hAnsi="Times New Roman" w:cs="Times New Roman"/>
          <w:sz w:val="20"/>
          <w:szCs w:val="20"/>
        </w:rPr>
        <w:t xml:space="preserve">, retrieved on June 10, 2019, from </w:t>
      </w:r>
      <w:hyperlink r:id="rId3" w:history="1">
        <w:r w:rsidRPr="00630A71">
          <w:rPr>
            <w:rStyle w:val="Hyperlink"/>
            <w:rFonts w:ascii="Times New Roman" w:eastAsia="Arial Unicode MS" w:hAnsi="Times New Roman" w:cs="Times New Roman"/>
            <w:sz w:val="20"/>
            <w:szCs w:val="20"/>
          </w:rPr>
          <w:t>https://www.w3.org/2001/tag/doc/web-https</w:t>
        </w:r>
      </w:hyperlink>
      <w:r w:rsidRPr="00630A71">
        <w:rPr>
          <w:rFonts w:ascii="Times New Roman" w:eastAsia="Arial Unicode MS" w:hAnsi="Times New Roman" w:cs="Times New Roman"/>
          <w:sz w:val="20"/>
          <w:szCs w:val="20"/>
        </w:rPr>
        <w:t xml:space="preserve"> </w:t>
      </w:r>
    </w:p>
  </w:footnote>
  <w:footnote w:id="4">
    <w:p w14:paraId="55762E05" w14:textId="77777777" w:rsidR="00332FDF" w:rsidRPr="00630A71" w:rsidRDefault="00332FDF" w:rsidP="00332FDF">
      <w:pPr>
        <w:pStyle w:val="Footnote"/>
        <w:rPr>
          <w:rFonts w:ascii="Times New Roman" w:hAnsi="Times New Roman" w:cs="Times New Roman"/>
          <w:sz w:val="20"/>
          <w:szCs w:val="20"/>
        </w:rPr>
      </w:pPr>
      <w:r w:rsidRPr="00630A71">
        <w:rPr>
          <w:rFonts w:ascii="Times New Roman" w:hAnsi="Times New Roman" w:cs="Times New Roman"/>
          <w:sz w:val="20"/>
          <w:szCs w:val="20"/>
          <w:vertAlign w:val="superscript"/>
        </w:rPr>
        <w:footnoteRef/>
      </w:r>
      <w:r w:rsidRPr="00630A71">
        <w:rPr>
          <w:rFonts w:ascii="Times New Roman" w:eastAsia="Arial Unicode MS" w:hAnsi="Times New Roman" w:cs="Times New Roman"/>
          <w:sz w:val="20"/>
          <w:szCs w:val="20"/>
        </w:rPr>
        <w:t xml:space="preserve"> RFC 2617: </w:t>
      </w:r>
      <w:r w:rsidRPr="00630A71">
        <w:rPr>
          <w:rFonts w:ascii="Times New Roman" w:eastAsia="Arial Unicode MS" w:hAnsi="Times New Roman" w:cs="Times New Roman"/>
          <w:i/>
          <w:iCs/>
          <w:sz w:val="20"/>
          <w:szCs w:val="20"/>
        </w:rPr>
        <w:t>HTTP Authentication: Basic and Digest Access Authentication</w:t>
      </w:r>
      <w:r w:rsidRPr="00630A71">
        <w:rPr>
          <w:rFonts w:ascii="Times New Roman" w:eastAsia="Arial Unicode MS" w:hAnsi="Times New Roman" w:cs="Times New Roman"/>
          <w:sz w:val="20"/>
          <w:szCs w:val="20"/>
        </w:rPr>
        <w:t xml:space="preserve">, retrieved on June 10, 2019, from </w:t>
      </w:r>
      <w:hyperlink r:id="rId4" w:history="1">
        <w:r w:rsidRPr="00630A71">
          <w:rPr>
            <w:rStyle w:val="Hyperlink"/>
            <w:rFonts w:ascii="Times New Roman" w:eastAsia="Arial Unicode MS" w:hAnsi="Times New Roman" w:cs="Times New Roman"/>
            <w:sz w:val="20"/>
            <w:szCs w:val="20"/>
          </w:rPr>
          <w:t>https://tools.ietf.org/html/rfc2617</w:t>
        </w:r>
      </w:hyperlink>
      <w:r w:rsidRPr="00630A71">
        <w:rPr>
          <w:rFonts w:ascii="Times New Roman" w:eastAsia="Arial Unicode MS" w:hAnsi="Times New Roman" w:cs="Times New Roman"/>
          <w:sz w:val="20"/>
          <w:szCs w:val="20"/>
        </w:rPr>
        <w:t xml:space="preserve"> </w:t>
      </w:r>
    </w:p>
  </w:footnote>
  <w:footnote w:id="5">
    <w:p w14:paraId="31D058B9" w14:textId="77777777" w:rsidR="00332FDF" w:rsidRPr="00A63874" w:rsidRDefault="00332FDF" w:rsidP="00332FDF">
      <w:pPr>
        <w:pStyle w:val="Footnote"/>
        <w:rPr>
          <w:rFonts w:ascii="Times New Roman" w:hAnsi="Times New Roman" w:cs="Times New Roman"/>
          <w:sz w:val="16"/>
          <w:szCs w:val="16"/>
        </w:rPr>
      </w:pPr>
      <w:r w:rsidRPr="00630A71">
        <w:rPr>
          <w:rFonts w:ascii="Times New Roman" w:hAnsi="Times New Roman" w:cs="Times New Roman"/>
          <w:sz w:val="20"/>
          <w:szCs w:val="20"/>
          <w:vertAlign w:val="superscript"/>
        </w:rPr>
        <w:footnoteRef/>
      </w:r>
      <w:r w:rsidRPr="00630A71">
        <w:rPr>
          <w:rFonts w:ascii="Times New Roman" w:eastAsia="Arial Unicode MS" w:hAnsi="Times New Roman" w:cs="Times New Roman"/>
          <w:sz w:val="20"/>
          <w:szCs w:val="20"/>
        </w:rPr>
        <w:t xml:space="preserve"> Barker, E. and Roginsky, A. NIST 800-131A: </w:t>
      </w:r>
      <w:r w:rsidRPr="00630A71">
        <w:rPr>
          <w:rFonts w:ascii="Times New Roman" w:eastAsia="Arial Unicode MS" w:hAnsi="Times New Roman" w:cs="Times New Roman"/>
          <w:i/>
          <w:iCs/>
          <w:sz w:val="20"/>
          <w:szCs w:val="20"/>
        </w:rPr>
        <w:t>Transitioning the Use of Cryptographic Algorithms and Key Lengths</w:t>
      </w:r>
      <w:r w:rsidRPr="00630A71">
        <w:rPr>
          <w:rFonts w:ascii="Times New Roman" w:eastAsia="Arial Unicode MS" w:hAnsi="Times New Roman" w:cs="Times New Roman"/>
          <w:sz w:val="20"/>
          <w:szCs w:val="20"/>
        </w:rPr>
        <w:t>. National Institute of Standards and Technology, 2019.</w:t>
      </w:r>
    </w:p>
  </w:footnote>
  <w:footnote w:id="6">
    <w:p w14:paraId="20E8820F" w14:textId="77777777" w:rsidR="00332FDF" w:rsidRPr="00630A71" w:rsidRDefault="00332FDF" w:rsidP="00332FDF">
      <w:pPr>
        <w:pStyle w:val="Footnote"/>
        <w:rPr>
          <w:rFonts w:ascii="Times New Roman" w:hAnsi="Times New Roman" w:cs="Times New Roman"/>
          <w:sz w:val="20"/>
          <w:szCs w:val="20"/>
        </w:rPr>
      </w:pPr>
      <w:r w:rsidRPr="00630A71">
        <w:rPr>
          <w:rFonts w:ascii="Times New Roman" w:hAnsi="Times New Roman" w:cs="Times New Roman"/>
          <w:sz w:val="20"/>
          <w:szCs w:val="20"/>
          <w:vertAlign w:val="superscript"/>
        </w:rPr>
        <w:footnoteRef/>
      </w:r>
      <w:r w:rsidRPr="00630A71">
        <w:rPr>
          <w:rFonts w:ascii="Times New Roman" w:eastAsia="Arial Unicode MS" w:hAnsi="Times New Roman" w:cs="Times New Roman"/>
          <w:sz w:val="20"/>
          <w:szCs w:val="20"/>
        </w:rPr>
        <w:t xml:space="preserve"> Symantec Corporation. </w:t>
      </w:r>
      <w:r w:rsidRPr="00630A71">
        <w:rPr>
          <w:rFonts w:ascii="Times New Roman" w:eastAsia="Arial Unicode MS" w:hAnsi="Times New Roman" w:cs="Times New Roman"/>
          <w:i/>
          <w:iCs/>
          <w:sz w:val="20"/>
          <w:szCs w:val="20"/>
        </w:rPr>
        <w:t>PGP Command Line 9.0 User’s Guide</w:t>
      </w:r>
      <w:r w:rsidRPr="00630A71">
        <w:rPr>
          <w:rFonts w:ascii="Times New Roman" w:eastAsia="Arial Unicode MS" w:hAnsi="Times New Roman" w:cs="Times New Roman"/>
          <w:sz w:val="20"/>
          <w:szCs w:val="20"/>
        </w:rPr>
        <w:t>. Symantec, 2006.</w:t>
      </w:r>
    </w:p>
  </w:footnote>
  <w:footnote w:id="7">
    <w:p w14:paraId="12D22C8E" w14:textId="77777777" w:rsidR="00332FDF" w:rsidRPr="00630A71" w:rsidRDefault="00332FDF" w:rsidP="00332FDF">
      <w:pPr>
        <w:pStyle w:val="Footnote"/>
        <w:rPr>
          <w:rFonts w:ascii="Times New Roman" w:hAnsi="Times New Roman" w:cs="Times New Roman"/>
          <w:sz w:val="20"/>
          <w:szCs w:val="20"/>
        </w:rPr>
      </w:pPr>
      <w:r w:rsidRPr="00630A71">
        <w:rPr>
          <w:rFonts w:ascii="Times New Roman" w:hAnsi="Times New Roman" w:cs="Times New Roman"/>
          <w:sz w:val="20"/>
          <w:szCs w:val="20"/>
          <w:vertAlign w:val="superscript"/>
        </w:rPr>
        <w:footnoteRef/>
      </w:r>
      <w:r w:rsidRPr="00630A71">
        <w:rPr>
          <w:rFonts w:ascii="Times New Roman" w:eastAsia="Arial Unicode MS" w:hAnsi="Times New Roman" w:cs="Times New Roman"/>
          <w:sz w:val="20"/>
          <w:szCs w:val="20"/>
        </w:rPr>
        <w:t xml:space="preserve"> </w:t>
      </w:r>
      <w:r w:rsidRPr="00630A71">
        <w:rPr>
          <w:rFonts w:ascii="Times New Roman" w:eastAsia="Arial Unicode MS" w:hAnsi="Times New Roman" w:cs="Times New Roman"/>
          <w:i/>
          <w:iCs/>
          <w:sz w:val="20"/>
          <w:szCs w:val="20"/>
        </w:rPr>
        <w:t>Replay Attacks</w:t>
      </w:r>
      <w:r w:rsidRPr="00630A71">
        <w:rPr>
          <w:rFonts w:ascii="Times New Roman" w:eastAsia="Arial Unicode MS" w:hAnsi="Times New Roman" w:cs="Times New Roman"/>
          <w:sz w:val="20"/>
          <w:szCs w:val="20"/>
        </w:rPr>
        <w:t xml:space="preserve">, retrieved on June 10, 2019, from </w:t>
      </w:r>
      <w:hyperlink r:id="rId5" w:history="1">
        <w:r w:rsidRPr="00630A71">
          <w:rPr>
            <w:rStyle w:val="Hyperlink"/>
            <w:rFonts w:ascii="Times New Roman" w:eastAsia="Arial Unicode MS" w:hAnsi="Times New Roman" w:cs="Times New Roman"/>
            <w:sz w:val="20"/>
            <w:szCs w:val="20"/>
          </w:rPr>
          <w:t>https://docs.microsoft.com/en-us/dotnet/framework/wcf/feature-details/replay-attacks</w:t>
        </w:r>
      </w:hyperlink>
      <w:r>
        <w:rPr>
          <w:rStyle w:val="Hyperlink"/>
          <w:rFonts w:ascii="Times New Roman" w:eastAsia="Arial Unicode MS" w:hAnsi="Times New Roman" w:cs="Times New Roman"/>
          <w:sz w:val="20"/>
          <w:szCs w:val="20"/>
        </w:rPr>
        <w:t xml:space="preserve">  </w:t>
      </w:r>
      <w:r w:rsidRPr="00630A71">
        <w:rPr>
          <w:rFonts w:ascii="Times New Roman" w:eastAsia="Arial Unicode MS" w:hAnsi="Times New Roman" w:cs="Times New Roman"/>
          <w:sz w:val="20"/>
          <w:szCs w:val="20"/>
        </w:rPr>
        <w:t xml:space="preserve"> </w:t>
      </w:r>
    </w:p>
  </w:footnote>
  <w:footnote w:id="8">
    <w:p w14:paraId="2403F26B" w14:textId="77777777" w:rsidR="00332FDF" w:rsidRDefault="00332FDF" w:rsidP="00332FDF">
      <w:pPr>
        <w:pStyle w:val="Footnote"/>
      </w:pPr>
      <w:r w:rsidRPr="00630A71">
        <w:rPr>
          <w:rFonts w:ascii="Times New Roman" w:hAnsi="Times New Roman" w:cs="Times New Roman"/>
          <w:sz w:val="20"/>
          <w:szCs w:val="20"/>
          <w:vertAlign w:val="superscript"/>
        </w:rPr>
        <w:footnoteRef/>
      </w:r>
      <w:r w:rsidRPr="00630A71">
        <w:rPr>
          <w:rFonts w:ascii="Times New Roman" w:eastAsia="Arial Unicode MS" w:hAnsi="Times New Roman" w:cs="Times New Roman"/>
          <w:sz w:val="20"/>
          <w:szCs w:val="20"/>
        </w:rPr>
        <w:t xml:space="preserve"> </w:t>
      </w:r>
      <w:r w:rsidRPr="00630A71">
        <w:rPr>
          <w:rFonts w:ascii="Times New Roman" w:eastAsia="Arial Unicode MS" w:hAnsi="Times New Roman" w:cs="Times New Roman"/>
          <w:i/>
          <w:iCs/>
          <w:sz w:val="20"/>
          <w:szCs w:val="20"/>
        </w:rPr>
        <w:t>DNS Amplification Attacks</w:t>
      </w:r>
      <w:r w:rsidRPr="00630A71">
        <w:rPr>
          <w:rFonts w:ascii="Times New Roman" w:eastAsia="Arial Unicode MS" w:hAnsi="Times New Roman" w:cs="Times New Roman"/>
          <w:sz w:val="20"/>
          <w:szCs w:val="20"/>
        </w:rPr>
        <w:t xml:space="preserve">, retrieved on June 10, 2019, from </w:t>
      </w:r>
      <w:hyperlink r:id="rId6" w:history="1">
        <w:r w:rsidRPr="00630A71">
          <w:rPr>
            <w:rStyle w:val="Hyperlink"/>
            <w:rFonts w:ascii="Times New Roman" w:eastAsia="Arial Unicode MS" w:hAnsi="Times New Roman" w:cs="Times New Roman"/>
            <w:sz w:val="20"/>
            <w:szCs w:val="20"/>
          </w:rPr>
          <w:t>https://www.us-cert.gov/ncas/alerts/TA13-088A</w:t>
        </w:r>
      </w:hyperlink>
      <w:r>
        <w:rPr>
          <w:rFonts w:ascii="Times New Roman" w:eastAsia="Arial Unicode MS"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720B4" w14:textId="77777777" w:rsidR="00EB111F" w:rsidRDefault="00EB1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B0738" w14:textId="77777777" w:rsidR="001F55B3" w:rsidRDefault="00CF3213" w:rsidP="001F55B3">
    <w:pPr>
      <w:pStyle w:val="BodyText"/>
    </w:pPr>
    <w:r>
      <w:object w:dxaOrig="1440" w:dyaOrig="1440" w14:anchorId="22BD7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636873417" r:id="rId2"/>
      </w:object>
    </w:r>
  </w:p>
  <w:p w14:paraId="4DCE0C68" w14:textId="77777777" w:rsidR="00FF6DB6" w:rsidRDefault="00FF6DB6" w:rsidP="00FF6DB6">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74BEC2ED" w14:textId="77777777" w:rsidR="00FF6DB6" w:rsidRDefault="00FF6DB6" w:rsidP="00FF6DB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Pr>
        <w:rFonts w:ascii="Arial" w:hAnsi="Arial" w:cs="Arial"/>
        <w:b/>
        <w:sz w:val="22"/>
      </w:rPr>
      <w:tab/>
      <w:t>Wholesale Gas Quadrant (WGQ)</w:t>
    </w:r>
  </w:p>
  <w:p w14:paraId="5548F36F" w14:textId="77777777" w:rsidR="00FF6DB6" w:rsidRDefault="00FF6DB6" w:rsidP="00FF6DB6">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Requesters:</w:t>
    </w:r>
    <w:r>
      <w:rPr>
        <w:rFonts w:ascii="Arial" w:hAnsi="Arial" w:cs="Arial"/>
        <w:b/>
        <w:sz w:val="22"/>
      </w:rPr>
      <w:tab/>
      <w:t>WGQ Electronic Delivery Mechanisms Subcommittee</w:t>
    </w:r>
  </w:p>
  <w:p w14:paraId="6AAFD48B" w14:textId="77777777" w:rsidR="00FF6DB6" w:rsidRDefault="00FF6DB6" w:rsidP="00EB111F">
    <w:pPr>
      <w:pStyle w:val="DefaultText"/>
      <w:pBdr>
        <w:top w:val="single" w:sz="6" w:space="7" w:color="auto" w:shadow="1"/>
        <w:left w:val="single" w:sz="6" w:space="7" w:color="auto" w:shadow="1"/>
        <w:bottom w:val="single" w:sz="6" w:space="7" w:color="auto" w:shadow="1"/>
        <w:right w:val="single" w:sz="6" w:space="7" w:color="auto" w:shadow="1"/>
      </w:pBdr>
      <w:ind w:left="2880" w:hanging="2880"/>
      <w:jc w:val="both"/>
      <w:rPr>
        <w:rFonts w:ascii="Arial" w:hAnsi="Arial" w:cs="Arial"/>
        <w:b/>
        <w:sz w:val="22"/>
      </w:rPr>
    </w:pPr>
    <w:r>
      <w:rPr>
        <w:rFonts w:ascii="Arial" w:hAnsi="Arial" w:cs="Arial"/>
        <w:b/>
        <w:sz w:val="22"/>
      </w:rPr>
      <w:t xml:space="preserve">                                       Request No.: </w:t>
    </w:r>
    <w:r>
      <w:rPr>
        <w:rFonts w:ascii="Arial" w:hAnsi="Arial" w:cs="Arial"/>
        <w:b/>
        <w:sz w:val="22"/>
      </w:rPr>
      <w:tab/>
      <w:t>2019 WGQ Annual Plan Items 6.a and 6.b</w:t>
    </w:r>
  </w:p>
  <w:p w14:paraId="7679D5EC" w14:textId="77777777" w:rsidR="00FF6DB6" w:rsidRDefault="00FF6DB6" w:rsidP="00EB111F">
    <w:pPr>
      <w:pStyle w:val="DefaultText"/>
      <w:pBdr>
        <w:top w:val="single" w:sz="6" w:space="7" w:color="auto" w:shadow="1"/>
        <w:left w:val="single" w:sz="6" w:space="7" w:color="auto" w:shadow="1"/>
        <w:bottom w:val="single" w:sz="6" w:space="7" w:color="auto" w:shadow="1"/>
        <w:right w:val="single" w:sz="6" w:space="7" w:color="auto" w:shadow="1"/>
      </w:pBdr>
      <w:ind w:left="4320" w:hanging="4320"/>
      <w:jc w:val="both"/>
      <w:rPr>
        <w:rFonts w:ascii="Arial" w:hAnsi="Arial" w:cs="Arial"/>
        <w:b/>
        <w:sz w:val="22"/>
      </w:rPr>
    </w:pPr>
    <w:r>
      <w:rPr>
        <w:rFonts w:ascii="Arial" w:hAnsi="Arial" w:cs="Arial"/>
        <w:b/>
        <w:sz w:val="22"/>
      </w:rPr>
      <w:t xml:space="preserve">                                       Request Title:</w:t>
    </w:r>
    <w:r>
      <w:rPr>
        <w:rFonts w:ascii="Arial" w:hAnsi="Arial" w:cs="Arial"/>
        <w:b/>
        <w:sz w:val="22"/>
      </w:rPr>
      <w:tab/>
    </w:r>
    <w:r w:rsidRPr="00273ACC">
      <w:rPr>
        <w:rFonts w:ascii="Arial" w:hAnsi="Arial" w:cs="Arial"/>
        <w:b/>
        <w:sz w:val="22"/>
      </w:rPr>
      <w:t>Review the surety assessment performed by Sandia National Laboratories and determine if stand</w:t>
    </w:r>
    <w:r>
      <w:rPr>
        <w:rFonts w:ascii="Arial" w:hAnsi="Arial" w:cs="Arial"/>
        <w:b/>
        <w:sz w:val="22"/>
      </w:rPr>
      <w:t xml:space="preserve">ard changes are necessary and </w:t>
    </w:r>
    <w:r w:rsidRPr="00273ACC">
      <w:rPr>
        <w:rFonts w:ascii="Arial" w:hAnsi="Arial" w:cs="Arial"/>
        <w:b/>
        <w:bCs/>
        <w:sz w:val="22"/>
      </w:rPr>
      <w:t xml:space="preserve">Develop and/or modify the NAESB Model Business Practices as needed to address Security Issues identified </w:t>
    </w:r>
    <w:r>
      <w:rPr>
        <w:rFonts w:ascii="Arial" w:hAnsi="Arial" w:cs="Arial"/>
        <w:b/>
        <w:bCs/>
        <w:sz w:val="22"/>
      </w:rPr>
      <w:t>by Sandia National Laboratories.</w:t>
    </w:r>
  </w:p>
  <w:p w14:paraId="69FFC524" w14:textId="77777777" w:rsidR="001F55B3" w:rsidRDefault="001F55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BB17" w14:textId="77777777" w:rsidR="00EB111F" w:rsidRDefault="00EB1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A715C87"/>
    <w:multiLevelType w:val="hybridMultilevel"/>
    <w:tmpl w:val="05A4CEF8"/>
    <w:lvl w:ilvl="0" w:tplc="A80ECEC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4573785"/>
    <w:multiLevelType w:val="hybridMultilevel"/>
    <w:tmpl w:val="519C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E50F04"/>
    <w:multiLevelType w:val="hybridMultilevel"/>
    <w:tmpl w:val="FA88B55C"/>
    <w:lvl w:ilvl="0" w:tplc="520AC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6CF"/>
    <w:rsid w:val="00081841"/>
    <w:rsid w:val="00084E98"/>
    <w:rsid w:val="000904F5"/>
    <w:rsid w:val="000D5D44"/>
    <w:rsid w:val="00161FDA"/>
    <w:rsid w:val="00193F4D"/>
    <w:rsid w:val="001A01E8"/>
    <w:rsid w:val="001F3CD5"/>
    <w:rsid w:val="001F55B3"/>
    <w:rsid w:val="00235BAE"/>
    <w:rsid w:val="00273ACC"/>
    <w:rsid w:val="00301F58"/>
    <w:rsid w:val="00332FDF"/>
    <w:rsid w:val="00382C52"/>
    <w:rsid w:val="00440523"/>
    <w:rsid w:val="00475101"/>
    <w:rsid w:val="00481507"/>
    <w:rsid w:val="00602F43"/>
    <w:rsid w:val="00683645"/>
    <w:rsid w:val="0069443C"/>
    <w:rsid w:val="006B3298"/>
    <w:rsid w:val="006D38C3"/>
    <w:rsid w:val="006D7EDB"/>
    <w:rsid w:val="007B47E3"/>
    <w:rsid w:val="0081190C"/>
    <w:rsid w:val="0086417E"/>
    <w:rsid w:val="008A1A44"/>
    <w:rsid w:val="009E07F2"/>
    <w:rsid w:val="00A506CF"/>
    <w:rsid w:val="00AE49CE"/>
    <w:rsid w:val="00B21625"/>
    <w:rsid w:val="00BB61DF"/>
    <w:rsid w:val="00C849B1"/>
    <w:rsid w:val="00C92334"/>
    <w:rsid w:val="00CF3213"/>
    <w:rsid w:val="00D07C20"/>
    <w:rsid w:val="00D77676"/>
    <w:rsid w:val="00DB0758"/>
    <w:rsid w:val="00DB3043"/>
    <w:rsid w:val="00DF672E"/>
    <w:rsid w:val="00E1083D"/>
    <w:rsid w:val="00EB111F"/>
    <w:rsid w:val="00F729F4"/>
    <w:rsid w:val="00F86155"/>
    <w:rsid w:val="00FF6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D81AB6"/>
  <w15:docId w15:val="{2AF763A1-1C06-4D02-96E3-7E05723E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link w:val="FootnoteTextChar"/>
    <w:uiPriority w:val="99"/>
  </w:style>
  <w:style w:type="character" w:styleId="FootnoteReference">
    <w:name w:val="footnote reference"/>
    <w:basedOn w:val="DefaultParagraphFont"/>
    <w:uiPriority w:val="99"/>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iPriority w:val="99"/>
    <w:unhideWhenUsed/>
    <w:rsid w:val="00B21625"/>
    <w:rPr>
      <w:color w:val="0000FF" w:themeColor="hyperlink"/>
      <w:u w:val="single"/>
    </w:rPr>
  </w:style>
  <w:style w:type="paragraph" w:styleId="PlainText">
    <w:name w:val="Plain Text"/>
    <w:basedOn w:val="Normal"/>
    <w:link w:val="PlainTextChar"/>
    <w:uiPriority w:val="99"/>
    <w:unhideWhenUsed/>
    <w:rsid w:val="00B21625"/>
    <w:rPr>
      <w:rFonts w:eastAsiaTheme="minorHAnsi" w:cstheme="minorBidi"/>
      <w:sz w:val="24"/>
      <w:szCs w:val="21"/>
    </w:rPr>
  </w:style>
  <w:style w:type="character" w:customStyle="1" w:styleId="PlainTextChar">
    <w:name w:val="Plain Text Char"/>
    <w:basedOn w:val="DefaultParagraphFont"/>
    <w:link w:val="PlainText"/>
    <w:uiPriority w:val="99"/>
    <w:rsid w:val="00B21625"/>
    <w:rPr>
      <w:rFonts w:eastAsiaTheme="minorHAnsi" w:cstheme="minorBidi"/>
      <w:sz w:val="24"/>
      <w:szCs w:val="21"/>
    </w:rPr>
  </w:style>
  <w:style w:type="paragraph" w:styleId="ListParagraph">
    <w:name w:val="List Paragraph"/>
    <w:basedOn w:val="Normal"/>
    <w:uiPriority w:val="34"/>
    <w:qFormat/>
    <w:rsid w:val="00273ACC"/>
    <w:pPr>
      <w:ind w:left="720"/>
      <w:contextualSpacing/>
    </w:pPr>
  </w:style>
  <w:style w:type="table" w:styleId="TableGrid">
    <w:name w:val="Table Grid"/>
    <w:basedOn w:val="TableNormal"/>
    <w:uiPriority w:val="39"/>
    <w:rsid w:val="00161FDA"/>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rsid w:val="00161FDA"/>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FootnoteTextChar">
    <w:name w:val="Footnote Text Char"/>
    <w:basedOn w:val="DefaultParagraphFont"/>
    <w:link w:val="FootnoteText"/>
    <w:uiPriority w:val="99"/>
    <w:rsid w:val="00332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4255">
      <w:bodyDiv w:val="1"/>
      <w:marLeft w:val="0"/>
      <w:marRight w:val="0"/>
      <w:marTop w:val="0"/>
      <w:marBottom w:val="0"/>
      <w:divBdr>
        <w:top w:val="none" w:sz="0" w:space="0" w:color="auto"/>
        <w:left w:val="none" w:sz="0" w:space="0" w:color="auto"/>
        <w:bottom w:val="none" w:sz="0" w:space="0" w:color="auto"/>
        <w:right w:val="none" w:sz="0" w:space="0" w:color="auto"/>
      </w:divBdr>
    </w:div>
    <w:div w:id="42692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wgq_2019_api_6a-6b_rec_attach2.docx" TargetMode="External"/><Relationship Id="rId13" Type="http://schemas.openxmlformats.org/officeDocument/2006/relationships/footer" Target="footer2.xml"/><Relationship Id="rId18" Type="http://schemas.openxmlformats.org/officeDocument/2006/relationships/hyperlink" Target="https://www.naesb.org/pdf4/wgq_edm_retail_ir_teis090919fm.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aesb.org/member_login_check.asp?doc=wgq_2019_api_6a-6b_rec_attach1.docx" TargetMode="External"/><Relationship Id="rId12" Type="http://schemas.openxmlformats.org/officeDocument/2006/relationships/footer" Target="footer1.xml"/><Relationship Id="rId17" Type="http://schemas.openxmlformats.org/officeDocument/2006/relationships/hyperlink" Target="https://www.naesb.org/pdf4/wgq_edm_retail_ir_teis082619fm.doc" TargetMode="External"/><Relationship Id="rId2" Type="http://schemas.openxmlformats.org/officeDocument/2006/relationships/styles" Target="styles.xml"/><Relationship Id="rId16" Type="http://schemas.openxmlformats.org/officeDocument/2006/relationships/hyperlink" Target="https://www.naesb.org/pdf4/wgq_edm_retail_ir_teis081919fm.doc" TargetMode="External"/><Relationship Id="rId20" Type="http://schemas.openxmlformats.org/officeDocument/2006/relationships/hyperlink" Target="https://www.naesb.org/pdf4/wgq_edm_retail_ir_teis100919fm.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naesb.org/pdf4/wgq_edm_retail_ir_teis092319fm.doc" TargetMode="External"/><Relationship Id="rId4" Type="http://schemas.openxmlformats.org/officeDocument/2006/relationships/webSettings" Target="webSettings.xml"/><Relationship Id="rId9" Type="http://schemas.openxmlformats.org/officeDocument/2006/relationships/hyperlink" Target="https://www.naesb.org/member_login_check.asp?doc=wgq_2019_api_6a-6b_rec_attach3.docx" TargetMode="Externa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3.org/2001/tag/doc/web-https" TargetMode="External"/><Relationship Id="rId2" Type="http://schemas.openxmlformats.org/officeDocument/2006/relationships/hyperlink" Target="https://nvlpubs.nist.gov/nistpubs/Legacy/SP/nistspecialpublication800-94.pdf" TargetMode="External"/><Relationship Id="rId1" Type="http://schemas.openxmlformats.org/officeDocument/2006/relationships/hyperlink" Target="https://csrc.nist.gov/CSRC/media/Publications/sp/800-52/rev-2/draft/documents/sp800-52r2-draft2.pdf" TargetMode="External"/><Relationship Id="rId6" Type="http://schemas.openxmlformats.org/officeDocument/2006/relationships/hyperlink" Target="https://www.us-cert.gov/ncas/alerts/TA13-088A" TargetMode="External"/><Relationship Id="rId5" Type="http://schemas.openxmlformats.org/officeDocument/2006/relationships/hyperlink" Target="https://docs.microsoft.com/en-us/dotnet/framework/wcf/feature-details/replay-attacks" TargetMode="External"/><Relationship Id="rId4" Type="http://schemas.openxmlformats.org/officeDocument/2006/relationships/hyperlink" Target="https://tools.ietf.org/html/rfc2617"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3269</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2</cp:revision>
  <cp:lastPrinted>2003-09-05T13:18:00Z</cp:lastPrinted>
  <dcterms:created xsi:type="dcterms:W3CDTF">2019-12-03T16:17:00Z</dcterms:created>
  <dcterms:modified xsi:type="dcterms:W3CDTF">2019-12-03T16:17:00Z</dcterms:modified>
</cp:coreProperties>
</file>