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3D" w:rsidRDefault="000D4D3D" w:rsidP="000D4D3D">
      <w:pPr>
        <w:pStyle w:val="DefaultText"/>
        <w:spacing w:before="240"/>
        <w:ind w:left="5040" w:hanging="5040"/>
        <w:rPr>
          <w:rFonts w:ascii="Arial" w:hAnsi="Arial" w:cs="Arial"/>
          <w:b/>
          <w:sz w:val="22"/>
          <w:szCs w:val="22"/>
        </w:rPr>
      </w:pPr>
      <w:bookmarkStart w:id="0" w:name="_GoBack"/>
      <w:bookmarkEnd w:id="0"/>
      <w:r w:rsidRPr="00E2563C">
        <w:rPr>
          <w:rFonts w:ascii="Arial" w:hAnsi="Arial" w:cs="Arial"/>
          <w:b/>
          <w:sz w:val="22"/>
          <w:szCs w:val="22"/>
        </w:rPr>
        <w:t>1.  RECOMMENDED ACTION:</w:t>
      </w:r>
      <w:r w:rsidRPr="00E2563C">
        <w:rPr>
          <w:rFonts w:ascii="Arial" w:hAnsi="Arial" w:cs="Arial"/>
          <w:b/>
          <w:sz w:val="22"/>
          <w:szCs w:val="22"/>
        </w:rPr>
        <w:tab/>
        <w:t>EFFECT OF EC VOTE TO ACCEPT RECOMMENDED ACTION:</w:t>
      </w:r>
    </w:p>
    <w:p w:rsidR="000D4D3D" w:rsidRPr="00E2563C" w:rsidRDefault="000D4D3D" w:rsidP="000D4D3D">
      <w:pPr>
        <w:pStyle w:val="DefaultText"/>
        <w:ind w:left="5040" w:hanging="5040"/>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requested</w:t>
            </w:r>
          </w:p>
        </w:tc>
        <w:tc>
          <w:tcPr>
            <w:tcW w:w="810" w:type="dxa"/>
            <w:tcBorders>
              <w:bottom w:val="single" w:sz="4" w:space="0" w:color="auto"/>
            </w:tcBorders>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Change to Existing Practice</w:t>
            </w:r>
          </w:p>
        </w:tc>
      </w:tr>
      <w:tr w:rsidR="000D4D3D" w:rsidRPr="00E2563C" w:rsidTr="00990322">
        <w:tc>
          <w:tcPr>
            <w:tcW w:w="810" w:type="dxa"/>
            <w:tcBorders>
              <w:top w:val="single" w:sz="4" w:space="0" w:color="auto"/>
              <w:bottom w:val="single" w:sz="4" w:space="0" w:color="auto"/>
            </w:tcBorders>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Accept as modified below</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Status Quo</w:t>
            </w:r>
          </w:p>
        </w:tc>
      </w:tr>
      <w:tr w:rsidR="000D4D3D" w:rsidRPr="00E2563C" w:rsidTr="00990322">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Decline</w:t>
            </w:r>
          </w:p>
        </w:tc>
        <w:tc>
          <w:tcPr>
            <w:tcW w:w="810" w:type="dxa"/>
            <w:tcBorders>
              <w:top w:val="single" w:sz="4" w:space="0" w:color="auto"/>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bl>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p>
    <w:p w:rsidR="000D4D3D" w:rsidRDefault="000D4D3D" w:rsidP="000D4D3D">
      <w:pPr>
        <w:pStyle w:val="DefaultText"/>
        <w:rPr>
          <w:rFonts w:ascii="Arial" w:hAnsi="Arial" w:cs="Arial"/>
          <w:b/>
          <w:sz w:val="22"/>
          <w:szCs w:val="22"/>
        </w:rPr>
      </w:pPr>
      <w:r w:rsidRPr="00E2563C">
        <w:rPr>
          <w:rFonts w:ascii="Arial" w:hAnsi="Arial" w:cs="Arial"/>
          <w:b/>
          <w:sz w:val="22"/>
          <w:szCs w:val="22"/>
        </w:rPr>
        <w:t>2.  TYPE OF DEVELOPMENT/MAINTENANCE</w:t>
      </w:r>
    </w:p>
    <w:p w:rsidR="000D4D3D" w:rsidRPr="00E2563C" w:rsidRDefault="000D4D3D" w:rsidP="000D4D3D">
      <w:pPr>
        <w:pStyle w:val="DefaultText"/>
        <w:rPr>
          <w:rFonts w:ascii="Arial" w:hAnsi="Arial" w:cs="Arial"/>
          <w:b/>
          <w:sz w:val="22"/>
          <w:szCs w:val="22"/>
        </w:rPr>
      </w:pPr>
    </w:p>
    <w:tbl>
      <w:tblPr>
        <w:tblW w:w="9270" w:type="dxa"/>
        <w:tblInd w:w="378" w:type="dxa"/>
        <w:tblLook w:val="01E0" w:firstRow="1" w:lastRow="1" w:firstColumn="1" w:lastColumn="1" w:noHBand="0" w:noVBand="0"/>
      </w:tblPr>
      <w:tblGrid>
        <w:gridCol w:w="810"/>
        <w:gridCol w:w="3960"/>
        <w:gridCol w:w="810"/>
        <w:gridCol w:w="3690"/>
      </w:tblGrid>
      <w:tr w:rsidR="000D4D3D" w:rsidRPr="00E2563C" w:rsidTr="00990322">
        <w:tc>
          <w:tcPr>
            <w:tcW w:w="477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Request:</w:t>
            </w:r>
          </w:p>
        </w:tc>
        <w:tc>
          <w:tcPr>
            <w:tcW w:w="4500" w:type="dxa"/>
            <w:gridSpan w:val="2"/>
          </w:tcPr>
          <w:p w:rsidR="000D4D3D" w:rsidRPr="00A97A2A" w:rsidRDefault="000D4D3D" w:rsidP="00990322">
            <w:pPr>
              <w:pStyle w:val="DefaultText"/>
              <w:spacing w:before="20" w:after="20"/>
              <w:rPr>
                <w:rFonts w:ascii="Arial" w:hAnsi="Arial" w:cs="Arial"/>
                <w:b/>
                <w:sz w:val="20"/>
              </w:rPr>
            </w:pPr>
            <w:r w:rsidRPr="00A97A2A">
              <w:rPr>
                <w:rFonts w:ascii="Arial" w:hAnsi="Arial" w:cs="Arial"/>
                <w:b/>
                <w:sz w:val="20"/>
              </w:rPr>
              <w:t>Per Recommendation:</w:t>
            </w:r>
          </w:p>
        </w:tc>
      </w:tr>
      <w:tr w:rsidR="000D4D3D" w:rsidRPr="00E2563C" w:rsidTr="00990322">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c>
          <w:tcPr>
            <w:tcW w:w="810" w:type="dxa"/>
            <w:tcBorders>
              <w:bottom w:val="single" w:sz="4" w:space="0" w:color="auto"/>
            </w:tcBorders>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Initiation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c>
          <w:tcPr>
            <w:tcW w:w="810" w:type="dxa"/>
            <w:tcBorders>
              <w:top w:val="single" w:sz="4" w:space="0" w:color="auto"/>
              <w:bottom w:val="single" w:sz="4" w:space="0" w:color="auto"/>
            </w:tcBorders>
            <w:vAlign w:val="center"/>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Modification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c>
          <w:tcPr>
            <w:tcW w:w="810" w:type="dxa"/>
            <w:tcBorders>
              <w:top w:val="single" w:sz="4" w:space="0" w:color="auto"/>
              <w:bottom w:val="single" w:sz="4" w:space="0" w:color="auto"/>
            </w:tcBorders>
            <w:vAlign w:val="center"/>
          </w:tcPr>
          <w:p w:rsidR="000D4D3D" w:rsidRPr="00E2563C" w:rsidRDefault="000D4D3D" w:rsidP="00B73414">
            <w:pPr>
              <w:pStyle w:val="DefaultText"/>
              <w:spacing w:beforeLines="20" w:before="48" w:afterLines="20" w:after="48"/>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Pr>
                <w:rFonts w:ascii="Arial" w:hAnsi="Arial" w:cs="Arial"/>
                <w:sz w:val="20"/>
              </w:rPr>
              <w:t>Correction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Interpretation</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Withdrawal</w:t>
            </w:r>
          </w:p>
        </w:tc>
      </w:tr>
      <w:tr w:rsidR="000D4D3D" w:rsidRPr="00E2563C" w:rsidTr="00170083">
        <w:tc>
          <w:tcPr>
            <w:tcW w:w="810" w:type="dxa"/>
            <w:tcBorders>
              <w:top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DD3658">
            <w:pPr>
              <w:pStyle w:val="DefaultText"/>
              <w:spacing w:before="20" w:after="20"/>
              <w:jc w:val="right"/>
              <w:rPr>
                <w:rFonts w:ascii="Arial" w:hAnsi="Arial" w:cs="Arial"/>
                <w:sz w:val="20"/>
              </w:rPr>
            </w:pPr>
          </w:p>
        </w:tc>
        <w:tc>
          <w:tcPr>
            <w:tcW w:w="810" w:type="dxa"/>
            <w:tcBorders>
              <w:top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p>
        </w:tc>
      </w:tr>
      <w:tr w:rsidR="000D4D3D" w:rsidRPr="00E2563C" w:rsidTr="00170083">
        <w:tc>
          <w:tcPr>
            <w:tcW w:w="810" w:type="dxa"/>
            <w:tcBorders>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c>
          <w:tcPr>
            <w:tcW w:w="810" w:type="dxa"/>
            <w:tcBorders>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Principle (x.1.z)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Definition (x.2.z)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c>
          <w:tcPr>
            <w:tcW w:w="810" w:type="dxa"/>
            <w:tcBorders>
              <w:top w:val="single" w:sz="4" w:space="0" w:color="auto"/>
              <w:bottom w:val="single" w:sz="4" w:space="0" w:color="auto"/>
            </w:tcBorders>
            <w:vAlign w:val="center"/>
          </w:tcPr>
          <w:p w:rsidR="000D4D3D" w:rsidRPr="00A97A2A" w:rsidRDefault="007612E0" w:rsidP="00990322">
            <w:pPr>
              <w:pStyle w:val="DefaultText"/>
              <w:spacing w:before="20" w:after="20"/>
              <w:jc w:val="center"/>
              <w:rPr>
                <w:rFonts w:ascii="Arial" w:hAnsi="Arial" w:cs="Arial"/>
                <w:sz w:val="20"/>
              </w:rPr>
            </w:pPr>
            <w:r>
              <w:rPr>
                <w:rFonts w:ascii="Arial" w:hAnsi="Arial" w:cs="Arial"/>
                <w:sz w:val="20"/>
              </w:rPr>
              <w:t>X</w:t>
            </w: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Practice Standard (x.3.z)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Document </w:t>
            </w:r>
            <w:r w:rsidRPr="00A97A2A">
              <w:rPr>
                <w:rFonts w:ascii="Arial" w:hAnsi="Arial" w:cs="Arial"/>
                <w:sz w:val="20"/>
                <w:lang w:val="pt-BR"/>
              </w:rPr>
              <w:t>(x.4.z)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 xml:space="preserve">Data Element </w:t>
            </w:r>
            <w:r w:rsidRPr="00A97A2A">
              <w:rPr>
                <w:rFonts w:ascii="Arial" w:hAnsi="Arial" w:cs="Arial"/>
                <w:sz w:val="20"/>
                <w:lang w:val="pt-BR"/>
              </w:rPr>
              <w:t>(x.4.z)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Code Value (x.4.z)</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X12 Implementation Guide</w:t>
            </w:r>
          </w:p>
        </w:tc>
      </w:tr>
      <w:tr w:rsidR="000D4D3D" w:rsidRPr="00E2563C" w:rsidTr="00170083">
        <w:tc>
          <w:tcPr>
            <w:tcW w:w="810" w:type="dxa"/>
            <w:tcBorders>
              <w:top w:val="single" w:sz="4" w:space="0" w:color="auto"/>
              <w:bottom w:val="single" w:sz="4" w:space="0" w:color="auto"/>
            </w:tcBorders>
          </w:tcPr>
          <w:p w:rsidR="000D4D3D" w:rsidRPr="00E2563C" w:rsidRDefault="000D4D3D" w:rsidP="00B73414">
            <w:pPr>
              <w:pStyle w:val="DefaultText"/>
              <w:spacing w:beforeLines="20" w:before="48" w:afterLines="20" w:after="48"/>
              <w:jc w:val="center"/>
              <w:rPr>
                <w:rFonts w:ascii="Arial" w:hAnsi="Arial" w:cs="Arial"/>
                <w:sz w:val="20"/>
              </w:rPr>
            </w:pPr>
          </w:p>
        </w:tc>
        <w:tc>
          <w:tcPr>
            <w:tcW w:w="396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c>
          <w:tcPr>
            <w:tcW w:w="810" w:type="dxa"/>
            <w:tcBorders>
              <w:top w:val="single" w:sz="4" w:space="0" w:color="auto"/>
              <w:bottom w:val="single" w:sz="4" w:space="0" w:color="auto"/>
            </w:tcBorders>
            <w:vAlign w:val="center"/>
          </w:tcPr>
          <w:p w:rsidR="000D4D3D" w:rsidRPr="00A97A2A" w:rsidRDefault="000D4D3D" w:rsidP="00990322">
            <w:pPr>
              <w:pStyle w:val="DefaultText"/>
              <w:spacing w:before="20" w:after="20"/>
              <w:jc w:val="center"/>
              <w:rPr>
                <w:rFonts w:ascii="Arial" w:hAnsi="Arial" w:cs="Arial"/>
                <w:sz w:val="20"/>
              </w:rPr>
            </w:pPr>
          </w:p>
        </w:tc>
        <w:tc>
          <w:tcPr>
            <w:tcW w:w="3690" w:type="dxa"/>
          </w:tcPr>
          <w:p w:rsidR="000D4D3D" w:rsidRPr="00A97A2A" w:rsidRDefault="000D4D3D" w:rsidP="00990322">
            <w:pPr>
              <w:pStyle w:val="DefaultText"/>
              <w:spacing w:before="20" w:after="20"/>
              <w:rPr>
                <w:rFonts w:ascii="Arial" w:hAnsi="Arial" w:cs="Arial"/>
                <w:sz w:val="20"/>
              </w:rPr>
            </w:pPr>
            <w:r w:rsidRPr="00A97A2A">
              <w:rPr>
                <w:rFonts w:ascii="Arial" w:hAnsi="Arial" w:cs="Arial"/>
                <w:sz w:val="20"/>
              </w:rPr>
              <w:t>Business Process Documentation</w:t>
            </w:r>
          </w:p>
        </w:tc>
      </w:tr>
    </w:tbl>
    <w:p w:rsidR="000D4D3D"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sz w:val="20"/>
        </w:rPr>
      </w:pPr>
    </w:p>
    <w:p w:rsidR="000D4D3D" w:rsidRPr="00E2563C" w:rsidRDefault="000D4D3D" w:rsidP="000D4D3D">
      <w:pPr>
        <w:pStyle w:val="DefaultText"/>
        <w:rPr>
          <w:rFonts w:ascii="Arial" w:hAnsi="Arial" w:cs="Arial"/>
          <w:b/>
          <w:sz w:val="22"/>
        </w:rPr>
      </w:pPr>
      <w:r w:rsidRPr="00E2563C">
        <w:rPr>
          <w:rFonts w:ascii="Arial" w:hAnsi="Arial" w:cs="Arial"/>
          <w:b/>
          <w:sz w:val="22"/>
        </w:rPr>
        <w:t>3.  RECOMMENDATION</w:t>
      </w:r>
    </w:p>
    <w:p w:rsidR="000D4D3D" w:rsidRDefault="000D4D3D" w:rsidP="000D4D3D">
      <w:pPr>
        <w:pStyle w:val="DefaultText"/>
        <w:rPr>
          <w:rFonts w:ascii="Arial" w:hAnsi="Arial" w:cs="Arial"/>
          <w:sz w:val="20"/>
        </w:rPr>
      </w:pPr>
    </w:p>
    <w:p w:rsidR="006D3832" w:rsidRDefault="000D4D3D" w:rsidP="009303C3">
      <w:pPr>
        <w:pStyle w:val="DefaultText"/>
        <w:rPr>
          <w:rFonts w:ascii="Arial" w:hAnsi="Arial" w:cs="Arial"/>
          <w:sz w:val="20"/>
        </w:rPr>
      </w:pPr>
      <w:r w:rsidRPr="00E83824">
        <w:rPr>
          <w:rFonts w:ascii="Arial" w:hAnsi="Arial" w:cs="Arial"/>
          <w:b/>
          <w:sz w:val="22"/>
        </w:rPr>
        <w:t>SUMMARY:</w:t>
      </w:r>
      <w:r w:rsidRPr="00E2563C">
        <w:rPr>
          <w:rFonts w:ascii="Arial" w:hAnsi="Arial" w:cs="Arial"/>
          <w:sz w:val="20"/>
        </w:rPr>
        <w:tab/>
      </w:r>
    </w:p>
    <w:p w:rsidR="009303C3" w:rsidRPr="009303C3" w:rsidRDefault="009303C3" w:rsidP="009303C3">
      <w:pPr>
        <w:pStyle w:val="DefaultText"/>
        <w:rPr>
          <w:rFonts w:ascii="Arial" w:hAnsi="Arial" w:cs="Arial"/>
          <w:sz w:val="20"/>
        </w:rPr>
      </w:pPr>
    </w:p>
    <w:p w:rsidR="00170083" w:rsidRDefault="00170083" w:rsidP="00170083">
      <w:pPr>
        <w:pStyle w:val="DefaultText"/>
        <w:rPr>
          <w:rFonts w:ascii="Arial" w:hAnsi="Arial" w:cs="Arial"/>
        </w:rPr>
      </w:pPr>
      <w:r>
        <w:rPr>
          <w:rFonts w:ascii="Arial" w:hAnsi="Arial" w:cs="Arial"/>
          <w:sz w:val="20"/>
        </w:rPr>
        <w:t>Add NAESB WGQ Standard 1.3.[z</w:t>
      </w:r>
      <w:r w:rsidR="00985C13">
        <w:rPr>
          <w:rFonts w:ascii="Arial" w:hAnsi="Arial" w:cs="Arial"/>
          <w:sz w:val="20"/>
        </w:rPr>
        <w:t>3</w:t>
      </w:r>
      <w:r>
        <w:rPr>
          <w:rFonts w:ascii="Arial" w:hAnsi="Arial" w:cs="Arial"/>
          <w:sz w:val="20"/>
        </w:rPr>
        <w:t>].</w:t>
      </w:r>
      <w:r w:rsidRPr="00BA0BBA">
        <w:rPr>
          <w:rFonts w:ascii="Arial" w:hAnsi="Arial" w:cs="Arial"/>
        </w:rPr>
        <w:tab/>
      </w:r>
      <w:r w:rsidRPr="00BA0BBA">
        <w:rPr>
          <w:rFonts w:ascii="Arial" w:hAnsi="Arial" w:cs="Arial"/>
        </w:rPr>
        <w:tab/>
      </w:r>
      <w:r w:rsidRPr="00BA0BBA">
        <w:rPr>
          <w:rFonts w:ascii="Arial" w:hAnsi="Arial" w:cs="Arial"/>
        </w:rPr>
        <w:tab/>
      </w:r>
    </w:p>
    <w:p w:rsidR="00170083" w:rsidRDefault="00170083" w:rsidP="00492E27">
      <w:pPr>
        <w:pStyle w:val="DefaultText"/>
        <w:rPr>
          <w:rFonts w:ascii="Arial" w:hAnsi="Arial" w:cs="Arial"/>
          <w:b/>
          <w:sz w:val="22"/>
        </w:rPr>
      </w:pPr>
    </w:p>
    <w:p w:rsidR="00170083" w:rsidRDefault="00170083">
      <w:pPr>
        <w:rPr>
          <w:rFonts w:ascii="Arial" w:hAnsi="Arial" w:cs="Arial"/>
          <w:b/>
          <w:noProof/>
          <w:sz w:val="22"/>
        </w:rPr>
      </w:pPr>
      <w:r>
        <w:rPr>
          <w:rFonts w:ascii="Arial" w:hAnsi="Arial" w:cs="Arial"/>
          <w:b/>
          <w:sz w:val="22"/>
        </w:rPr>
        <w:br w:type="page"/>
      </w:r>
    </w:p>
    <w:p w:rsidR="007612E0" w:rsidRDefault="007612E0" w:rsidP="00492E27">
      <w:pPr>
        <w:pStyle w:val="DefaultText"/>
        <w:rPr>
          <w:rFonts w:ascii="Arial" w:hAnsi="Arial" w:cs="Arial"/>
          <w:sz w:val="22"/>
        </w:rPr>
      </w:pPr>
      <w:r>
        <w:rPr>
          <w:rFonts w:ascii="Arial" w:hAnsi="Arial" w:cs="Arial"/>
          <w:b/>
          <w:sz w:val="22"/>
        </w:rPr>
        <w:lastRenderedPageBreak/>
        <w:t>STANDARDS LANGUAGE</w:t>
      </w:r>
    </w:p>
    <w:p w:rsidR="007612E0" w:rsidRDefault="007612E0" w:rsidP="007612E0">
      <w:pPr>
        <w:pStyle w:val="PlainText"/>
        <w:jc w:val="both"/>
        <w:rPr>
          <w:rFonts w:cs="Times New Roman"/>
          <w:b/>
          <w:szCs w:val="20"/>
        </w:rPr>
      </w:pPr>
    </w:p>
    <w:p w:rsidR="007612E0" w:rsidRPr="007612E0" w:rsidRDefault="007612E0" w:rsidP="007612E0">
      <w:pPr>
        <w:pStyle w:val="PlainText"/>
        <w:jc w:val="both"/>
        <w:rPr>
          <w:rFonts w:ascii="Arial" w:hAnsi="Arial" w:cs="Arial"/>
          <w:b/>
          <w:szCs w:val="20"/>
        </w:rPr>
      </w:pPr>
      <w:r w:rsidRPr="007612E0">
        <w:rPr>
          <w:rFonts w:ascii="Arial" w:hAnsi="Arial" w:cs="Arial"/>
          <w:b/>
          <w:szCs w:val="20"/>
        </w:rPr>
        <w:t>Proposed NAESB WGQ Standard No. 1.3.z3</w:t>
      </w:r>
    </w:p>
    <w:p w:rsidR="007612E0" w:rsidRPr="007612E0" w:rsidRDefault="007612E0" w:rsidP="007612E0">
      <w:pPr>
        <w:pStyle w:val="PlainText"/>
        <w:jc w:val="both"/>
        <w:rPr>
          <w:rFonts w:ascii="Arial" w:hAnsi="Arial" w:cs="Arial"/>
          <w:szCs w:val="20"/>
        </w:rPr>
      </w:pPr>
      <w:r w:rsidRPr="007612E0">
        <w:rPr>
          <w:rFonts w:ascii="Arial" w:hAnsi="Arial" w:cs="Arial"/>
          <w:szCs w:val="20"/>
        </w:rPr>
        <w:t>A Transportation Service Provider (TSP) should support, if requested by a Point Operator at a receipt location, the ability for the Point Operator’s upstream party(</w:t>
      </w:r>
      <w:proofErr w:type="spellStart"/>
      <w:r w:rsidRPr="007612E0">
        <w:rPr>
          <w:rFonts w:ascii="Arial" w:hAnsi="Arial" w:cs="Arial"/>
          <w:szCs w:val="20"/>
        </w:rPr>
        <w:t>ies</w:t>
      </w:r>
      <w:proofErr w:type="spellEnd"/>
      <w:r w:rsidRPr="007612E0">
        <w:rPr>
          <w:rFonts w:ascii="Arial" w:hAnsi="Arial" w:cs="Arial"/>
          <w:szCs w:val="20"/>
        </w:rPr>
        <w:t>) to nominate on the TSP or</w:t>
      </w:r>
    </w:p>
    <w:p w:rsidR="007612E0" w:rsidRPr="007612E0" w:rsidRDefault="007612E0" w:rsidP="007612E0">
      <w:pPr>
        <w:pStyle w:val="PlainText"/>
        <w:jc w:val="both"/>
        <w:rPr>
          <w:rFonts w:ascii="Arial" w:hAnsi="Arial" w:cs="Arial"/>
          <w:szCs w:val="20"/>
        </w:rPr>
      </w:pPr>
    </w:p>
    <w:p w:rsidR="007612E0" w:rsidRDefault="007612E0" w:rsidP="00985C13">
      <w:pPr>
        <w:pStyle w:val="PlainText"/>
        <w:numPr>
          <w:ilvl w:val="0"/>
          <w:numId w:val="32"/>
        </w:numPr>
        <w:jc w:val="both"/>
        <w:rPr>
          <w:rFonts w:ascii="Arial" w:hAnsi="Arial" w:cs="Arial"/>
          <w:szCs w:val="20"/>
        </w:rPr>
      </w:pPr>
      <w:r w:rsidRPr="007612E0">
        <w:rPr>
          <w:rFonts w:ascii="Arial" w:hAnsi="Arial" w:cs="Arial"/>
          <w:szCs w:val="20"/>
        </w:rPr>
        <w:t>the ability for the Point Operator to confirm each of its upstream parties and each of the upstream party’s aggregate quantity at the location, and</w:t>
      </w:r>
    </w:p>
    <w:p w:rsidR="00985C13" w:rsidRPr="007612E0" w:rsidRDefault="00985C13" w:rsidP="00985C13">
      <w:pPr>
        <w:pStyle w:val="PlainText"/>
        <w:ind w:left="360"/>
        <w:jc w:val="both"/>
        <w:rPr>
          <w:rFonts w:ascii="Arial" w:hAnsi="Arial" w:cs="Arial"/>
          <w:szCs w:val="20"/>
        </w:rPr>
      </w:pPr>
    </w:p>
    <w:p w:rsidR="007612E0" w:rsidRPr="007612E0" w:rsidRDefault="007612E0" w:rsidP="007612E0">
      <w:pPr>
        <w:pStyle w:val="PlainText"/>
        <w:ind w:left="900" w:hanging="540"/>
        <w:jc w:val="both"/>
        <w:rPr>
          <w:rFonts w:ascii="Arial" w:hAnsi="Arial" w:cs="Arial"/>
          <w:szCs w:val="20"/>
        </w:rPr>
      </w:pPr>
      <w:r w:rsidRPr="007612E0">
        <w:rPr>
          <w:rFonts w:ascii="Arial" w:hAnsi="Arial" w:cs="Arial"/>
          <w:szCs w:val="20"/>
        </w:rPr>
        <w:t xml:space="preserve">(b) </w:t>
      </w:r>
      <w:r w:rsidRPr="007612E0">
        <w:rPr>
          <w:rFonts w:ascii="Arial" w:hAnsi="Arial" w:cs="Arial"/>
          <w:szCs w:val="20"/>
        </w:rPr>
        <w:tab/>
        <w:t>the ability for each of the Point Operator’s upstream parties to confirm its Service Requester(s) on the TSP and the associated Service Requester quantity(</w:t>
      </w:r>
      <w:proofErr w:type="spellStart"/>
      <w:r w:rsidRPr="007612E0">
        <w:rPr>
          <w:rFonts w:ascii="Arial" w:hAnsi="Arial" w:cs="Arial"/>
          <w:szCs w:val="20"/>
        </w:rPr>
        <w:t>ies</w:t>
      </w:r>
      <w:proofErr w:type="spellEnd"/>
      <w:r w:rsidRPr="007612E0">
        <w:rPr>
          <w:rFonts w:ascii="Arial" w:hAnsi="Arial" w:cs="Arial"/>
          <w:szCs w:val="20"/>
        </w:rPr>
        <w:t>) and any additional information at the confirmation level supported by the TSP.</w:t>
      </w:r>
    </w:p>
    <w:p w:rsidR="007612E0" w:rsidRPr="007612E0" w:rsidRDefault="007612E0" w:rsidP="007612E0">
      <w:pPr>
        <w:pStyle w:val="PlainText"/>
        <w:jc w:val="both"/>
        <w:rPr>
          <w:rFonts w:ascii="Arial" w:hAnsi="Arial" w:cs="Arial"/>
          <w:szCs w:val="20"/>
        </w:rPr>
      </w:pPr>
    </w:p>
    <w:p w:rsidR="007612E0" w:rsidRPr="007612E0" w:rsidRDefault="007612E0" w:rsidP="007612E0">
      <w:pPr>
        <w:pStyle w:val="PlainText"/>
        <w:jc w:val="both"/>
        <w:rPr>
          <w:rFonts w:ascii="Arial" w:hAnsi="Arial" w:cs="Arial"/>
          <w:szCs w:val="20"/>
        </w:rPr>
      </w:pPr>
      <w:r w:rsidRPr="007612E0">
        <w:rPr>
          <w:rFonts w:ascii="Arial" w:hAnsi="Arial" w:cs="Arial"/>
          <w:szCs w:val="20"/>
        </w:rPr>
        <w:t xml:space="preserve">For the purposes of parts (a) and (b) of this standard, the TSP can require, and the Point Operator at the receipt location should supply and maintain, the identities of the Point Operator’s upstream </w:t>
      </w:r>
      <w:proofErr w:type="gramStart"/>
      <w:r w:rsidRPr="007612E0">
        <w:rPr>
          <w:rFonts w:ascii="Arial" w:hAnsi="Arial" w:cs="Arial"/>
          <w:szCs w:val="20"/>
        </w:rPr>
        <w:t>party(</w:t>
      </w:r>
      <w:proofErr w:type="spellStart"/>
      <w:proofErr w:type="gramEnd"/>
      <w:r w:rsidRPr="007612E0">
        <w:rPr>
          <w:rFonts w:ascii="Arial" w:hAnsi="Arial" w:cs="Arial"/>
          <w:szCs w:val="20"/>
        </w:rPr>
        <w:t>ies</w:t>
      </w:r>
      <w:proofErr w:type="spellEnd"/>
      <w:r w:rsidRPr="007612E0">
        <w:rPr>
          <w:rFonts w:ascii="Arial" w:hAnsi="Arial" w:cs="Arial"/>
          <w:szCs w:val="20"/>
        </w:rPr>
        <w:t xml:space="preserve">). </w:t>
      </w:r>
    </w:p>
    <w:p w:rsidR="007612E0" w:rsidRPr="007612E0" w:rsidRDefault="007612E0" w:rsidP="00492E27">
      <w:pPr>
        <w:pStyle w:val="DefaultText"/>
        <w:rPr>
          <w:rFonts w:ascii="Arial" w:hAnsi="Arial" w:cs="Arial"/>
          <w:sz w:val="22"/>
        </w:rPr>
      </w:pPr>
    </w:p>
    <w:p w:rsidR="007612E0" w:rsidRDefault="007612E0" w:rsidP="00492E27">
      <w:pPr>
        <w:pStyle w:val="DefaultText"/>
        <w:rPr>
          <w:rFonts w:ascii="Arial" w:hAnsi="Arial" w:cs="Arial"/>
          <w:b/>
          <w:sz w:val="22"/>
        </w:rPr>
      </w:pPr>
    </w:p>
    <w:p w:rsidR="000D4D3D" w:rsidRPr="00E2563C" w:rsidRDefault="000D4D3D" w:rsidP="00492E27">
      <w:pPr>
        <w:pStyle w:val="DefaultText"/>
        <w:rPr>
          <w:rFonts w:ascii="Arial" w:hAnsi="Arial" w:cs="Arial"/>
          <w:sz w:val="20"/>
        </w:rPr>
      </w:pPr>
      <w:r w:rsidRPr="00E2563C">
        <w:rPr>
          <w:rFonts w:ascii="Arial" w:hAnsi="Arial" w:cs="Arial"/>
          <w:b/>
          <w:sz w:val="22"/>
        </w:rPr>
        <w:t>4.  SUPPORTING DOCUMENTATION</w:t>
      </w:r>
    </w:p>
    <w:p w:rsidR="000D4D3D" w:rsidRPr="00E2563C" w:rsidRDefault="000D4D3D" w:rsidP="00492E27">
      <w:pPr>
        <w:pStyle w:val="DefaultText"/>
        <w:rPr>
          <w:rFonts w:ascii="Arial" w:hAnsi="Arial" w:cs="Arial"/>
          <w:sz w:val="20"/>
        </w:rPr>
      </w:pPr>
    </w:p>
    <w:p w:rsidR="000D4D3D" w:rsidRPr="000E7603" w:rsidRDefault="000D4D3D" w:rsidP="00492E27">
      <w:pPr>
        <w:numPr>
          <w:ilvl w:val="0"/>
          <w:numId w:val="28"/>
        </w:numPr>
        <w:ind w:left="720"/>
        <w:rPr>
          <w:rFonts w:ascii="Arial" w:hAnsi="Arial" w:cs="Arial"/>
          <w:b/>
        </w:rPr>
      </w:pPr>
      <w:r w:rsidRPr="000E7603">
        <w:rPr>
          <w:rFonts w:ascii="Arial" w:hAnsi="Arial" w:cs="Arial"/>
          <w:b/>
        </w:rPr>
        <w:t>Description of Request:</w:t>
      </w:r>
    </w:p>
    <w:p w:rsidR="009303C3" w:rsidRDefault="009303C3" w:rsidP="009303C3">
      <w:pPr>
        <w:ind w:left="720"/>
        <w:rPr>
          <w:rFonts w:ascii="Arial" w:hAnsi="Arial" w:cs="Arial"/>
        </w:rPr>
      </w:pPr>
    </w:p>
    <w:p w:rsidR="00170083" w:rsidRPr="00170083" w:rsidRDefault="00170083" w:rsidP="00170083">
      <w:pPr>
        <w:ind w:left="720"/>
        <w:rPr>
          <w:rFonts w:ascii="Arial" w:hAnsi="Arial" w:cs="Arial"/>
        </w:rPr>
      </w:pPr>
      <w:r w:rsidRPr="00170083">
        <w:rPr>
          <w:rFonts w:ascii="Arial" w:hAnsi="Arial" w:cs="Arial"/>
        </w:rPr>
        <w:t>GEH Forum Issue 36</w:t>
      </w:r>
      <w:r w:rsidRPr="00170083">
        <w:rPr>
          <w:rStyle w:val="FootnoteReference"/>
          <w:rFonts w:ascii="Arial" w:hAnsi="Arial" w:cs="Arial"/>
          <w:vertAlign w:val="superscript"/>
        </w:rPr>
        <w:footnoteReference w:id="1"/>
      </w:r>
    </w:p>
    <w:p w:rsidR="00DC75B0" w:rsidRPr="00170083" w:rsidRDefault="00170083" w:rsidP="00170083">
      <w:pPr>
        <w:ind w:left="720"/>
        <w:rPr>
          <w:rFonts w:ascii="Arial" w:hAnsi="Arial" w:cs="Arial"/>
          <w:b/>
        </w:rPr>
      </w:pPr>
      <w:r w:rsidRPr="00170083">
        <w:rPr>
          <w:rFonts w:ascii="Arial" w:hAnsi="Arial" w:cs="Arial"/>
        </w:rPr>
        <w:t>Level of confirmations: there is a wide range of data elements that are exchanged, from a minimum amount to a very large set of data.  In the "Art of Scheduling," pipelines confirm at different levels, with potential for disparities.  Greater standardization could produce confirming efficiencies. (For example, confirm at the shipper-to-shipper level.  Or, if there are confirmations at a lower level of detail, it would be driven by model type.) See issue 17</w:t>
      </w:r>
      <w:r w:rsidRPr="00170083">
        <w:rPr>
          <w:rStyle w:val="FootnoteReference"/>
          <w:rFonts w:ascii="Arial" w:hAnsi="Arial" w:cs="Arial"/>
        </w:rPr>
        <w:footnoteReference w:id="2"/>
      </w:r>
      <w:r w:rsidRPr="00170083">
        <w:rPr>
          <w:rFonts w:ascii="Arial" w:hAnsi="Arial" w:cs="Arial"/>
        </w:rPr>
        <w:t xml:space="preserve"> in the first presentation.”</w:t>
      </w:r>
    </w:p>
    <w:p w:rsidR="009303C3" w:rsidRDefault="009303C3" w:rsidP="00170083">
      <w:pPr>
        <w:ind w:left="720" w:hanging="360"/>
        <w:rPr>
          <w:rFonts w:ascii="Arial" w:hAnsi="Arial" w:cs="Arial"/>
          <w:b/>
        </w:rPr>
      </w:pPr>
    </w:p>
    <w:p w:rsidR="00985C13" w:rsidRPr="00170083" w:rsidRDefault="00985C13" w:rsidP="00170083">
      <w:pPr>
        <w:ind w:left="720" w:hanging="360"/>
        <w:rPr>
          <w:rFonts w:ascii="Arial" w:hAnsi="Arial" w:cs="Arial"/>
          <w:b/>
        </w:rPr>
      </w:pPr>
    </w:p>
    <w:p w:rsidR="000D4D3D" w:rsidRPr="00E2563C" w:rsidRDefault="000D4D3D" w:rsidP="00492E27">
      <w:pPr>
        <w:numPr>
          <w:ilvl w:val="0"/>
          <w:numId w:val="28"/>
        </w:numPr>
        <w:ind w:left="720"/>
        <w:rPr>
          <w:rFonts w:ascii="Arial" w:hAnsi="Arial" w:cs="Arial"/>
          <w:b/>
        </w:rPr>
      </w:pPr>
      <w:r w:rsidRPr="00E2563C">
        <w:rPr>
          <w:rFonts w:ascii="Arial" w:hAnsi="Arial" w:cs="Arial"/>
          <w:b/>
        </w:rPr>
        <w:t>Description of Recommendation:</w:t>
      </w:r>
    </w:p>
    <w:p w:rsidR="009303C3" w:rsidRDefault="009303C3" w:rsidP="00492E27">
      <w:pPr>
        <w:pStyle w:val="DefaultText"/>
        <w:ind w:left="720"/>
        <w:rPr>
          <w:rFonts w:ascii="Arial" w:hAnsi="Arial" w:cs="Arial"/>
          <w:b/>
          <w:sz w:val="20"/>
        </w:rPr>
      </w:pPr>
    </w:p>
    <w:p w:rsidR="000D4D3D" w:rsidRPr="00A77EE9" w:rsidRDefault="002017C3" w:rsidP="00492E27">
      <w:pPr>
        <w:pStyle w:val="DefaultText"/>
        <w:ind w:left="720"/>
        <w:rPr>
          <w:rFonts w:ascii="Arial" w:hAnsi="Arial" w:cs="Arial"/>
          <w:b/>
          <w:sz w:val="20"/>
        </w:rPr>
      </w:pPr>
      <w:r w:rsidRPr="00A77EE9">
        <w:rPr>
          <w:rFonts w:ascii="Arial" w:hAnsi="Arial" w:cs="Arial"/>
          <w:b/>
          <w:sz w:val="20"/>
        </w:rPr>
        <w:t>Business Practices Subcommittee</w:t>
      </w:r>
    </w:p>
    <w:p w:rsidR="002017C3" w:rsidRPr="00A77EE9" w:rsidRDefault="002017C3" w:rsidP="00492E27">
      <w:pPr>
        <w:pStyle w:val="DefaultText"/>
        <w:ind w:left="720"/>
        <w:rPr>
          <w:rFonts w:ascii="Arial" w:hAnsi="Arial" w:cs="Arial"/>
          <w:sz w:val="20"/>
        </w:rPr>
      </w:pPr>
      <w:r w:rsidRPr="00A77EE9">
        <w:rPr>
          <w:rFonts w:ascii="Arial" w:hAnsi="Arial" w:cs="Arial"/>
          <w:sz w:val="20"/>
        </w:rPr>
        <w:t xml:space="preserve">See </w:t>
      </w:r>
      <w:r w:rsidR="00A77EE9">
        <w:rPr>
          <w:rFonts w:ascii="Arial" w:hAnsi="Arial" w:cs="Arial"/>
          <w:sz w:val="20"/>
        </w:rPr>
        <w:t xml:space="preserve">the </w:t>
      </w:r>
      <w:r w:rsidR="007553AE">
        <w:rPr>
          <w:rFonts w:ascii="Arial" w:hAnsi="Arial" w:cs="Arial"/>
          <w:sz w:val="20"/>
        </w:rPr>
        <w:t xml:space="preserve">agenda and corresponding </w:t>
      </w:r>
      <w:r w:rsidR="00A77EE9">
        <w:rPr>
          <w:rFonts w:ascii="Arial" w:hAnsi="Arial" w:cs="Arial"/>
          <w:sz w:val="20"/>
        </w:rPr>
        <w:t xml:space="preserve">meeting </w:t>
      </w:r>
      <w:r w:rsidRPr="00A77EE9">
        <w:rPr>
          <w:rFonts w:ascii="Arial" w:hAnsi="Arial" w:cs="Arial"/>
          <w:sz w:val="20"/>
        </w:rPr>
        <w:t>minutes for the Business Practices Subcommittee</w:t>
      </w:r>
      <w:r w:rsidR="007553AE">
        <w:rPr>
          <w:rFonts w:ascii="Arial" w:hAnsi="Arial" w:cs="Arial"/>
          <w:sz w:val="20"/>
        </w:rPr>
        <w:t xml:space="preserve"> fo</w:t>
      </w:r>
      <w:r w:rsidR="009303C3">
        <w:rPr>
          <w:rFonts w:ascii="Arial" w:hAnsi="Arial" w:cs="Arial"/>
          <w:sz w:val="20"/>
        </w:rPr>
        <w:t xml:space="preserve">r GEH related </w:t>
      </w:r>
      <w:r w:rsidR="007553AE">
        <w:rPr>
          <w:rFonts w:ascii="Arial" w:hAnsi="Arial" w:cs="Arial"/>
          <w:sz w:val="20"/>
        </w:rPr>
        <w:t xml:space="preserve">annual plan items and their corresponding </w:t>
      </w:r>
      <w:r w:rsidR="009303C3">
        <w:rPr>
          <w:rFonts w:ascii="Arial" w:hAnsi="Arial" w:cs="Arial"/>
          <w:sz w:val="20"/>
        </w:rPr>
        <w:t>discussions</w:t>
      </w:r>
      <w:r w:rsidR="000041DC">
        <w:rPr>
          <w:rFonts w:ascii="Arial" w:hAnsi="Arial" w:cs="Arial"/>
          <w:sz w:val="20"/>
        </w:rPr>
        <w:t xml:space="preserve"> for the following dates</w:t>
      </w:r>
      <w:r w:rsidRPr="00A77EE9">
        <w:rPr>
          <w:rFonts w:ascii="Arial" w:hAnsi="Arial" w:cs="Arial"/>
          <w:sz w:val="20"/>
        </w:rPr>
        <w:t>:</w:t>
      </w:r>
    </w:p>
    <w:p w:rsidR="009303C3" w:rsidRDefault="007553AE" w:rsidP="00492E27">
      <w:pPr>
        <w:pStyle w:val="DefaultText"/>
        <w:numPr>
          <w:ilvl w:val="0"/>
          <w:numId w:val="13"/>
        </w:numPr>
        <w:tabs>
          <w:tab w:val="clear" w:pos="1800"/>
        </w:tabs>
        <w:rPr>
          <w:rFonts w:ascii="Arial" w:hAnsi="Arial" w:cs="Arial"/>
          <w:sz w:val="20"/>
        </w:rPr>
      </w:pPr>
      <w:r>
        <w:rPr>
          <w:rFonts w:ascii="Arial" w:hAnsi="Arial" w:cs="Arial"/>
          <w:sz w:val="20"/>
        </w:rPr>
        <w:t>07/12/2016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08/11/2016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08/25/2016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09/12-13/2016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09/29/2016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10/04/2016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10/18/2016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10/27-28/2016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lastRenderedPageBreak/>
        <w:t>11/02/2016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11/09-10/2016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11/16/2016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11/30-12/01/2016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12/08-09/2016</w:t>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12/14/2016</w:t>
      </w:r>
      <w:r w:rsidR="007612E0">
        <w:rPr>
          <w:rFonts w:ascii="Arial" w:hAnsi="Arial" w:cs="Arial"/>
          <w:sz w:val="20"/>
        </w:rPr>
        <w:tab/>
      </w:r>
      <w:r w:rsidR="007612E0">
        <w:rPr>
          <w:rFonts w:ascii="Arial" w:hAnsi="Arial" w:cs="Arial"/>
          <w:sz w:val="20"/>
        </w:rPr>
        <w:tab/>
      </w:r>
    </w:p>
    <w:p w:rsidR="007553AE" w:rsidRDefault="007553AE" w:rsidP="00492E27">
      <w:pPr>
        <w:pStyle w:val="DefaultText"/>
        <w:numPr>
          <w:ilvl w:val="0"/>
          <w:numId w:val="13"/>
        </w:numPr>
        <w:tabs>
          <w:tab w:val="clear" w:pos="1800"/>
        </w:tabs>
        <w:rPr>
          <w:rFonts w:ascii="Arial" w:hAnsi="Arial" w:cs="Arial"/>
          <w:sz w:val="20"/>
        </w:rPr>
      </w:pPr>
      <w:r>
        <w:rPr>
          <w:rFonts w:ascii="Arial" w:hAnsi="Arial" w:cs="Arial"/>
          <w:sz w:val="20"/>
        </w:rPr>
        <w:t>12/19-20/2016</w:t>
      </w:r>
    </w:p>
    <w:p w:rsidR="007553AE" w:rsidRDefault="00CC569B" w:rsidP="00492E27">
      <w:pPr>
        <w:pStyle w:val="DefaultText"/>
        <w:numPr>
          <w:ilvl w:val="0"/>
          <w:numId w:val="13"/>
        </w:numPr>
        <w:tabs>
          <w:tab w:val="clear" w:pos="1800"/>
        </w:tabs>
        <w:rPr>
          <w:rFonts w:ascii="Arial" w:hAnsi="Arial" w:cs="Arial"/>
          <w:sz w:val="20"/>
        </w:rPr>
      </w:pPr>
      <w:r>
        <w:rPr>
          <w:rFonts w:ascii="Arial" w:hAnsi="Arial" w:cs="Arial"/>
          <w:sz w:val="20"/>
        </w:rPr>
        <w:t>01/17/2017</w:t>
      </w:r>
    </w:p>
    <w:p w:rsidR="002017C3" w:rsidRPr="004D65F8" w:rsidRDefault="002017C3" w:rsidP="00492E27">
      <w:pPr>
        <w:pStyle w:val="DefaultText"/>
        <w:ind w:left="720"/>
        <w:rPr>
          <w:rFonts w:ascii="Arial" w:hAnsi="Arial" w:cs="Arial"/>
          <w:sz w:val="20"/>
          <w:highlight w:val="cyan"/>
        </w:rPr>
      </w:pPr>
    </w:p>
    <w:p w:rsidR="008F4A4B" w:rsidRPr="00020539" w:rsidRDefault="00356444" w:rsidP="00492E27">
      <w:pPr>
        <w:pStyle w:val="DefaultText"/>
        <w:ind w:left="1440" w:hanging="720"/>
        <w:rPr>
          <w:rFonts w:ascii="Arial" w:hAnsi="Arial" w:cs="Arial"/>
          <w:b/>
          <w:sz w:val="20"/>
        </w:rPr>
      </w:pPr>
      <w:r w:rsidRPr="00020539">
        <w:rPr>
          <w:rFonts w:ascii="Arial" w:hAnsi="Arial" w:cs="Arial"/>
          <w:b/>
          <w:sz w:val="20"/>
        </w:rPr>
        <w:t>Motion</w:t>
      </w:r>
      <w:r w:rsidR="00CC569B">
        <w:rPr>
          <w:rFonts w:ascii="Arial" w:hAnsi="Arial" w:cs="Arial"/>
          <w:b/>
          <w:sz w:val="20"/>
        </w:rPr>
        <w:t xml:space="preserve"> (01/17/2017</w:t>
      </w:r>
      <w:r w:rsidR="00505F60">
        <w:rPr>
          <w:rFonts w:ascii="Arial" w:hAnsi="Arial" w:cs="Arial"/>
          <w:b/>
          <w:sz w:val="20"/>
        </w:rPr>
        <w:t>)</w:t>
      </w:r>
      <w:r w:rsidRPr="00020539">
        <w:rPr>
          <w:rFonts w:ascii="Arial" w:hAnsi="Arial" w:cs="Arial"/>
          <w:b/>
          <w:sz w:val="20"/>
        </w:rPr>
        <w:t>:</w:t>
      </w:r>
      <w:r w:rsidRPr="00020539">
        <w:rPr>
          <w:rFonts w:ascii="Arial" w:hAnsi="Arial" w:cs="Arial"/>
          <w:b/>
          <w:sz w:val="20"/>
        </w:rPr>
        <w:tab/>
      </w:r>
    </w:p>
    <w:p w:rsidR="007612E0" w:rsidRPr="007612E0" w:rsidRDefault="007612E0" w:rsidP="007612E0">
      <w:pPr>
        <w:pStyle w:val="PlainText"/>
        <w:ind w:left="720"/>
        <w:jc w:val="both"/>
        <w:rPr>
          <w:rFonts w:ascii="Arial" w:hAnsi="Arial" w:cs="Arial"/>
          <w:b/>
          <w:szCs w:val="20"/>
        </w:rPr>
      </w:pPr>
      <w:r w:rsidRPr="007612E0">
        <w:rPr>
          <w:rFonts w:ascii="Arial" w:hAnsi="Arial" w:cs="Arial"/>
          <w:b/>
          <w:szCs w:val="20"/>
        </w:rPr>
        <w:t>Proposed NAESB WGQ Standard No. 1.3.z3</w:t>
      </w:r>
    </w:p>
    <w:p w:rsidR="007612E0" w:rsidRPr="007612E0" w:rsidRDefault="007612E0" w:rsidP="007612E0">
      <w:pPr>
        <w:pStyle w:val="PlainText"/>
        <w:ind w:left="720"/>
        <w:jc w:val="both"/>
        <w:rPr>
          <w:rFonts w:ascii="Arial" w:hAnsi="Arial" w:cs="Arial"/>
          <w:szCs w:val="20"/>
        </w:rPr>
      </w:pPr>
      <w:r w:rsidRPr="007612E0">
        <w:rPr>
          <w:rFonts w:ascii="Arial" w:hAnsi="Arial" w:cs="Arial"/>
          <w:szCs w:val="20"/>
        </w:rPr>
        <w:t>A Transportation Service Provider (TSP) should support, if requested by a Point Operator at a receipt location, the ability for the Point Operator’s upstream party(</w:t>
      </w:r>
      <w:proofErr w:type="spellStart"/>
      <w:r w:rsidRPr="007612E0">
        <w:rPr>
          <w:rFonts w:ascii="Arial" w:hAnsi="Arial" w:cs="Arial"/>
          <w:szCs w:val="20"/>
        </w:rPr>
        <w:t>ies</w:t>
      </w:r>
      <w:proofErr w:type="spellEnd"/>
      <w:r w:rsidRPr="007612E0">
        <w:rPr>
          <w:rFonts w:ascii="Arial" w:hAnsi="Arial" w:cs="Arial"/>
          <w:szCs w:val="20"/>
        </w:rPr>
        <w:t>) to nominate on the TSP or</w:t>
      </w:r>
    </w:p>
    <w:p w:rsidR="007612E0" w:rsidRPr="007612E0" w:rsidRDefault="007612E0" w:rsidP="007612E0">
      <w:pPr>
        <w:pStyle w:val="PlainText"/>
        <w:ind w:left="720"/>
        <w:jc w:val="both"/>
        <w:rPr>
          <w:rFonts w:ascii="Arial" w:hAnsi="Arial" w:cs="Arial"/>
          <w:szCs w:val="20"/>
        </w:rPr>
      </w:pPr>
    </w:p>
    <w:p w:rsidR="007612E0" w:rsidRDefault="007612E0" w:rsidP="007612E0">
      <w:pPr>
        <w:pStyle w:val="PlainText"/>
        <w:numPr>
          <w:ilvl w:val="0"/>
          <w:numId w:val="31"/>
        </w:numPr>
        <w:jc w:val="both"/>
        <w:rPr>
          <w:rFonts w:ascii="Arial" w:hAnsi="Arial" w:cs="Arial"/>
          <w:szCs w:val="20"/>
        </w:rPr>
      </w:pPr>
      <w:r w:rsidRPr="007612E0">
        <w:rPr>
          <w:rFonts w:ascii="Arial" w:hAnsi="Arial" w:cs="Arial"/>
          <w:szCs w:val="20"/>
        </w:rPr>
        <w:t>the ability for the Point Operator to confirm each of its upstream parties and each of the upstream party’s aggregate quantity at the location, and</w:t>
      </w:r>
    </w:p>
    <w:p w:rsidR="007612E0" w:rsidRPr="007612E0" w:rsidRDefault="007612E0" w:rsidP="007612E0">
      <w:pPr>
        <w:pStyle w:val="PlainText"/>
        <w:ind w:left="1440"/>
        <w:jc w:val="both"/>
        <w:rPr>
          <w:rFonts w:ascii="Arial" w:hAnsi="Arial" w:cs="Arial"/>
          <w:szCs w:val="20"/>
        </w:rPr>
      </w:pPr>
    </w:p>
    <w:p w:rsidR="007612E0" w:rsidRPr="007612E0" w:rsidRDefault="007612E0" w:rsidP="007612E0">
      <w:pPr>
        <w:pStyle w:val="PlainText"/>
        <w:ind w:left="1980" w:hanging="540"/>
        <w:jc w:val="both"/>
        <w:rPr>
          <w:rFonts w:ascii="Arial" w:hAnsi="Arial" w:cs="Arial"/>
          <w:szCs w:val="20"/>
        </w:rPr>
      </w:pPr>
      <w:r w:rsidRPr="007612E0">
        <w:rPr>
          <w:rFonts w:ascii="Arial" w:hAnsi="Arial" w:cs="Arial"/>
          <w:szCs w:val="20"/>
        </w:rPr>
        <w:t xml:space="preserve">(b) </w:t>
      </w:r>
      <w:r w:rsidRPr="007612E0">
        <w:rPr>
          <w:rFonts w:ascii="Arial" w:hAnsi="Arial" w:cs="Arial"/>
          <w:szCs w:val="20"/>
        </w:rPr>
        <w:tab/>
        <w:t>the ability for each of the Point Operator’s upstream parties to confirm its Service Requester(s) on the TSP and the associated Service Requester quantity(</w:t>
      </w:r>
      <w:proofErr w:type="spellStart"/>
      <w:r w:rsidRPr="007612E0">
        <w:rPr>
          <w:rFonts w:ascii="Arial" w:hAnsi="Arial" w:cs="Arial"/>
          <w:szCs w:val="20"/>
        </w:rPr>
        <w:t>ies</w:t>
      </w:r>
      <w:proofErr w:type="spellEnd"/>
      <w:r w:rsidRPr="007612E0">
        <w:rPr>
          <w:rFonts w:ascii="Arial" w:hAnsi="Arial" w:cs="Arial"/>
          <w:szCs w:val="20"/>
        </w:rPr>
        <w:t>) and any additional information at the confirmation level supported by the TSP.</w:t>
      </w:r>
    </w:p>
    <w:p w:rsidR="007612E0" w:rsidRPr="007612E0" w:rsidRDefault="007612E0" w:rsidP="007612E0">
      <w:pPr>
        <w:pStyle w:val="PlainText"/>
        <w:ind w:left="720"/>
        <w:jc w:val="both"/>
        <w:rPr>
          <w:rFonts w:ascii="Arial" w:hAnsi="Arial" w:cs="Arial"/>
          <w:szCs w:val="20"/>
        </w:rPr>
      </w:pPr>
    </w:p>
    <w:p w:rsidR="007612E0" w:rsidRPr="007612E0" w:rsidRDefault="007612E0" w:rsidP="007612E0">
      <w:pPr>
        <w:pStyle w:val="PlainText"/>
        <w:ind w:left="720"/>
        <w:jc w:val="both"/>
        <w:rPr>
          <w:rFonts w:ascii="Arial" w:hAnsi="Arial" w:cs="Arial"/>
          <w:szCs w:val="20"/>
        </w:rPr>
      </w:pPr>
      <w:r w:rsidRPr="007612E0">
        <w:rPr>
          <w:rFonts w:ascii="Arial" w:hAnsi="Arial" w:cs="Arial"/>
          <w:szCs w:val="20"/>
        </w:rPr>
        <w:t xml:space="preserve">For the purposes of parts (a) and (b) of this standard, the TSP can require, and the Point Operator at the receipt location should supply and maintain, the identities of the Point Operator’s upstream </w:t>
      </w:r>
      <w:proofErr w:type="gramStart"/>
      <w:r w:rsidRPr="007612E0">
        <w:rPr>
          <w:rFonts w:ascii="Arial" w:hAnsi="Arial" w:cs="Arial"/>
          <w:szCs w:val="20"/>
        </w:rPr>
        <w:t>party(</w:t>
      </w:r>
      <w:proofErr w:type="spellStart"/>
      <w:proofErr w:type="gramEnd"/>
      <w:r w:rsidRPr="007612E0">
        <w:rPr>
          <w:rFonts w:ascii="Arial" w:hAnsi="Arial" w:cs="Arial"/>
          <w:szCs w:val="20"/>
        </w:rPr>
        <w:t>ies</w:t>
      </w:r>
      <w:proofErr w:type="spellEnd"/>
      <w:r w:rsidRPr="007612E0">
        <w:rPr>
          <w:rFonts w:ascii="Arial" w:hAnsi="Arial" w:cs="Arial"/>
          <w:szCs w:val="20"/>
        </w:rPr>
        <w:t xml:space="preserve">). </w:t>
      </w:r>
    </w:p>
    <w:p w:rsidR="007028A5" w:rsidRDefault="009303C3" w:rsidP="009303C3">
      <w:pPr>
        <w:ind w:left="720"/>
        <w:jc w:val="both"/>
        <w:rPr>
          <w:rFonts w:ascii="Arial" w:hAnsi="Arial" w:cs="Arial"/>
          <w:b/>
        </w:rPr>
      </w:pPr>
      <w:r>
        <w:rPr>
          <w:rFonts w:ascii="Arial" w:hAnsi="Arial" w:cs="Arial"/>
          <w:b/>
        </w:rPr>
        <w:t xml:space="preserve">Motion passed </w:t>
      </w:r>
      <w:r w:rsidR="007612E0">
        <w:rPr>
          <w:rFonts w:ascii="Arial" w:hAnsi="Arial" w:cs="Arial"/>
          <w:b/>
        </w:rPr>
        <w:t>a balanced vote with 7.5 in favor and 2.5 opposed</w:t>
      </w:r>
      <w:r>
        <w:rPr>
          <w:rFonts w:ascii="Arial" w:hAnsi="Arial" w:cs="Arial"/>
          <w:b/>
        </w:rPr>
        <w:t xml:space="preserve"> </w:t>
      </w:r>
    </w:p>
    <w:p w:rsidR="007612E0" w:rsidRDefault="007612E0" w:rsidP="009303C3">
      <w:pPr>
        <w:ind w:left="720"/>
        <w:jc w:val="both"/>
        <w:rPr>
          <w:rFonts w:ascii="Arial" w:hAnsi="Arial" w:cs="Arial"/>
          <w:b/>
        </w:rPr>
      </w:pPr>
    </w:p>
    <w:tbl>
      <w:tblPr>
        <w:tblW w:w="7662" w:type="dxa"/>
        <w:jc w:val="center"/>
        <w:tblLook w:val="04A0" w:firstRow="1" w:lastRow="0" w:firstColumn="1" w:lastColumn="0" w:noHBand="0" w:noVBand="1"/>
      </w:tblPr>
      <w:tblGrid>
        <w:gridCol w:w="1720"/>
        <w:gridCol w:w="1087"/>
        <w:gridCol w:w="833"/>
        <w:gridCol w:w="960"/>
        <w:gridCol w:w="1051"/>
        <w:gridCol w:w="1051"/>
        <w:gridCol w:w="960"/>
      </w:tblGrid>
      <w:tr w:rsidR="007612E0" w:rsidRPr="00FC329F" w:rsidTr="008C1E64">
        <w:trPr>
          <w:trHeight w:val="255"/>
          <w:jc w:val="center"/>
        </w:trPr>
        <w:tc>
          <w:tcPr>
            <w:tcW w:w="1720" w:type="dxa"/>
            <w:tcBorders>
              <w:top w:val="single" w:sz="8" w:space="0" w:color="auto"/>
              <w:left w:val="single" w:sz="8" w:space="0" w:color="auto"/>
              <w:bottom w:val="single" w:sz="4"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Segment</w:t>
            </w:r>
          </w:p>
        </w:tc>
        <w:tc>
          <w:tcPr>
            <w:tcW w:w="1920" w:type="dxa"/>
            <w:gridSpan w:val="2"/>
            <w:tcBorders>
              <w:top w:val="single" w:sz="8" w:space="0" w:color="auto"/>
              <w:left w:val="nil"/>
              <w:bottom w:val="single" w:sz="4" w:space="0" w:color="auto"/>
              <w:right w:val="nil"/>
            </w:tcBorders>
            <w:noWrap/>
            <w:vAlign w:val="bottom"/>
            <w:hideMark/>
          </w:tcPr>
          <w:p w:rsidR="007612E0" w:rsidRPr="00FC329F" w:rsidRDefault="007612E0" w:rsidP="008C1E64">
            <w:pPr>
              <w:rPr>
                <w:rFonts w:ascii="Arial" w:hAnsi="Arial" w:cs="Arial"/>
                <w:b/>
              </w:rPr>
            </w:pPr>
            <w:r w:rsidRPr="00FC329F">
              <w:rPr>
                <w:rFonts w:ascii="Arial" w:hAnsi="Arial" w:cs="Arial"/>
                <w:b/>
              </w:rPr>
              <w:t>Votes Cast</w:t>
            </w:r>
          </w:p>
        </w:tc>
        <w:tc>
          <w:tcPr>
            <w:tcW w:w="960" w:type="dxa"/>
            <w:tcBorders>
              <w:top w:val="single" w:sz="8" w:space="0" w:color="auto"/>
              <w:left w:val="nil"/>
              <w:bottom w:val="single" w:sz="4" w:space="0" w:color="auto"/>
              <w:right w:val="single" w:sz="8"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 </w:t>
            </w:r>
          </w:p>
        </w:tc>
        <w:tc>
          <w:tcPr>
            <w:tcW w:w="2102" w:type="dxa"/>
            <w:gridSpan w:val="2"/>
            <w:tcBorders>
              <w:top w:val="single" w:sz="8" w:space="0" w:color="auto"/>
              <w:left w:val="nil"/>
              <w:bottom w:val="single" w:sz="4" w:space="0" w:color="auto"/>
              <w:right w:val="nil"/>
            </w:tcBorders>
            <w:noWrap/>
            <w:vAlign w:val="bottom"/>
            <w:hideMark/>
          </w:tcPr>
          <w:p w:rsidR="007612E0" w:rsidRPr="00FC329F" w:rsidRDefault="007612E0" w:rsidP="008C1E64">
            <w:pPr>
              <w:rPr>
                <w:rFonts w:ascii="Arial" w:hAnsi="Arial" w:cs="Arial"/>
                <w:b/>
              </w:rPr>
            </w:pPr>
            <w:r w:rsidRPr="00FC329F">
              <w:rPr>
                <w:rFonts w:ascii="Arial" w:hAnsi="Arial" w:cs="Arial"/>
                <w:b/>
              </w:rPr>
              <w:t>Balanced Vote</w:t>
            </w:r>
          </w:p>
        </w:tc>
        <w:tc>
          <w:tcPr>
            <w:tcW w:w="960" w:type="dxa"/>
            <w:tcBorders>
              <w:top w:val="single" w:sz="8" w:space="0" w:color="auto"/>
              <w:left w:val="nil"/>
              <w:bottom w:val="single" w:sz="4" w:space="0" w:color="auto"/>
              <w:right w:val="single" w:sz="8"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 </w:t>
            </w:r>
          </w:p>
        </w:tc>
      </w:tr>
      <w:tr w:rsidR="007612E0"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7612E0" w:rsidRPr="00FC329F" w:rsidRDefault="007612E0" w:rsidP="008C1E64">
            <w:pPr>
              <w:jc w:val="center"/>
              <w:rPr>
                <w:rFonts w:ascii="Arial" w:hAnsi="Arial" w:cs="Arial"/>
                <w:b/>
              </w:rPr>
            </w:pPr>
          </w:p>
        </w:tc>
        <w:tc>
          <w:tcPr>
            <w:tcW w:w="1087" w:type="dxa"/>
            <w:tcBorders>
              <w:top w:val="single" w:sz="4" w:space="0" w:color="auto"/>
              <w:bottom w:val="single" w:sz="4" w:space="0" w:color="auto"/>
              <w:right w:val="single" w:sz="4" w:space="0" w:color="auto"/>
            </w:tcBorders>
            <w:noWrap/>
            <w:vAlign w:val="bottom"/>
            <w:hideMark/>
          </w:tcPr>
          <w:p w:rsidR="007612E0" w:rsidRPr="00FC329F" w:rsidRDefault="007612E0" w:rsidP="008C1E64">
            <w:pPr>
              <w:jc w:val="center"/>
              <w:rPr>
                <w:rFonts w:ascii="Arial" w:hAnsi="Arial" w:cs="Arial"/>
                <w:b/>
              </w:rPr>
            </w:pPr>
            <w:r w:rsidRPr="00FC329F">
              <w:rPr>
                <w:rFonts w:ascii="Arial" w:hAnsi="Arial" w:cs="Arial"/>
                <w:b/>
              </w:rPr>
              <w:t>YES</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center"/>
              <w:rPr>
                <w:rFonts w:ascii="Arial" w:hAnsi="Arial" w:cs="Arial"/>
                <w:b/>
              </w:rPr>
            </w:pPr>
            <w:r w:rsidRPr="00FC329F">
              <w:rPr>
                <w:rFonts w:ascii="Arial" w:hAnsi="Arial" w:cs="Arial"/>
                <w:b/>
              </w:rPr>
              <w:t>NO</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center"/>
              <w:rPr>
                <w:rFonts w:ascii="Arial" w:hAnsi="Arial" w:cs="Arial"/>
                <w:b/>
              </w:rPr>
            </w:pPr>
            <w:r w:rsidRPr="00FC329F">
              <w:rPr>
                <w:rFonts w:ascii="Arial" w:hAnsi="Arial" w:cs="Arial"/>
                <w:b/>
              </w:rPr>
              <w:t>TOTAL</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center"/>
              <w:rPr>
                <w:rFonts w:ascii="Arial" w:hAnsi="Arial" w:cs="Arial"/>
                <w:b/>
              </w:rPr>
            </w:pPr>
            <w:r w:rsidRPr="00FC329F">
              <w:rPr>
                <w:rFonts w:ascii="Arial" w:hAnsi="Arial" w:cs="Arial"/>
                <w:b/>
              </w:rPr>
              <w:t>YES</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center"/>
              <w:rPr>
                <w:rFonts w:ascii="Arial" w:hAnsi="Arial" w:cs="Arial"/>
                <w:b/>
              </w:rPr>
            </w:pPr>
            <w:r w:rsidRPr="00FC329F">
              <w:rPr>
                <w:rFonts w:ascii="Arial" w:hAnsi="Arial" w:cs="Arial"/>
                <w:b/>
              </w:rPr>
              <w:t>NO</w:t>
            </w:r>
          </w:p>
        </w:tc>
        <w:tc>
          <w:tcPr>
            <w:tcW w:w="960" w:type="dxa"/>
            <w:tcBorders>
              <w:top w:val="single" w:sz="4" w:space="0" w:color="auto"/>
              <w:left w:val="single" w:sz="4" w:space="0" w:color="auto"/>
              <w:bottom w:val="single" w:sz="4" w:space="0" w:color="auto"/>
              <w:right w:val="single" w:sz="8" w:space="0" w:color="auto"/>
            </w:tcBorders>
            <w:noWrap/>
            <w:vAlign w:val="bottom"/>
            <w:hideMark/>
          </w:tcPr>
          <w:p w:rsidR="007612E0" w:rsidRPr="00FC329F" w:rsidRDefault="007612E0" w:rsidP="008C1E64">
            <w:pPr>
              <w:jc w:val="center"/>
              <w:rPr>
                <w:rFonts w:ascii="Arial" w:hAnsi="Arial" w:cs="Arial"/>
                <w:b/>
              </w:rPr>
            </w:pPr>
            <w:r w:rsidRPr="00FC329F">
              <w:rPr>
                <w:rFonts w:ascii="Arial" w:hAnsi="Arial" w:cs="Arial"/>
                <w:b/>
              </w:rPr>
              <w:t>TOTAL</w:t>
            </w:r>
          </w:p>
        </w:tc>
      </w:tr>
      <w:tr w:rsidR="007612E0"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End Users</w:t>
            </w:r>
          </w:p>
        </w:tc>
        <w:tc>
          <w:tcPr>
            <w:tcW w:w="1087" w:type="dxa"/>
            <w:tcBorders>
              <w:top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2</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r>
      <w:tr w:rsidR="007612E0"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LDCs</w:t>
            </w:r>
          </w:p>
        </w:tc>
        <w:tc>
          <w:tcPr>
            <w:tcW w:w="1087" w:type="dxa"/>
            <w:tcBorders>
              <w:top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7</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7</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r>
      <w:tr w:rsidR="007612E0"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Pipeline</w:t>
            </w:r>
          </w:p>
        </w:tc>
        <w:tc>
          <w:tcPr>
            <w:tcW w:w="1087" w:type="dxa"/>
            <w:tcBorders>
              <w:top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0</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16</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r>
      <w:tr w:rsidR="007612E0"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Producer</w:t>
            </w:r>
          </w:p>
        </w:tc>
        <w:tc>
          <w:tcPr>
            <w:tcW w:w="1087" w:type="dxa"/>
            <w:tcBorders>
              <w:top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2</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0</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r>
      <w:tr w:rsidR="007612E0" w:rsidRPr="00FC329F" w:rsidTr="008C1E64">
        <w:trPr>
          <w:trHeight w:val="255"/>
          <w:jc w:val="center"/>
        </w:trPr>
        <w:tc>
          <w:tcPr>
            <w:tcW w:w="1720" w:type="dxa"/>
            <w:tcBorders>
              <w:top w:val="single" w:sz="4" w:space="0" w:color="auto"/>
              <w:left w:val="single" w:sz="8" w:space="0" w:color="auto"/>
              <w:bottom w:val="single" w:sz="4"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Services</w:t>
            </w:r>
          </w:p>
        </w:tc>
        <w:tc>
          <w:tcPr>
            <w:tcW w:w="1087" w:type="dxa"/>
            <w:tcBorders>
              <w:top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3</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612E0" w:rsidRPr="00FC329F" w:rsidRDefault="007612E0" w:rsidP="008C1E64">
            <w:pPr>
              <w:jc w:val="right"/>
              <w:rPr>
                <w:rFonts w:ascii="Arial" w:hAnsi="Arial" w:cs="Arial"/>
              </w:rPr>
            </w:pPr>
            <w:r>
              <w:rPr>
                <w:rFonts w:ascii="Arial" w:hAnsi="Arial" w:cs="Arial"/>
              </w:rPr>
              <w:t>4</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1.5</w:t>
            </w:r>
          </w:p>
        </w:tc>
        <w:tc>
          <w:tcPr>
            <w:tcW w:w="10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.5</w:t>
            </w:r>
          </w:p>
        </w:tc>
        <w:tc>
          <w:tcPr>
            <w:tcW w:w="96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7612E0" w:rsidRPr="00FC329F" w:rsidRDefault="007612E0" w:rsidP="008C1E64">
            <w:pPr>
              <w:jc w:val="right"/>
              <w:rPr>
                <w:rFonts w:ascii="Arial" w:hAnsi="Arial" w:cs="Arial"/>
              </w:rPr>
            </w:pPr>
            <w:r>
              <w:rPr>
                <w:rFonts w:ascii="Arial" w:hAnsi="Arial" w:cs="Arial"/>
              </w:rPr>
              <w:t>2</w:t>
            </w:r>
          </w:p>
        </w:tc>
      </w:tr>
      <w:tr w:rsidR="007612E0" w:rsidRPr="00FC329F" w:rsidTr="008C1E64">
        <w:trPr>
          <w:trHeight w:val="270"/>
          <w:jc w:val="center"/>
        </w:trPr>
        <w:tc>
          <w:tcPr>
            <w:tcW w:w="1720" w:type="dxa"/>
            <w:tcBorders>
              <w:top w:val="single" w:sz="4" w:space="0" w:color="auto"/>
              <w:left w:val="single" w:sz="8" w:space="0" w:color="auto"/>
              <w:bottom w:val="double" w:sz="6" w:space="0" w:color="auto"/>
              <w:right w:val="single" w:sz="4" w:space="0" w:color="auto"/>
            </w:tcBorders>
            <w:noWrap/>
            <w:vAlign w:val="bottom"/>
            <w:hideMark/>
          </w:tcPr>
          <w:p w:rsidR="007612E0" w:rsidRPr="00FC329F" w:rsidRDefault="007612E0" w:rsidP="008C1E64">
            <w:pPr>
              <w:rPr>
                <w:rFonts w:ascii="Arial" w:hAnsi="Arial" w:cs="Arial"/>
                <w:b/>
              </w:rPr>
            </w:pPr>
            <w:r w:rsidRPr="00FC329F">
              <w:rPr>
                <w:rFonts w:ascii="Arial" w:hAnsi="Arial" w:cs="Arial"/>
                <w:b/>
              </w:rPr>
              <w:t>Total</w:t>
            </w:r>
          </w:p>
        </w:tc>
        <w:tc>
          <w:tcPr>
            <w:tcW w:w="1087" w:type="dxa"/>
            <w:tcBorders>
              <w:top w:val="single" w:sz="4" w:space="0" w:color="auto"/>
              <w:left w:val="nil"/>
              <w:bottom w:val="double" w:sz="6" w:space="0" w:color="auto"/>
              <w:right w:val="single" w:sz="4" w:space="0" w:color="auto"/>
            </w:tcBorders>
            <w:noWrap/>
            <w:vAlign w:val="bottom"/>
            <w:hideMark/>
          </w:tcPr>
          <w:p w:rsidR="007612E0" w:rsidRPr="00FC329F" w:rsidRDefault="007612E0" w:rsidP="008C1E64">
            <w:pPr>
              <w:jc w:val="right"/>
              <w:rPr>
                <w:rFonts w:ascii="Arial" w:hAnsi="Arial" w:cs="Arial"/>
                <w:b/>
              </w:rPr>
            </w:pPr>
            <w:r>
              <w:rPr>
                <w:rFonts w:ascii="Arial" w:hAnsi="Arial" w:cs="Arial"/>
                <w:b/>
              </w:rPr>
              <w:t>14</w:t>
            </w:r>
          </w:p>
        </w:tc>
        <w:tc>
          <w:tcPr>
            <w:tcW w:w="833" w:type="dxa"/>
            <w:tcBorders>
              <w:top w:val="single" w:sz="4" w:space="0" w:color="auto"/>
              <w:left w:val="single" w:sz="4" w:space="0" w:color="auto"/>
              <w:bottom w:val="double" w:sz="6" w:space="0" w:color="auto"/>
              <w:right w:val="single" w:sz="4" w:space="0" w:color="auto"/>
            </w:tcBorders>
            <w:noWrap/>
            <w:vAlign w:val="bottom"/>
            <w:hideMark/>
          </w:tcPr>
          <w:p w:rsidR="007612E0" w:rsidRPr="00FC329F" w:rsidRDefault="007612E0" w:rsidP="008C1E64">
            <w:pPr>
              <w:jc w:val="right"/>
              <w:rPr>
                <w:rFonts w:ascii="Arial" w:hAnsi="Arial" w:cs="Arial"/>
                <w:b/>
              </w:rPr>
            </w:pPr>
            <w:r>
              <w:rPr>
                <w:rFonts w:ascii="Arial" w:hAnsi="Arial" w:cs="Arial"/>
                <w:b/>
              </w:rPr>
              <w:t>17</w:t>
            </w:r>
          </w:p>
        </w:tc>
        <w:tc>
          <w:tcPr>
            <w:tcW w:w="960"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b/>
              </w:rPr>
            </w:pPr>
            <w:r>
              <w:rPr>
                <w:rFonts w:ascii="Arial" w:hAnsi="Arial" w:cs="Arial"/>
                <w:b/>
              </w:rPr>
              <w:t>31</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b/>
              </w:rPr>
            </w:pPr>
            <w:r>
              <w:rPr>
                <w:rFonts w:ascii="Arial" w:hAnsi="Arial" w:cs="Arial"/>
                <w:b/>
              </w:rPr>
              <w:t>7.5</w:t>
            </w:r>
          </w:p>
        </w:tc>
        <w:tc>
          <w:tcPr>
            <w:tcW w:w="1051" w:type="dxa"/>
            <w:tcBorders>
              <w:top w:val="single" w:sz="4" w:space="0" w:color="auto"/>
              <w:left w:val="single" w:sz="4" w:space="0" w:color="auto"/>
              <w:bottom w:val="double" w:sz="6" w:space="0" w:color="auto"/>
              <w:right w:val="single" w:sz="4" w:space="0" w:color="auto"/>
            </w:tcBorders>
            <w:shd w:val="clear" w:color="auto" w:fill="FFFFFF"/>
            <w:noWrap/>
            <w:vAlign w:val="bottom"/>
            <w:hideMark/>
          </w:tcPr>
          <w:p w:rsidR="007612E0" w:rsidRPr="00FC329F" w:rsidRDefault="007612E0" w:rsidP="008C1E64">
            <w:pPr>
              <w:jc w:val="right"/>
              <w:rPr>
                <w:rFonts w:ascii="Arial" w:hAnsi="Arial" w:cs="Arial"/>
                <w:b/>
              </w:rPr>
            </w:pPr>
            <w:r>
              <w:rPr>
                <w:rFonts w:ascii="Arial" w:hAnsi="Arial" w:cs="Arial"/>
                <w:b/>
              </w:rPr>
              <w:t>2.5</w:t>
            </w:r>
          </w:p>
        </w:tc>
        <w:tc>
          <w:tcPr>
            <w:tcW w:w="960" w:type="dxa"/>
            <w:tcBorders>
              <w:top w:val="single" w:sz="4" w:space="0" w:color="auto"/>
              <w:left w:val="single" w:sz="4" w:space="0" w:color="auto"/>
              <w:bottom w:val="double" w:sz="6" w:space="0" w:color="auto"/>
              <w:right w:val="single" w:sz="8" w:space="0" w:color="auto"/>
            </w:tcBorders>
            <w:shd w:val="clear" w:color="auto" w:fill="FFFFFF"/>
            <w:noWrap/>
            <w:vAlign w:val="bottom"/>
            <w:hideMark/>
          </w:tcPr>
          <w:p w:rsidR="007612E0" w:rsidRPr="00FC329F" w:rsidRDefault="007612E0" w:rsidP="008C1E64">
            <w:pPr>
              <w:jc w:val="right"/>
              <w:rPr>
                <w:rFonts w:ascii="Arial" w:hAnsi="Arial" w:cs="Arial"/>
                <w:b/>
              </w:rPr>
            </w:pPr>
            <w:r>
              <w:rPr>
                <w:rFonts w:ascii="Arial" w:hAnsi="Arial" w:cs="Arial"/>
                <w:b/>
              </w:rPr>
              <w:t>10</w:t>
            </w:r>
          </w:p>
        </w:tc>
      </w:tr>
    </w:tbl>
    <w:p w:rsidR="007612E0" w:rsidRPr="009303C3" w:rsidRDefault="007612E0" w:rsidP="007612E0">
      <w:pPr>
        <w:pStyle w:val="PlainText"/>
        <w:jc w:val="both"/>
        <w:rPr>
          <w:rFonts w:ascii="Arial" w:hAnsi="Arial" w:cs="Arial"/>
          <w:b/>
        </w:rPr>
      </w:pPr>
    </w:p>
    <w:sectPr w:rsidR="007612E0" w:rsidRPr="009303C3" w:rsidSect="00990322">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B1" w:rsidRDefault="000479B1">
      <w:r>
        <w:separator/>
      </w:r>
    </w:p>
  </w:endnote>
  <w:endnote w:type="continuationSeparator" w:id="0">
    <w:p w:rsidR="000479B1" w:rsidRDefault="0004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850DE" w:rsidRDefault="00B73414">
    <w:pPr>
      <w:pStyle w:val="Footer"/>
      <w:rPr>
        <w:rFonts w:ascii="Arial" w:hAnsi="Arial" w:cs="Arial"/>
      </w:rPr>
    </w:pPr>
    <w:r w:rsidRPr="007850DE">
      <w:rPr>
        <w:rFonts w:ascii="Arial" w:hAnsi="Arial" w:cs="Arial"/>
      </w:rPr>
      <w:t xml:space="preserve">Page </w:t>
    </w:r>
    <w:r w:rsidRPr="007850DE">
      <w:rPr>
        <w:rFonts w:ascii="Arial" w:hAnsi="Arial" w:cs="Arial"/>
        <w:bCs/>
        <w:sz w:val="24"/>
        <w:szCs w:val="24"/>
      </w:rPr>
      <w:fldChar w:fldCharType="begin"/>
    </w:r>
    <w:r w:rsidRPr="007850DE">
      <w:rPr>
        <w:rFonts w:ascii="Arial" w:hAnsi="Arial" w:cs="Arial"/>
        <w:bCs/>
      </w:rPr>
      <w:instrText xml:space="preserve"> PAGE </w:instrText>
    </w:r>
    <w:r w:rsidRPr="007850DE">
      <w:rPr>
        <w:rFonts w:ascii="Arial" w:hAnsi="Arial" w:cs="Arial"/>
        <w:bCs/>
        <w:sz w:val="24"/>
        <w:szCs w:val="24"/>
      </w:rPr>
      <w:fldChar w:fldCharType="separate"/>
    </w:r>
    <w:r w:rsidR="00C73AB7">
      <w:rPr>
        <w:rFonts w:ascii="Arial" w:hAnsi="Arial" w:cs="Arial"/>
        <w:bCs/>
        <w:noProof/>
      </w:rPr>
      <w:t>1</w:t>
    </w:r>
    <w:r w:rsidRPr="007850DE">
      <w:rPr>
        <w:rFonts w:ascii="Arial" w:hAnsi="Arial" w:cs="Arial"/>
        <w:bCs/>
        <w:sz w:val="24"/>
        <w:szCs w:val="24"/>
      </w:rPr>
      <w:fldChar w:fldCharType="end"/>
    </w:r>
    <w:r w:rsidRPr="007850DE">
      <w:rPr>
        <w:rFonts w:ascii="Arial" w:hAnsi="Arial" w:cs="Arial"/>
      </w:rPr>
      <w:t xml:space="preserve"> of </w:t>
    </w:r>
    <w:r w:rsidRPr="007850DE">
      <w:rPr>
        <w:rFonts w:ascii="Arial" w:hAnsi="Arial" w:cs="Arial"/>
        <w:bCs/>
        <w:sz w:val="24"/>
        <w:szCs w:val="24"/>
      </w:rPr>
      <w:fldChar w:fldCharType="begin"/>
    </w:r>
    <w:r w:rsidRPr="007850DE">
      <w:rPr>
        <w:rFonts w:ascii="Arial" w:hAnsi="Arial" w:cs="Arial"/>
        <w:bCs/>
      </w:rPr>
      <w:instrText xml:space="preserve"> NUMPAGES  </w:instrText>
    </w:r>
    <w:r w:rsidRPr="007850DE">
      <w:rPr>
        <w:rFonts w:ascii="Arial" w:hAnsi="Arial" w:cs="Arial"/>
        <w:bCs/>
        <w:sz w:val="24"/>
        <w:szCs w:val="24"/>
      </w:rPr>
      <w:fldChar w:fldCharType="separate"/>
    </w:r>
    <w:r w:rsidR="00C73AB7">
      <w:rPr>
        <w:rFonts w:ascii="Arial" w:hAnsi="Arial" w:cs="Arial"/>
        <w:bCs/>
        <w:noProof/>
      </w:rPr>
      <w:t>3</w:t>
    </w:r>
    <w:r w:rsidRPr="007850DE">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B1" w:rsidRDefault="000479B1">
      <w:r>
        <w:separator/>
      </w:r>
    </w:p>
  </w:footnote>
  <w:footnote w:type="continuationSeparator" w:id="0">
    <w:p w:rsidR="000479B1" w:rsidRDefault="000479B1">
      <w:r>
        <w:continuationSeparator/>
      </w:r>
    </w:p>
  </w:footnote>
  <w:footnote w:id="1">
    <w:p w:rsidR="00170083" w:rsidRPr="00170083" w:rsidRDefault="00170083" w:rsidP="00170083">
      <w:pPr>
        <w:pStyle w:val="FootnoteText"/>
        <w:spacing w:before="120"/>
        <w:rPr>
          <w:rFonts w:ascii="Arial" w:hAnsi="Arial" w:cs="Arial"/>
          <w:sz w:val="16"/>
          <w:szCs w:val="16"/>
        </w:rPr>
      </w:pPr>
      <w:r w:rsidRPr="00170083">
        <w:rPr>
          <w:rStyle w:val="FootnoteReference"/>
          <w:rFonts w:ascii="Arial" w:hAnsi="Arial" w:cs="Arial"/>
          <w:sz w:val="16"/>
          <w:szCs w:val="16"/>
          <w:vertAlign w:val="superscript"/>
        </w:rPr>
        <w:footnoteRef/>
      </w:r>
      <w:r w:rsidRPr="00170083">
        <w:rPr>
          <w:rFonts w:ascii="Arial" w:hAnsi="Arial" w:cs="Arial"/>
          <w:sz w:val="16"/>
          <w:szCs w:val="16"/>
        </w:rPr>
        <w:t xml:space="preserve"> </w:t>
      </w:r>
      <w:r w:rsidRPr="0065757A">
        <w:rPr>
          <w:rFonts w:ascii="Arial" w:hAnsi="Arial" w:cs="Arial"/>
          <w:sz w:val="16"/>
          <w:szCs w:val="16"/>
        </w:rPr>
        <w:t xml:space="preserve">The GEH Forum Issues may be found in the GEH Survey Addendum: </w:t>
      </w:r>
      <w:hyperlink r:id="rId1" w:history="1">
        <w:r w:rsidRPr="0065757A">
          <w:rPr>
            <w:rStyle w:val="Hyperlink"/>
            <w:rFonts w:ascii="Arial" w:hAnsi="Arial" w:cs="Arial"/>
            <w:sz w:val="16"/>
            <w:szCs w:val="16"/>
          </w:rPr>
          <w:t>https://www.naesb.org/pdf4/geh_report_addendum_041816_clean051316.docx</w:t>
        </w:r>
      </w:hyperlink>
    </w:p>
  </w:footnote>
  <w:footnote w:id="2">
    <w:p w:rsidR="00170083" w:rsidRPr="009B5812" w:rsidRDefault="00170083" w:rsidP="00170083">
      <w:pPr>
        <w:pStyle w:val="FootnoteText"/>
        <w:spacing w:before="120"/>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14" w:rsidRPr="007F22CA" w:rsidRDefault="000479B1" w:rsidP="007F22CA">
    <w:pPr>
      <w:pStyle w:val="BodyText"/>
      <w:spacing w:after="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107.2pt;width:271pt;height:224.4pt;z-index:-251658752;mso-wrap-edited:f" wrapcoords="-52 12307 -52 21537 9346 21537 9346 12307 -52 12307">
          <v:imagedata r:id="rId1" o:title=""/>
        </v:shape>
        <o:OLEObject Type="Embed" ProgID="Word.Picture.8" ShapeID="_x0000_s2050" DrawAspect="Content" ObjectID="_1546436115" r:id="rId2"/>
      </w:pic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B73414" w:rsidRDefault="00B73414" w:rsidP="00990322">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B73414" w:rsidRDefault="00C73AB7"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sidR="00B73414">
      <w:rPr>
        <w:rFonts w:ascii="Arial" w:hAnsi="Arial" w:cs="Arial"/>
        <w:b/>
        <w:sz w:val="22"/>
      </w:rPr>
      <w:t>Request No:</w:t>
    </w:r>
    <w:r w:rsidR="00B73414">
      <w:rPr>
        <w:rFonts w:ascii="Arial" w:hAnsi="Arial" w:cs="Arial"/>
        <w:b/>
        <w:sz w:val="22"/>
      </w:rPr>
      <w:tab/>
    </w:r>
    <w:r w:rsidR="00B73414">
      <w:rPr>
        <w:rFonts w:ascii="Arial" w:hAnsi="Arial" w:cs="Arial"/>
        <w:b/>
        <w:sz w:val="22"/>
      </w:rPr>
      <w:tab/>
    </w:r>
    <w:r w:rsidR="007553AE">
      <w:rPr>
        <w:rFonts w:ascii="Arial" w:hAnsi="Arial" w:cs="Arial"/>
        <w:b/>
        <w:sz w:val="22"/>
      </w:rPr>
      <w:t xml:space="preserve">2016 </w:t>
    </w:r>
    <w:r>
      <w:rPr>
        <w:rFonts w:ascii="Arial" w:hAnsi="Arial" w:cs="Arial"/>
        <w:b/>
        <w:sz w:val="22"/>
      </w:rPr>
      <w:t xml:space="preserve">WGQ </w:t>
    </w:r>
    <w:r w:rsidR="00B73414">
      <w:rPr>
        <w:rFonts w:ascii="Arial" w:hAnsi="Arial" w:cs="Arial"/>
        <w:b/>
        <w:sz w:val="22"/>
      </w:rPr>
      <w:t>AP Item 3</w:t>
    </w:r>
    <w:r w:rsidR="007612E0">
      <w:rPr>
        <w:rFonts w:ascii="Arial" w:hAnsi="Arial" w:cs="Arial"/>
        <w:b/>
        <w:sz w:val="22"/>
      </w:rPr>
      <w:t>(b)(v)</w:t>
    </w:r>
    <w:r w:rsidR="009303C3">
      <w:rPr>
        <w:rFonts w:ascii="Arial" w:hAnsi="Arial" w:cs="Arial"/>
        <w:b/>
        <w:sz w:val="22"/>
      </w:rPr>
      <w:t xml:space="preserve"> / 2017 </w:t>
    </w:r>
    <w:r>
      <w:rPr>
        <w:rFonts w:ascii="Arial" w:hAnsi="Arial" w:cs="Arial"/>
        <w:b/>
        <w:sz w:val="22"/>
      </w:rPr>
      <w:t xml:space="preserve">WGQ </w:t>
    </w:r>
    <w:r w:rsidR="007553AE">
      <w:rPr>
        <w:rFonts w:ascii="Arial" w:hAnsi="Arial" w:cs="Arial"/>
        <w:b/>
        <w:sz w:val="22"/>
      </w:rPr>
      <w:t xml:space="preserve">AP Item </w:t>
    </w:r>
    <w:r w:rsidR="00872030">
      <w:rPr>
        <w:rFonts w:ascii="Arial" w:hAnsi="Arial" w:cs="Arial"/>
        <w:b/>
        <w:sz w:val="22"/>
      </w:rPr>
      <w:t>3(a)(v</w:t>
    </w:r>
    <w:r w:rsidR="009303C3">
      <w:rPr>
        <w:rFonts w:ascii="Arial" w:hAnsi="Arial" w:cs="Arial"/>
        <w:b/>
        <w:sz w:val="22"/>
      </w:rPr>
      <w:t>)</w:t>
    </w:r>
  </w:p>
  <w:p w:rsidR="009303C3" w:rsidRDefault="009303C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7612E0">
      <w:rPr>
        <w:rFonts w:ascii="Arial" w:hAnsi="Arial" w:cs="Arial"/>
        <w:b/>
        <w:sz w:val="22"/>
      </w:rPr>
      <w:t>(GEH Forum Issue 36)</w:t>
    </w:r>
  </w:p>
  <w:p w:rsidR="00985C13" w:rsidRDefault="00985C13"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C73AB7">
      <w:rPr>
        <w:rFonts w:ascii="Arial" w:hAnsi="Arial" w:cs="Arial"/>
        <w:b/>
        <w:sz w:val="22"/>
      </w:rPr>
      <w:t xml:space="preserve">Part 2 - </w:t>
    </w:r>
    <w:r>
      <w:rPr>
        <w:rFonts w:ascii="Arial" w:hAnsi="Arial" w:cs="Arial"/>
        <w:b/>
        <w:sz w:val="22"/>
      </w:rPr>
      <w:t xml:space="preserve">RECOMMENDATION </w:t>
    </w:r>
  </w:p>
  <w:p w:rsidR="00C73AB7" w:rsidRDefault="00C73AB7" w:rsidP="00C17FDD">
    <w:pPr>
      <w:pStyle w:val="DefaultText"/>
      <w:pBdr>
        <w:top w:val="single" w:sz="6" w:space="7" w:color="auto" w:shadow="1"/>
        <w:left w:val="single" w:sz="6" w:space="7" w:color="auto" w:shadow="1"/>
        <w:bottom w:val="single" w:sz="6" w:space="7" w:color="auto" w:shadow="1"/>
        <w:right w:val="single" w:sz="6" w:space="7" w:color="auto" w:shadow="1"/>
      </w:pBdr>
      <w:rPr>
        <w:rFonts w:ascii="Arial" w:hAnsi="Arial" w:cs="Arial"/>
        <w:b/>
        <w:sz w:val="22"/>
      </w:rPr>
    </w:pPr>
  </w:p>
  <w:p w:rsidR="00B73414" w:rsidRDefault="00B73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673"/>
    <w:multiLevelType w:val="hybridMultilevel"/>
    <w:tmpl w:val="839C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E2BA1"/>
    <w:multiLevelType w:val="hybridMultilevel"/>
    <w:tmpl w:val="7D827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69F7"/>
    <w:multiLevelType w:val="hybridMultilevel"/>
    <w:tmpl w:val="EA6A7C7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6F10"/>
    <w:multiLevelType w:val="hybridMultilevel"/>
    <w:tmpl w:val="00D2D11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0D1A73"/>
    <w:multiLevelType w:val="hybridMultilevel"/>
    <w:tmpl w:val="0B148000"/>
    <w:lvl w:ilvl="0" w:tplc="E954E77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F7179"/>
    <w:multiLevelType w:val="hybridMultilevel"/>
    <w:tmpl w:val="0C5A3BDA"/>
    <w:lvl w:ilvl="0" w:tplc="AD10B2FC">
      <w:start w:val="1"/>
      <w:numFmt w:val="bullet"/>
      <w:lvlText w:val=""/>
      <w:lvlJc w:val="left"/>
      <w:pPr>
        <w:tabs>
          <w:tab w:val="num" w:pos="360"/>
        </w:tabs>
        <w:ind w:left="360" w:hanging="360"/>
      </w:pPr>
      <w:rPr>
        <w:rFonts w:ascii="Symbol" w:hAnsi="Symbol" w:hint="default"/>
      </w:rPr>
    </w:lvl>
    <w:lvl w:ilvl="1" w:tplc="E4F6630A" w:tentative="1">
      <w:start w:val="1"/>
      <w:numFmt w:val="bullet"/>
      <w:lvlText w:val="o"/>
      <w:lvlJc w:val="left"/>
      <w:pPr>
        <w:tabs>
          <w:tab w:val="num" w:pos="1080"/>
        </w:tabs>
        <w:ind w:left="1080" w:hanging="360"/>
      </w:pPr>
      <w:rPr>
        <w:rFonts w:ascii="Courier New" w:hAnsi="Courier New" w:hint="default"/>
      </w:rPr>
    </w:lvl>
    <w:lvl w:ilvl="2" w:tplc="DD9C61DC" w:tentative="1">
      <w:start w:val="1"/>
      <w:numFmt w:val="bullet"/>
      <w:lvlText w:val=""/>
      <w:lvlJc w:val="left"/>
      <w:pPr>
        <w:tabs>
          <w:tab w:val="num" w:pos="1800"/>
        </w:tabs>
        <w:ind w:left="1800" w:hanging="360"/>
      </w:pPr>
      <w:rPr>
        <w:rFonts w:ascii="Wingdings" w:hAnsi="Wingdings" w:hint="default"/>
      </w:rPr>
    </w:lvl>
    <w:lvl w:ilvl="3" w:tplc="99CCC7A8" w:tentative="1">
      <w:start w:val="1"/>
      <w:numFmt w:val="bullet"/>
      <w:lvlText w:val=""/>
      <w:lvlJc w:val="left"/>
      <w:pPr>
        <w:tabs>
          <w:tab w:val="num" w:pos="2520"/>
        </w:tabs>
        <w:ind w:left="2520" w:hanging="360"/>
      </w:pPr>
      <w:rPr>
        <w:rFonts w:ascii="Symbol" w:hAnsi="Symbol" w:hint="default"/>
      </w:rPr>
    </w:lvl>
    <w:lvl w:ilvl="4" w:tplc="08FC2EF8" w:tentative="1">
      <w:start w:val="1"/>
      <w:numFmt w:val="bullet"/>
      <w:lvlText w:val="o"/>
      <w:lvlJc w:val="left"/>
      <w:pPr>
        <w:tabs>
          <w:tab w:val="num" w:pos="3240"/>
        </w:tabs>
        <w:ind w:left="3240" w:hanging="360"/>
      </w:pPr>
      <w:rPr>
        <w:rFonts w:ascii="Courier New" w:hAnsi="Courier New" w:hint="default"/>
      </w:rPr>
    </w:lvl>
    <w:lvl w:ilvl="5" w:tplc="3E64D7B8" w:tentative="1">
      <w:start w:val="1"/>
      <w:numFmt w:val="bullet"/>
      <w:lvlText w:val=""/>
      <w:lvlJc w:val="left"/>
      <w:pPr>
        <w:tabs>
          <w:tab w:val="num" w:pos="3960"/>
        </w:tabs>
        <w:ind w:left="3960" w:hanging="360"/>
      </w:pPr>
      <w:rPr>
        <w:rFonts w:ascii="Wingdings" w:hAnsi="Wingdings" w:hint="default"/>
      </w:rPr>
    </w:lvl>
    <w:lvl w:ilvl="6" w:tplc="63867BD4" w:tentative="1">
      <w:start w:val="1"/>
      <w:numFmt w:val="bullet"/>
      <w:lvlText w:val=""/>
      <w:lvlJc w:val="left"/>
      <w:pPr>
        <w:tabs>
          <w:tab w:val="num" w:pos="4680"/>
        </w:tabs>
        <w:ind w:left="4680" w:hanging="360"/>
      </w:pPr>
      <w:rPr>
        <w:rFonts w:ascii="Symbol" w:hAnsi="Symbol" w:hint="default"/>
      </w:rPr>
    </w:lvl>
    <w:lvl w:ilvl="7" w:tplc="D498887E" w:tentative="1">
      <w:start w:val="1"/>
      <w:numFmt w:val="bullet"/>
      <w:lvlText w:val="o"/>
      <w:lvlJc w:val="left"/>
      <w:pPr>
        <w:tabs>
          <w:tab w:val="num" w:pos="5400"/>
        </w:tabs>
        <w:ind w:left="5400" w:hanging="360"/>
      </w:pPr>
      <w:rPr>
        <w:rFonts w:ascii="Courier New" w:hAnsi="Courier New" w:hint="default"/>
      </w:rPr>
    </w:lvl>
    <w:lvl w:ilvl="8" w:tplc="DCBCB630" w:tentative="1">
      <w:start w:val="1"/>
      <w:numFmt w:val="bullet"/>
      <w:lvlText w:val=""/>
      <w:lvlJc w:val="left"/>
      <w:pPr>
        <w:tabs>
          <w:tab w:val="num" w:pos="6120"/>
        </w:tabs>
        <w:ind w:left="6120" w:hanging="360"/>
      </w:pPr>
      <w:rPr>
        <w:rFonts w:ascii="Wingdings" w:hAnsi="Wingdings" w:hint="default"/>
      </w:rPr>
    </w:lvl>
  </w:abstractNum>
  <w:abstractNum w:abstractNumId="7">
    <w:nsid w:val="1D295523"/>
    <w:multiLevelType w:val="hybridMultilevel"/>
    <w:tmpl w:val="E5161E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428A0"/>
    <w:multiLevelType w:val="hybridMultilevel"/>
    <w:tmpl w:val="3342D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2017D"/>
    <w:multiLevelType w:val="hybridMultilevel"/>
    <w:tmpl w:val="14A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B4116"/>
    <w:multiLevelType w:val="hybridMultilevel"/>
    <w:tmpl w:val="409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63957"/>
    <w:multiLevelType w:val="hybridMultilevel"/>
    <w:tmpl w:val="8CB2F5B8"/>
    <w:lvl w:ilvl="0" w:tplc="7A9C210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DB1A19"/>
    <w:multiLevelType w:val="hybridMultilevel"/>
    <w:tmpl w:val="B40A55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40545"/>
    <w:multiLevelType w:val="hybridMultilevel"/>
    <w:tmpl w:val="C69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62B87"/>
    <w:multiLevelType w:val="hybridMultilevel"/>
    <w:tmpl w:val="3FF861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nsid w:val="46600B8E"/>
    <w:multiLevelType w:val="hybridMultilevel"/>
    <w:tmpl w:val="FCEC9444"/>
    <w:lvl w:ilvl="0" w:tplc="BD88A414">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1341BD"/>
    <w:multiLevelType w:val="hybridMultilevel"/>
    <w:tmpl w:val="5276E064"/>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9">
    <w:nsid w:val="4C4E0D9F"/>
    <w:multiLevelType w:val="hybridMultilevel"/>
    <w:tmpl w:val="91C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75DD7"/>
    <w:multiLevelType w:val="hybridMultilevel"/>
    <w:tmpl w:val="5CA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8028E"/>
    <w:multiLevelType w:val="hybridMultilevel"/>
    <w:tmpl w:val="65B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F0BCA"/>
    <w:multiLevelType w:val="hybridMultilevel"/>
    <w:tmpl w:val="0CBA9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9D13EEB"/>
    <w:multiLevelType w:val="hybridMultilevel"/>
    <w:tmpl w:val="DC18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541F3"/>
    <w:multiLevelType w:val="hybridMultilevel"/>
    <w:tmpl w:val="D14A8E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3A5E21"/>
    <w:multiLevelType w:val="hybridMultilevel"/>
    <w:tmpl w:val="BA2012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7BB47327"/>
    <w:multiLevelType w:val="hybridMultilevel"/>
    <w:tmpl w:val="C55C1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C8253A2"/>
    <w:multiLevelType w:val="hybridMultilevel"/>
    <w:tmpl w:val="68E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F10C2A"/>
    <w:multiLevelType w:val="hybridMultilevel"/>
    <w:tmpl w:val="ADBC8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FA0F5D"/>
    <w:multiLevelType w:val="hybridMultilevel"/>
    <w:tmpl w:val="2B48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4"/>
  </w:num>
  <w:num w:numId="3">
    <w:abstractNumId w:val="25"/>
  </w:num>
  <w:num w:numId="4">
    <w:abstractNumId w:val="25"/>
  </w:num>
  <w:num w:numId="5">
    <w:abstractNumId w:val="16"/>
  </w:num>
  <w:num w:numId="6">
    <w:abstractNumId w:val="16"/>
  </w:num>
  <w:num w:numId="7">
    <w:abstractNumId w:val="15"/>
  </w:num>
  <w:num w:numId="8">
    <w:abstractNumId w:val="2"/>
  </w:num>
  <w:num w:numId="9">
    <w:abstractNumId w:val="3"/>
  </w:num>
  <w:num w:numId="10">
    <w:abstractNumId w:val="7"/>
  </w:num>
  <w:num w:numId="11">
    <w:abstractNumId w:val="23"/>
  </w:num>
  <w:num w:numId="12">
    <w:abstractNumId w:val="6"/>
  </w:num>
  <w:num w:numId="13">
    <w:abstractNumId w:val="13"/>
  </w:num>
  <w:num w:numId="14">
    <w:abstractNumId w:val="9"/>
  </w:num>
  <w:num w:numId="15">
    <w:abstractNumId w:val="27"/>
  </w:num>
  <w:num w:numId="16">
    <w:abstractNumId w:val="10"/>
  </w:num>
  <w:num w:numId="17">
    <w:abstractNumId w:val="1"/>
  </w:num>
  <w:num w:numId="18">
    <w:abstractNumId w:val="22"/>
  </w:num>
  <w:num w:numId="19">
    <w:abstractNumId w:val="18"/>
  </w:num>
  <w:num w:numId="20">
    <w:abstractNumId w:val="11"/>
  </w:num>
  <w:num w:numId="21">
    <w:abstractNumId w:val="8"/>
  </w:num>
  <w:num w:numId="22">
    <w:abstractNumId w:val="21"/>
  </w:num>
  <w:num w:numId="23">
    <w:abstractNumId w:val="0"/>
  </w:num>
  <w:num w:numId="24">
    <w:abstractNumId w:val="28"/>
  </w:num>
  <w:num w:numId="25">
    <w:abstractNumId w:val="20"/>
  </w:num>
  <w:num w:numId="26">
    <w:abstractNumId w:val="26"/>
  </w:num>
  <w:num w:numId="27">
    <w:abstractNumId w:val="29"/>
  </w:num>
  <w:num w:numId="28">
    <w:abstractNumId w:val="24"/>
  </w:num>
  <w:num w:numId="29">
    <w:abstractNumId w:val="19"/>
  </w:num>
  <w:num w:numId="30">
    <w:abstractNumId w:val="12"/>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rawingGridHorizontalSpacing w:val="10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041DC"/>
    <w:rsid w:val="00007F6D"/>
    <w:rsid w:val="00020539"/>
    <w:rsid w:val="000360CF"/>
    <w:rsid w:val="000428B7"/>
    <w:rsid w:val="00045F3B"/>
    <w:rsid w:val="000479B1"/>
    <w:rsid w:val="00052680"/>
    <w:rsid w:val="000603AF"/>
    <w:rsid w:val="0006469A"/>
    <w:rsid w:val="000753D3"/>
    <w:rsid w:val="000776A9"/>
    <w:rsid w:val="00083A58"/>
    <w:rsid w:val="00092BAC"/>
    <w:rsid w:val="000A27FF"/>
    <w:rsid w:val="000A72DB"/>
    <w:rsid w:val="000B0B66"/>
    <w:rsid w:val="000B554B"/>
    <w:rsid w:val="000D2BBB"/>
    <w:rsid w:val="000D3600"/>
    <w:rsid w:val="000D4D3D"/>
    <w:rsid w:val="000D7574"/>
    <w:rsid w:val="000E151D"/>
    <w:rsid w:val="000E48E7"/>
    <w:rsid w:val="000F36C2"/>
    <w:rsid w:val="000F4E50"/>
    <w:rsid w:val="00105B46"/>
    <w:rsid w:val="0012131B"/>
    <w:rsid w:val="00136743"/>
    <w:rsid w:val="001416A8"/>
    <w:rsid w:val="00141FE6"/>
    <w:rsid w:val="00142801"/>
    <w:rsid w:val="00155CD9"/>
    <w:rsid w:val="00162677"/>
    <w:rsid w:val="001661F2"/>
    <w:rsid w:val="00170083"/>
    <w:rsid w:val="00174215"/>
    <w:rsid w:val="00182FB8"/>
    <w:rsid w:val="00190465"/>
    <w:rsid w:val="00192125"/>
    <w:rsid w:val="00196EAA"/>
    <w:rsid w:val="001A0A3B"/>
    <w:rsid w:val="001A26DD"/>
    <w:rsid w:val="001C3C41"/>
    <w:rsid w:val="001C643C"/>
    <w:rsid w:val="001C6D65"/>
    <w:rsid w:val="001D292B"/>
    <w:rsid w:val="001D7210"/>
    <w:rsid w:val="001F64A6"/>
    <w:rsid w:val="0020127C"/>
    <w:rsid w:val="002017C3"/>
    <w:rsid w:val="00201D76"/>
    <w:rsid w:val="00203B10"/>
    <w:rsid w:val="00213D5D"/>
    <w:rsid w:val="00216B9F"/>
    <w:rsid w:val="0022167B"/>
    <w:rsid w:val="00222329"/>
    <w:rsid w:val="00222BAF"/>
    <w:rsid w:val="0022443B"/>
    <w:rsid w:val="00224E95"/>
    <w:rsid w:val="00227C35"/>
    <w:rsid w:val="00240604"/>
    <w:rsid w:val="00242EFA"/>
    <w:rsid w:val="00252AAB"/>
    <w:rsid w:val="00253A8B"/>
    <w:rsid w:val="00255299"/>
    <w:rsid w:val="00257D24"/>
    <w:rsid w:val="00270B89"/>
    <w:rsid w:val="00276F2A"/>
    <w:rsid w:val="002805FD"/>
    <w:rsid w:val="00287430"/>
    <w:rsid w:val="00296C1B"/>
    <w:rsid w:val="002A26A1"/>
    <w:rsid w:val="002B5579"/>
    <w:rsid w:val="002D1F2D"/>
    <w:rsid w:val="002E1BA5"/>
    <w:rsid w:val="002E3705"/>
    <w:rsid w:val="002F49C9"/>
    <w:rsid w:val="002F7BF3"/>
    <w:rsid w:val="0030376E"/>
    <w:rsid w:val="00310ECC"/>
    <w:rsid w:val="00311545"/>
    <w:rsid w:val="00315983"/>
    <w:rsid w:val="00316BE0"/>
    <w:rsid w:val="00317660"/>
    <w:rsid w:val="00321178"/>
    <w:rsid w:val="0032129F"/>
    <w:rsid w:val="00326466"/>
    <w:rsid w:val="003274B4"/>
    <w:rsid w:val="00332677"/>
    <w:rsid w:val="003453CB"/>
    <w:rsid w:val="00356444"/>
    <w:rsid w:val="003614C9"/>
    <w:rsid w:val="00370082"/>
    <w:rsid w:val="00374053"/>
    <w:rsid w:val="0037799B"/>
    <w:rsid w:val="003864A6"/>
    <w:rsid w:val="00395B6E"/>
    <w:rsid w:val="003B1348"/>
    <w:rsid w:val="003B144C"/>
    <w:rsid w:val="003B1595"/>
    <w:rsid w:val="003B4C12"/>
    <w:rsid w:val="003D0E15"/>
    <w:rsid w:val="003E2082"/>
    <w:rsid w:val="003E6EC9"/>
    <w:rsid w:val="003F3A07"/>
    <w:rsid w:val="003F4533"/>
    <w:rsid w:val="00403FB6"/>
    <w:rsid w:val="00406E05"/>
    <w:rsid w:val="004105ED"/>
    <w:rsid w:val="00413C63"/>
    <w:rsid w:val="00422758"/>
    <w:rsid w:val="004227AB"/>
    <w:rsid w:val="00424BB5"/>
    <w:rsid w:val="00433F9F"/>
    <w:rsid w:val="00436A47"/>
    <w:rsid w:val="004374AC"/>
    <w:rsid w:val="004401A2"/>
    <w:rsid w:val="00444690"/>
    <w:rsid w:val="0044522D"/>
    <w:rsid w:val="00445592"/>
    <w:rsid w:val="0045169E"/>
    <w:rsid w:val="004528C6"/>
    <w:rsid w:val="004568CB"/>
    <w:rsid w:val="004643BD"/>
    <w:rsid w:val="00465E7F"/>
    <w:rsid w:val="00466489"/>
    <w:rsid w:val="004714BE"/>
    <w:rsid w:val="00475D9C"/>
    <w:rsid w:val="00480DA4"/>
    <w:rsid w:val="00491CFC"/>
    <w:rsid w:val="00492E27"/>
    <w:rsid w:val="004A6D9D"/>
    <w:rsid w:val="004B4F46"/>
    <w:rsid w:val="004C345E"/>
    <w:rsid w:val="004C79BA"/>
    <w:rsid w:val="004C7F89"/>
    <w:rsid w:val="004D276C"/>
    <w:rsid w:val="004D577A"/>
    <w:rsid w:val="004D65F8"/>
    <w:rsid w:val="004E12A1"/>
    <w:rsid w:val="004E30F4"/>
    <w:rsid w:val="0050366D"/>
    <w:rsid w:val="00505F60"/>
    <w:rsid w:val="00507E01"/>
    <w:rsid w:val="00526697"/>
    <w:rsid w:val="00543962"/>
    <w:rsid w:val="00547400"/>
    <w:rsid w:val="0055372B"/>
    <w:rsid w:val="00554D1A"/>
    <w:rsid w:val="00557C49"/>
    <w:rsid w:val="00563131"/>
    <w:rsid w:val="00565179"/>
    <w:rsid w:val="00573D9C"/>
    <w:rsid w:val="005A110C"/>
    <w:rsid w:val="005A775A"/>
    <w:rsid w:val="005B0D45"/>
    <w:rsid w:val="005B1939"/>
    <w:rsid w:val="005C087A"/>
    <w:rsid w:val="005C1FA3"/>
    <w:rsid w:val="005D4387"/>
    <w:rsid w:val="005F0E85"/>
    <w:rsid w:val="005F1EE7"/>
    <w:rsid w:val="005F65FC"/>
    <w:rsid w:val="005F746F"/>
    <w:rsid w:val="00607140"/>
    <w:rsid w:val="00607B13"/>
    <w:rsid w:val="00607CCA"/>
    <w:rsid w:val="00614579"/>
    <w:rsid w:val="006559EB"/>
    <w:rsid w:val="00655B1D"/>
    <w:rsid w:val="0065757A"/>
    <w:rsid w:val="006779D8"/>
    <w:rsid w:val="006864BB"/>
    <w:rsid w:val="00693413"/>
    <w:rsid w:val="00697AD0"/>
    <w:rsid w:val="006A4FF3"/>
    <w:rsid w:val="006A6375"/>
    <w:rsid w:val="006B3D81"/>
    <w:rsid w:val="006B4279"/>
    <w:rsid w:val="006B52F6"/>
    <w:rsid w:val="006C1D1B"/>
    <w:rsid w:val="006C36C4"/>
    <w:rsid w:val="006C544B"/>
    <w:rsid w:val="006C5799"/>
    <w:rsid w:val="006D179B"/>
    <w:rsid w:val="006D3832"/>
    <w:rsid w:val="006D4CF7"/>
    <w:rsid w:val="006D4FAB"/>
    <w:rsid w:val="006F5928"/>
    <w:rsid w:val="007028A5"/>
    <w:rsid w:val="00704B5C"/>
    <w:rsid w:val="00707AC6"/>
    <w:rsid w:val="00713E86"/>
    <w:rsid w:val="00714380"/>
    <w:rsid w:val="00725CF2"/>
    <w:rsid w:val="007271E2"/>
    <w:rsid w:val="0073492C"/>
    <w:rsid w:val="00736254"/>
    <w:rsid w:val="00744BD1"/>
    <w:rsid w:val="007475B7"/>
    <w:rsid w:val="00752A63"/>
    <w:rsid w:val="007553AE"/>
    <w:rsid w:val="0076108A"/>
    <w:rsid w:val="007612E0"/>
    <w:rsid w:val="007644D0"/>
    <w:rsid w:val="00771356"/>
    <w:rsid w:val="007850DE"/>
    <w:rsid w:val="00797FDF"/>
    <w:rsid w:val="007B3DDF"/>
    <w:rsid w:val="007B3DF2"/>
    <w:rsid w:val="007C4EA8"/>
    <w:rsid w:val="007D36C8"/>
    <w:rsid w:val="007E5557"/>
    <w:rsid w:val="007F014C"/>
    <w:rsid w:val="007F22CA"/>
    <w:rsid w:val="00816F87"/>
    <w:rsid w:val="008316FB"/>
    <w:rsid w:val="00833118"/>
    <w:rsid w:val="00850B83"/>
    <w:rsid w:val="0085498D"/>
    <w:rsid w:val="00863114"/>
    <w:rsid w:val="00863503"/>
    <w:rsid w:val="008651DC"/>
    <w:rsid w:val="00872030"/>
    <w:rsid w:val="00876BDC"/>
    <w:rsid w:val="00880F0F"/>
    <w:rsid w:val="00887B6C"/>
    <w:rsid w:val="008956FC"/>
    <w:rsid w:val="008B3A45"/>
    <w:rsid w:val="008C75E2"/>
    <w:rsid w:val="008F1CC8"/>
    <w:rsid w:val="008F4A4B"/>
    <w:rsid w:val="00912D88"/>
    <w:rsid w:val="00917DD3"/>
    <w:rsid w:val="00924FA7"/>
    <w:rsid w:val="009303C3"/>
    <w:rsid w:val="00931B8B"/>
    <w:rsid w:val="0093766E"/>
    <w:rsid w:val="00937C50"/>
    <w:rsid w:val="00944E47"/>
    <w:rsid w:val="00946AC7"/>
    <w:rsid w:val="00947D01"/>
    <w:rsid w:val="00956119"/>
    <w:rsid w:val="00976457"/>
    <w:rsid w:val="00977E9D"/>
    <w:rsid w:val="0098043C"/>
    <w:rsid w:val="00982EC4"/>
    <w:rsid w:val="009838DD"/>
    <w:rsid w:val="00985C13"/>
    <w:rsid w:val="00990322"/>
    <w:rsid w:val="0099537E"/>
    <w:rsid w:val="009A5599"/>
    <w:rsid w:val="009B6F8D"/>
    <w:rsid w:val="009C458F"/>
    <w:rsid w:val="009C468E"/>
    <w:rsid w:val="009C71DE"/>
    <w:rsid w:val="009D0CA3"/>
    <w:rsid w:val="009D5145"/>
    <w:rsid w:val="009E439F"/>
    <w:rsid w:val="009F0A68"/>
    <w:rsid w:val="009F32D7"/>
    <w:rsid w:val="00A11972"/>
    <w:rsid w:val="00A23B23"/>
    <w:rsid w:val="00A24D29"/>
    <w:rsid w:val="00A33684"/>
    <w:rsid w:val="00A344A7"/>
    <w:rsid w:val="00A471FC"/>
    <w:rsid w:val="00A545F2"/>
    <w:rsid w:val="00A56C22"/>
    <w:rsid w:val="00A60A92"/>
    <w:rsid w:val="00A623CC"/>
    <w:rsid w:val="00A73F42"/>
    <w:rsid w:val="00A75E89"/>
    <w:rsid w:val="00A77EE9"/>
    <w:rsid w:val="00A824E8"/>
    <w:rsid w:val="00A90216"/>
    <w:rsid w:val="00A909B0"/>
    <w:rsid w:val="00A952E1"/>
    <w:rsid w:val="00AA1734"/>
    <w:rsid w:val="00AA2EEF"/>
    <w:rsid w:val="00AD246E"/>
    <w:rsid w:val="00AE5145"/>
    <w:rsid w:val="00AE5D52"/>
    <w:rsid w:val="00AE7E25"/>
    <w:rsid w:val="00AF1877"/>
    <w:rsid w:val="00AF5218"/>
    <w:rsid w:val="00AF65F8"/>
    <w:rsid w:val="00AF7C80"/>
    <w:rsid w:val="00B00D30"/>
    <w:rsid w:val="00B129F3"/>
    <w:rsid w:val="00B25288"/>
    <w:rsid w:val="00B25C0D"/>
    <w:rsid w:val="00B2633D"/>
    <w:rsid w:val="00B36E9A"/>
    <w:rsid w:val="00B43237"/>
    <w:rsid w:val="00B44F94"/>
    <w:rsid w:val="00B46511"/>
    <w:rsid w:val="00B50D65"/>
    <w:rsid w:val="00B50DBD"/>
    <w:rsid w:val="00B621A7"/>
    <w:rsid w:val="00B62763"/>
    <w:rsid w:val="00B63FBB"/>
    <w:rsid w:val="00B67EFE"/>
    <w:rsid w:val="00B702B2"/>
    <w:rsid w:val="00B73414"/>
    <w:rsid w:val="00B73854"/>
    <w:rsid w:val="00B74087"/>
    <w:rsid w:val="00B74216"/>
    <w:rsid w:val="00B86C24"/>
    <w:rsid w:val="00B86DB3"/>
    <w:rsid w:val="00B93AC9"/>
    <w:rsid w:val="00BA36E9"/>
    <w:rsid w:val="00BA4129"/>
    <w:rsid w:val="00BB3275"/>
    <w:rsid w:val="00BD4B42"/>
    <w:rsid w:val="00BD4CE0"/>
    <w:rsid w:val="00BE2086"/>
    <w:rsid w:val="00BE62D1"/>
    <w:rsid w:val="00C04516"/>
    <w:rsid w:val="00C04ED5"/>
    <w:rsid w:val="00C0598A"/>
    <w:rsid w:val="00C17FDD"/>
    <w:rsid w:val="00C229B8"/>
    <w:rsid w:val="00C23336"/>
    <w:rsid w:val="00C23FE7"/>
    <w:rsid w:val="00C33DB6"/>
    <w:rsid w:val="00C36B8A"/>
    <w:rsid w:val="00C42B96"/>
    <w:rsid w:val="00C53FAB"/>
    <w:rsid w:val="00C559BA"/>
    <w:rsid w:val="00C60ED6"/>
    <w:rsid w:val="00C64EF1"/>
    <w:rsid w:val="00C66A21"/>
    <w:rsid w:val="00C737FE"/>
    <w:rsid w:val="00C73AB7"/>
    <w:rsid w:val="00C82CB2"/>
    <w:rsid w:val="00C85EF9"/>
    <w:rsid w:val="00C95591"/>
    <w:rsid w:val="00C97F66"/>
    <w:rsid w:val="00CA2B6D"/>
    <w:rsid w:val="00CA6EFB"/>
    <w:rsid w:val="00CA78D4"/>
    <w:rsid w:val="00CB58C1"/>
    <w:rsid w:val="00CB6F70"/>
    <w:rsid w:val="00CC1F08"/>
    <w:rsid w:val="00CC569B"/>
    <w:rsid w:val="00CD137E"/>
    <w:rsid w:val="00CD5545"/>
    <w:rsid w:val="00CD69D1"/>
    <w:rsid w:val="00CE1530"/>
    <w:rsid w:val="00CE635D"/>
    <w:rsid w:val="00CF3282"/>
    <w:rsid w:val="00D01A8A"/>
    <w:rsid w:val="00D01E5B"/>
    <w:rsid w:val="00D06415"/>
    <w:rsid w:val="00D12474"/>
    <w:rsid w:val="00D1329F"/>
    <w:rsid w:val="00D225CB"/>
    <w:rsid w:val="00D32FFD"/>
    <w:rsid w:val="00D36645"/>
    <w:rsid w:val="00D373FE"/>
    <w:rsid w:val="00D409BD"/>
    <w:rsid w:val="00D57891"/>
    <w:rsid w:val="00D606DD"/>
    <w:rsid w:val="00D6168B"/>
    <w:rsid w:val="00D63AB0"/>
    <w:rsid w:val="00D70E8A"/>
    <w:rsid w:val="00D72641"/>
    <w:rsid w:val="00D77CF0"/>
    <w:rsid w:val="00D80C55"/>
    <w:rsid w:val="00D87129"/>
    <w:rsid w:val="00D93754"/>
    <w:rsid w:val="00D971B0"/>
    <w:rsid w:val="00DC1F12"/>
    <w:rsid w:val="00DC6FBD"/>
    <w:rsid w:val="00DC75B0"/>
    <w:rsid w:val="00DC7BA7"/>
    <w:rsid w:val="00DD3658"/>
    <w:rsid w:val="00E033E7"/>
    <w:rsid w:val="00E04B54"/>
    <w:rsid w:val="00E1709E"/>
    <w:rsid w:val="00E23F0A"/>
    <w:rsid w:val="00E2569F"/>
    <w:rsid w:val="00E31123"/>
    <w:rsid w:val="00E3164D"/>
    <w:rsid w:val="00E45C4D"/>
    <w:rsid w:val="00E4719A"/>
    <w:rsid w:val="00E55982"/>
    <w:rsid w:val="00E56016"/>
    <w:rsid w:val="00E57C26"/>
    <w:rsid w:val="00E607A4"/>
    <w:rsid w:val="00E6115E"/>
    <w:rsid w:val="00E7503D"/>
    <w:rsid w:val="00E76781"/>
    <w:rsid w:val="00E77A9A"/>
    <w:rsid w:val="00E83824"/>
    <w:rsid w:val="00E87583"/>
    <w:rsid w:val="00E8761A"/>
    <w:rsid w:val="00E97014"/>
    <w:rsid w:val="00EA01FB"/>
    <w:rsid w:val="00EA1C15"/>
    <w:rsid w:val="00EA2803"/>
    <w:rsid w:val="00EA72B5"/>
    <w:rsid w:val="00EB414F"/>
    <w:rsid w:val="00EB4C04"/>
    <w:rsid w:val="00EB7559"/>
    <w:rsid w:val="00EC3EE2"/>
    <w:rsid w:val="00ED1B4A"/>
    <w:rsid w:val="00ED4414"/>
    <w:rsid w:val="00EE1344"/>
    <w:rsid w:val="00EE1F14"/>
    <w:rsid w:val="00EE6C0E"/>
    <w:rsid w:val="00EE6E67"/>
    <w:rsid w:val="00EF16E2"/>
    <w:rsid w:val="00EF631C"/>
    <w:rsid w:val="00F051C4"/>
    <w:rsid w:val="00F1355B"/>
    <w:rsid w:val="00F13FE8"/>
    <w:rsid w:val="00F20DBD"/>
    <w:rsid w:val="00F21E2C"/>
    <w:rsid w:val="00F2562A"/>
    <w:rsid w:val="00F25733"/>
    <w:rsid w:val="00F27029"/>
    <w:rsid w:val="00F3017A"/>
    <w:rsid w:val="00F344EA"/>
    <w:rsid w:val="00F40322"/>
    <w:rsid w:val="00F44076"/>
    <w:rsid w:val="00F44D57"/>
    <w:rsid w:val="00F54815"/>
    <w:rsid w:val="00F5505E"/>
    <w:rsid w:val="00F75E6C"/>
    <w:rsid w:val="00F76C7B"/>
    <w:rsid w:val="00F908D1"/>
    <w:rsid w:val="00F91596"/>
    <w:rsid w:val="00F97B43"/>
    <w:rsid w:val="00FA37C1"/>
    <w:rsid w:val="00FB11FE"/>
    <w:rsid w:val="00FB698D"/>
    <w:rsid w:val="00FC257B"/>
    <w:rsid w:val="00FC3B3E"/>
    <w:rsid w:val="00FC5FFE"/>
    <w:rsid w:val="00FD43C0"/>
    <w:rsid w:val="00FD7F7A"/>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 w:type="paragraph" w:styleId="PlainText">
    <w:name w:val="Plain Text"/>
    <w:basedOn w:val="Normal"/>
    <w:link w:val="PlainTextChar"/>
    <w:uiPriority w:val="99"/>
    <w:unhideWhenUsed/>
    <w:rsid w:val="007612E0"/>
    <w:rPr>
      <w:rFonts w:eastAsiaTheme="minorHAnsi" w:cstheme="minorBidi"/>
      <w:szCs w:val="21"/>
    </w:rPr>
  </w:style>
  <w:style w:type="character" w:customStyle="1" w:styleId="PlainTextChar">
    <w:name w:val="Plain Text Char"/>
    <w:basedOn w:val="DefaultParagraphFont"/>
    <w:link w:val="PlainText"/>
    <w:uiPriority w:val="99"/>
    <w:rsid w:val="007612E0"/>
    <w:rPr>
      <w:rFonts w:eastAsiaTheme="minorHAns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2"/>
  </w:style>
  <w:style w:type="paragraph" w:styleId="Heading1">
    <w:name w:val="heading 1"/>
    <w:basedOn w:val="Normal"/>
    <w:next w:val="Normal"/>
    <w:link w:val="Heading1Char"/>
    <w:qFormat/>
    <w:rsid w:val="00EB7559"/>
    <w:pPr>
      <w:keepNext/>
      <w:tabs>
        <w:tab w:val="left" w:pos="-360"/>
        <w:tab w:val="left" w:pos="360"/>
        <w:tab w:val="left" w:pos="1080"/>
        <w:tab w:val="left" w:pos="1800"/>
        <w:tab w:val="left" w:pos="2520"/>
        <w:tab w:val="left" w:pos="3240"/>
        <w:tab w:val="left" w:pos="3960"/>
        <w:tab w:val="left" w:pos="4680"/>
        <w:tab w:val="left" w:pos="5440"/>
        <w:tab w:val="left" w:pos="6880"/>
        <w:tab w:val="left" w:pos="7560"/>
        <w:tab w:val="left" w:pos="8280"/>
        <w:tab w:val="left" w:pos="9000"/>
        <w:tab w:val="left" w:pos="9720"/>
      </w:tabs>
      <w:snapToGrid w:val="0"/>
      <w:spacing w:before="80" w:after="40"/>
      <w:jc w:val="center"/>
      <w:outlineLvl w:val="0"/>
    </w:pPr>
    <w:rPr>
      <w:rFonts w:ascii="Arial" w:hAnsi="Arial"/>
      <w:b/>
      <w:sz w:val="24"/>
    </w:rPr>
  </w:style>
  <w:style w:type="paragraph" w:styleId="Heading2">
    <w:name w:val="heading 2"/>
    <w:basedOn w:val="Normal"/>
    <w:next w:val="DefaultText"/>
    <w:link w:val="Heading2Char"/>
    <w:qFormat/>
    <w:rsid w:val="000D4D3D"/>
    <w:pPr>
      <w:spacing w:before="120" w:after="120"/>
      <w:outlineLvl w:val="1"/>
    </w:pPr>
    <w:rPr>
      <w:rFonts w:ascii="Arial" w:hAnsi="Arial"/>
      <w:b/>
      <w:noProof/>
      <w:sz w:val="24"/>
    </w:rPr>
  </w:style>
  <w:style w:type="paragraph" w:styleId="Heading3">
    <w:name w:val="heading 3"/>
    <w:basedOn w:val="Normal"/>
    <w:next w:val="DefaultText"/>
    <w:link w:val="Heading3Char"/>
    <w:qFormat/>
    <w:rsid w:val="000D4D3D"/>
    <w:pPr>
      <w:spacing w:before="120" w:after="120"/>
      <w:outlineLvl w:val="2"/>
    </w:pPr>
    <w:rPr>
      <w:b/>
      <w:noProof/>
      <w:sz w:val="24"/>
    </w:rPr>
  </w:style>
  <w:style w:type="paragraph" w:styleId="Heading4">
    <w:name w:val="heading 4"/>
    <w:basedOn w:val="Normal"/>
    <w:next w:val="Normal"/>
    <w:link w:val="Heading4Char"/>
    <w:unhideWhenUsed/>
    <w:qFormat/>
    <w:rsid w:val="000B0B66"/>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9C45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EE2"/>
    <w:pPr>
      <w:tabs>
        <w:tab w:val="center" w:pos="4320"/>
        <w:tab w:val="right" w:pos="8640"/>
      </w:tabs>
    </w:pPr>
  </w:style>
  <w:style w:type="paragraph" w:styleId="BalloonText">
    <w:name w:val="Balloon Text"/>
    <w:basedOn w:val="Normal"/>
    <w:semiHidden/>
    <w:rsid w:val="00EC3EE2"/>
    <w:rPr>
      <w:rFonts w:ascii="Tahoma" w:hAnsi="Tahoma" w:cs="Tahoma"/>
      <w:sz w:val="16"/>
      <w:szCs w:val="16"/>
    </w:rPr>
  </w:style>
  <w:style w:type="character" w:styleId="Hyperlink">
    <w:name w:val="Hyperlink"/>
    <w:uiPriority w:val="99"/>
    <w:rsid w:val="00EC3EE2"/>
    <w:rPr>
      <w:color w:val="0000FF"/>
      <w:u w:val="single"/>
    </w:rPr>
  </w:style>
  <w:style w:type="paragraph" w:styleId="Footer">
    <w:name w:val="footer"/>
    <w:basedOn w:val="Normal"/>
    <w:link w:val="FooterChar"/>
    <w:uiPriority w:val="99"/>
    <w:rsid w:val="00FB11FE"/>
    <w:pPr>
      <w:tabs>
        <w:tab w:val="center" w:pos="4320"/>
        <w:tab w:val="right" w:pos="8640"/>
      </w:tabs>
    </w:pPr>
  </w:style>
  <w:style w:type="paragraph" w:styleId="FootnoteText">
    <w:name w:val="footnote text"/>
    <w:basedOn w:val="Normal"/>
    <w:link w:val="FootnoteTextChar"/>
    <w:uiPriority w:val="99"/>
    <w:semiHidden/>
    <w:rsid w:val="00222BAF"/>
  </w:style>
  <w:style w:type="character" w:styleId="FootnoteReference">
    <w:name w:val="footnote reference"/>
    <w:uiPriority w:val="99"/>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B7559"/>
    <w:rPr>
      <w:rFonts w:ascii="Arial" w:hAnsi="Arial"/>
      <w:b/>
      <w:sz w:val="24"/>
    </w:rPr>
  </w:style>
  <w:style w:type="character" w:customStyle="1" w:styleId="HeaderChar">
    <w:name w:val="Header Char"/>
    <w:link w:val="Header"/>
    <w:rsid w:val="00EB7559"/>
  </w:style>
  <w:style w:type="paragraph" w:styleId="Title">
    <w:name w:val="Title"/>
    <w:basedOn w:val="Normal"/>
    <w:link w:val="TitleChar"/>
    <w:qFormat/>
    <w:rsid w:val="00EB7559"/>
    <w:pPr>
      <w:tabs>
        <w:tab w:val="center" w:pos="4680"/>
      </w:tabs>
      <w:snapToGrid w:val="0"/>
      <w:jc w:val="center"/>
    </w:pPr>
    <w:rPr>
      <w:rFonts w:ascii="Arial" w:hAnsi="Arial"/>
      <w:b/>
      <w:sz w:val="28"/>
    </w:rPr>
  </w:style>
  <w:style w:type="character" w:customStyle="1" w:styleId="TitleChar">
    <w:name w:val="Title Char"/>
    <w:link w:val="Title"/>
    <w:rsid w:val="00EB7559"/>
    <w:rPr>
      <w:rFonts w:ascii="Arial" w:hAnsi="Arial"/>
      <w:b/>
      <w:sz w:val="28"/>
    </w:rPr>
  </w:style>
  <w:style w:type="paragraph" w:styleId="BodyTextIndent">
    <w:name w:val="Body Text Indent"/>
    <w:basedOn w:val="Normal"/>
    <w:link w:val="BodyTextIndentChar"/>
    <w:unhideWhenUsed/>
    <w:rsid w:val="00EB7559"/>
    <w:pPr>
      <w:widowControl w:val="0"/>
      <w:snapToGrid w:val="0"/>
      <w:ind w:left="2160" w:hanging="2160"/>
    </w:pPr>
    <w:rPr>
      <w:rFonts w:ascii="Arial" w:hAnsi="Arial"/>
      <w:sz w:val="24"/>
    </w:rPr>
  </w:style>
  <w:style w:type="character" w:customStyle="1" w:styleId="BodyTextIndentChar">
    <w:name w:val="Body Text Indent Char"/>
    <w:link w:val="BodyTextIndent"/>
    <w:rsid w:val="00EB7559"/>
    <w:rPr>
      <w:rFonts w:ascii="Arial" w:hAnsi="Arial"/>
      <w:sz w:val="24"/>
    </w:rPr>
  </w:style>
  <w:style w:type="paragraph" w:styleId="BodyText">
    <w:name w:val="Body Text"/>
    <w:basedOn w:val="Normal"/>
    <w:link w:val="BodyTextChar"/>
    <w:rsid w:val="00982EC4"/>
    <w:pPr>
      <w:spacing w:after="120"/>
    </w:pPr>
  </w:style>
  <w:style w:type="character" w:customStyle="1" w:styleId="BodyTextChar">
    <w:name w:val="Body Text Char"/>
    <w:basedOn w:val="DefaultParagraphFont"/>
    <w:link w:val="BodyText"/>
    <w:rsid w:val="00982EC4"/>
  </w:style>
  <w:style w:type="paragraph" w:customStyle="1" w:styleId="GISBDD">
    <w:name w:val="GISB DD"/>
    <w:rsid w:val="00982EC4"/>
    <w:pPr>
      <w:spacing w:before="80" w:after="40"/>
    </w:pPr>
    <w:rPr>
      <w:rFonts w:ascii="Arial" w:hAnsi="Arial" w:cs="Arial"/>
      <w:sz w:val="18"/>
    </w:rPr>
  </w:style>
  <w:style w:type="character" w:customStyle="1" w:styleId="FootnoteTextChar">
    <w:name w:val="Footnote Text Char"/>
    <w:link w:val="FootnoteText"/>
    <w:uiPriority w:val="99"/>
    <w:semiHidden/>
    <w:rsid w:val="00982EC4"/>
  </w:style>
  <w:style w:type="character" w:customStyle="1" w:styleId="FooterChar">
    <w:name w:val="Footer Char"/>
    <w:link w:val="Footer"/>
    <w:uiPriority w:val="99"/>
    <w:rsid w:val="00E23F0A"/>
  </w:style>
  <w:style w:type="character" w:customStyle="1" w:styleId="Heading4Char">
    <w:name w:val="Heading 4 Char"/>
    <w:link w:val="Heading4"/>
    <w:rsid w:val="000B0B66"/>
    <w:rPr>
      <w:rFonts w:ascii="Calibri" w:eastAsia="Times New Roman" w:hAnsi="Calibri" w:cs="Times New Roman"/>
      <w:b/>
      <w:bCs/>
      <w:sz w:val="28"/>
      <w:szCs w:val="28"/>
    </w:rPr>
  </w:style>
  <w:style w:type="paragraph" w:customStyle="1" w:styleId="Bullet1">
    <w:name w:val="Bullet 1"/>
    <w:basedOn w:val="Normal"/>
    <w:rsid w:val="000B0B66"/>
    <w:rPr>
      <w:noProof/>
      <w:sz w:val="24"/>
    </w:rPr>
  </w:style>
  <w:style w:type="paragraph" w:customStyle="1" w:styleId="DefaultText">
    <w:name w:val="Default Text"/>
    <w:basedOn w:val="Normal"/>
    <w:rsid w:val="000B0B66"/>
    <w:rPr>
      <w:noProof/>
      <w:sz w:val="24"/>
    </w:rPr>
  </w:style>
  <w:style w:type="paragraph" w:styleId="BodyText2">
    <w:name w:val="Body Text 2"/>
    <w:basedOn w:val="Normal"/>
    <w:link w:val="BodyText2Char"/>
    <w:rsid w:val="00444690"/>
    <w:pPr>
      <w:spacing w:after="120" w:line="480" w:lineRule="auto"/>
    </w:pPr>
  </w:style>
  <w:style w:type="character" w:customStyle="1" w:styleId="BodyText2Char">
    <w:name w:val="Body Text 2 Char"/>
    <w:basedOn w:val="DefaultParagraphFont"/>
    <w:link w:val="BodyText2"/>
    <w:rsid w:val="00444690"/>
  </w:style>
  <w:style w:type="character" w:customStyle="1" w:styleId="Heading2Char">
    <w:name w:val="Heading 2 Char"/>
    <w:link w:val="Heading2"/>
    <w:rsid w:val="000D4D3D"/>
    <w:rPr>
      <w:rFonts w:ascii="Arial" w:hAnsi="Arial"/>
      <w:b/>
      <w:noProof/>
      <w:sz w:val="24"/>
    </w:rPr>
  </w:style>
  <w:style w:type="character" w:customStyle="1" w:styleId="Heading3Char">
    <w:name w:val="Heading 3 Char"/>
    <w:link w:val="Heading3"/>
    <w:rsid w:val="000D4D3D"/>
    <w:rPr>
      <w:b/>
      <w:noProof/>
      <w:sz w:val="24"/>
    </w:rPr>
  </w:style>
  <w:style w:type="paragraph" w:customStyle="1" w:styleId="BodySingle">
    <w:name w:val="Body Single"/>
    <w:basedOn w:val="Normal"/>
    <w:rsid w:val="000D4D3D"/>
    <w:rPr>
      <w:noProof/>
      <w:sz w:val="24"/>
    </w:rPr>
  </w:style>
  <w:style w:type="paragraph" w:customStyle="1" w:styleId="Bullet2">
    <w:name w:val="Bullet 2"/>
    <w:basedOn w:val="Normal"/>
    <w:rsid w:val="000D4D3D"/>
    <w:rPr>
      <w:noProof/>
      <w:sz w:val="24"/>
    </w:rPr>
  </w:style>
  <w:style w:type="paragraph" w:customStyle="1" w:styleId="FirstLineIndent">
    <w:name w:val="First Line Indent"/>
    <w:basedOn w:val="Normal"/>
    <w:rsid w:val="000D4D3D"/>
    <w:pPr>
      <w:ind w:firstLine="720"/>
    </w:pPr>
    <w:rPr>
      <w:noProof/>
      <w:sz w:val="24"/>
    </w:rPr>
  </w:style>
  <w:style w:type="paragraph" w:customStyle="1" w:styleId="NumberList">
    <w:name w:val="Number List"/>
    <w:basedOn w:val="Normal"/>
    <w:rsid w:val="000D4D3D"/>
    <w:rPr>
      <w:noProof/>
      <w:sz w:val="24"/>
    </w:rPr>
  </w:style>
  <w:style w:type="paragraph" w:customStyle="1" w:styleId="OutlineNumbering">
    <w:name w:val="Outline Numbering"/>
    <w:basedOn w:val="Normal"/>
    <w:rsid w:val="000D4D3D"/>
    <w:rPr>
      <w:noProof/>
      <w:sz w:val="24"/>
    </w:rPr>
  </w:style>
  <w:style w:type="paragraph" w:customStyle="1" w:styleId="TableText">
    <w:name w:val="Table Text"/>
    <w:basedOn w:val="Normal"/>
    <w:rsid w:val="000D4D3D"/>
    <w:pPr>
      <w:tabs>
        <w:tab w:val="decimal" w:pos="0"/>
      </w:tabs>
    </w:pPr>
    <w:rPr>
      <w:noProof/>
      <w:sz w:val="24"/>
    </w:rPr>
  </w:style>
  <w:style w:type="character" w:styleId="PageNumber">
    <w:name w:val="page number"/>
    <w:rsid w:val="000D4D3D"/>
  </w:style>
  <w:style w:type="paragraph" w:styleId="ListParagraph">
    <w:name w:val="List Paragraph"/>
    <w:basedOn w:val="Normal"/>
    <w:uiPriority w:val="34"/>
    <w:qFormat/>
    <w:rsid w:val="000D4D3D"/>
    <w:pPr>
      <w:ind w:left="720"/>
      <w:contextualSpacing/>
    </w:pPr>
    <w:rPr>
      <w:noProof/>
    </w:rPr>
  </w:style>
  <w:style w:type="character" w:customStyle="1" w:styleId="Heading6Char">
    <w:name w:val="Heading 6 Char"/>
    <w:link w:val="Heading6"/>
    <w:semiHidden/>
    <w:rsid w:val="009C458F"/>
    <w:rPr>
      <w:rFonts w:ascii="Calibri" w:eastAsia="Times New Roman" w:hAnsi="Calibri" w:cs="Times New Roman"/>
      <w:b/>
      <w:bCs/>
      <w:sz w:val="22"/>
      <w:szCs w:val="22"/>
    </w:rPr>
  </w:style>
  <w:style w:type="paragraph" w:styleId="PlainText">
    <w:name w:val="Plain Text"/>
    <w:basedOn w:val="Normal"/>
    <w:link w:val="PlainTextChar"/>
    <w:uiPriority w:val="99"/>
    <w:unhideWhenUsed/>
    <w:rsid w:val="007612E0"/>
    <w:rPr>
      <w:rFonts w:eastAsiaTheme="minorHAnsi" w:cstheme="minorBidi"/>
      <w:szCs w:val="21"/>
    </w:rPr>
  </w:style>
  <w:style w:type="character" w:customStyle="1" w:styleId="PlainTextChar">
    <w:name w:val="Plain Text Char"/>
    <w:basedOn w:val="DefaultParagraphFont"/>
    <w:link w:val="PlainText"/>
    <w:uiPriority w:val="99"/>
    <w:rsid w:val="007612E0"/>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4960">
      <w:bodyDiv w:val="1"/>
      <w:marLeft w:val="0"/>
      <w:marRight w:val="0"/>
      <w:marTop w:val="0"/>
      <w:marBottom w:val="0"/>
      <w:divBdr>
        <w:top w:val="none" w:sz="0" w:space="0" w:color="auto"/>
        <w:left w:val="none" w:sz="0" w:space="0" w:color="auto"/>
        <w:bottom w:val="none" w:sz="0" w:space="0" w:color="auto"/>
        <w:right w:val="none" w:sz="0" w:space="0" w:color="auto"/>
      </w:divBdr>
    </w:div>
    <w:div w:id="432241739">
      <w:bodyDiv w:val="1"/>
      <w:marLeft w:val="0"/>
      <w:marRight w:val="0"/>
      <w:marTop w:val="0"/>
      <w:marBottom w:val="0"/>
      <w:divBdr>
        <w:top w:val="none" w:sz="0" w:space="0" w:color="auto"/>
        <w:left w:val="none" w:sz="0" w:space="0" w:color="auto"/>
        <w:bottom w:val="none" w:sz="0" w:space="0" w:color="auto"/>
        <w:right w:val="none" w:sz="0" w:space="0" w:color="auto"/>
      </w:divBdr>
    </w:div>
    <w:div w:id="793642442">
      <w:bodyDiv w:val="1"/>
      <w:marLeft w:val="0"/>
      <w:marRight w:val="0"/>
      <w:marTop w:val="0"/>
      <w:marBottom w:val="0"/>
      <w:divBdr>
        <w:top w:val="none" w:sz="0" w:space="0" w:color="auto"/>
        <w:left w:val="none" w:sz="0" w:space="0" w:color="auto"/>
        <w:bottom w:val="none" w:sz="0" w:space="0" w:color="auto"/>
        <w:right w:val="none" w:sz="0" w:space="0" w:color="auto"/>
      </w:divBdr>
    </w:div>
    <w:div w:id="1386297345">
      <w:bodyDiv w:val="1"/>
      <w:marLeft w:val="0"/>
      <w:marRight w:val="0"/>
      <w:marTop w:val="0"/>
      <w:marBottom w:val="0"/>
      <w:divBdr>
        <w:top w:val="none" w:sz="0" w:space="0" w:color="auto"/>
        <w:left w:val="none" w:sz="0" w:space="0" w:color="auto"/>
        <w:bottom w:val="none" w:sz="0" w:space="0" w:color="auto"/>
        <w:right w:val="none" w:sz="0" w:space="0" w:color="auto"/>
      </w:divBdr>
    </w:div>
    <w:div w:id="1451776642">
      <w:bodyDiv w:val="1"/>
      <w:marLeft w:val="0"/>
      <w:marRight w:val="0"/>
      <w:marTop w:val="0"/>
      <w:marBottom w:val="0"/>
      <w:divBdr>
        <w:top w:val="none" w:sz="0" w:space="0" w:color="auto"/>
        <w:left w:val="none" w:sz="0" w:space="0" w:color="auto"/>
        <w:bottom w:val="none" w:sz="0" w:space="0" w:color="auto"/>
        <w:right w:val="none" w:sz="0" w:space="0" w:color="auto"/>
      </w:divBdr>
    </w:div>
    <w:div w:id="1581794354">
      <w:bodyDiv w:val="1"/>
      <w:marLeft w:val="0"/>
      <w:marRight w:val="0"/>
      <w:marTop w:val="0"/>
      <w:marBottom w:val="0"/>
      <w:divBdr>
        <w:top w:val="none" w:sz="0" w:space="0" w:color="auto"/>
        <w:left w:val="none" w:sz="0" w:space="0" w:color="auto"/>
        <w:bottom w:val="none" w:sz="0" w:space="0" w:color="auto"/>
        <w:right w:val="none" w:sz="0" w:space="0" w:color="auto"/>
      </w:divBdr>
    </w:div>
    <w:div w:id="1583372664">
      <w:bodyDiv w:val="1"/>
      <w:marLeft w:val="0"/>
      <w:marRight w:val="0"/>
      <w:marTop w:val="0"/>
      <w:marBottom w:val="0"/>
      <w:divBdr>
        <w:top w:val="none" w:sz="0" w:space="0" w:color="auto"/>
        <w:left w:val="none" w:sz="0" w:space="0" w:color="auto"/>
        <w:bottom w:val="none" w:sz="0" w:space="0" w:color="auto"/>
        <w:right w:val="none" w:sz="0" w:space="0" w:color="auto"/>
      </w:divBdr>
    </w:div>
    <w:div w:id="1741444866">
      <w:bodyDiv w:val="1"/>
      <w:marLeft w:val="0"/>
      <w:marRight w:val="0"/>
      <w:marTop w:val="0"/>
      <w:marBottom w:val="0"/>
      <w:divBdr>
        <w:top w:val="none" w:sz="0" w:space="0" w:color="auto"/>
        <w:left w:val="none" w:sz="0" w:space="0" w:color="auto"/>
        <w:bottom w:val="none" w:sz="0" w:space="0" w:color="auto"/>
        <w:right w:val="none" w:sz="0" w:space="0" w:color="auto"/>
      </w:divBdr>
    </w:div>
    <w:div w:id="20270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geh_report_addendum_041816_clean051316.doc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0E08D-0555-4B6E-BF36-09B69342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3889</CharactersWithSpaces>
  <SharedDoc>false</SharedDoc>
  <HLinks>
    <vt:vector size="18" baseType="variant">
      <vt:variant>
        <vt:i4>4456562</vt:i4>
      </vt:variant>
      <vt:variant>
        <vt:i4>6</vt:i4>
      </vt:variant>
      <vt:variant>
        <vt:i4>0</vt:i4>
      </vt:variant>
      <vt:variant>
        <vt:i4>5</vt:i4>
      </vt:variant>
      <vt:variant>
        <vt:lpwstr>https://www.naesb.org//member_login_check.asp?doc=wgq_bps012116w1.docx</vt:lpwstr>
      </vt:variant>
      <vt:variant>
        <vt:lpwstr/>
      </vt:variant>
      <vt:variant>
        <vt:i4>2752529</vt:i4>
      </vt:variant>
      <vt:variant>
        <vt:i4>3</vt:i4>
      </vt:variant>
      <vt:variant>
        <vt:i4>0</vt:i4>
      </vt:variant>
      <vt:variant>
        <vt:i4>5</vt:i4>
      </vt:variant>
      <vt:variant>
        <vt:lpwstr>https://www.naesb.org//member_login_check.asp?doc=wgq_bps012116a1.doc</vt:lpwstr>
      </vt:variant>
      <vt:variant>
        <vt:lpwstr/>
      </vt:variant>
      <vt:variant>
        <vt:i4>5570594</vt:i4>
      </vt:variant>
      <vt:variant>
        <vt:i4>0</vt:i4>
      </vt:variant>
      <vt:variant>
        <vt:i4>0</vt:i4>
      </vt:variant>
      <vt:variant>
        <vt:i4>5</vt:i4>
      </vt:variant>
      <vt:variant>
        <vt:lpwstr>https://www.naesb.org/member_login_check.asp?doc=wgq_bps012116a1.doc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Denise Rager</cp:lastModifiedBy>
  <cp:revision>2</cp:revision>
  <cp:lastPrinted>2016-12-14T19:29:00Z</cp:lastPrinted>
  <dcterms:created xsi:type="dcterms:W3CDTF">2017-01-20T22:48:00Z</dcterms:created>
  <dcterms:modified xsi:type="dcterms:W3CDTF">2017-01-20T22:48:00Z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