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7C01" w14:textId="2A2BCDAD" w:rsidR="002F2999" w:rsidRPr="00252C87" w:rsidRDefault="0096476D" w:rsidP="009E2F69">
      <w:pPr>
        <w:ind w:left="6480"/>
        <w:rPr>
          <w:color w:val="595959" w:themeColor="text1" w:themeTint="A6"/>
          <w:sz w:val="16"/>
          <w:szCs w:val="16"/>
        </w:rPr>
      </w:pPr>
      <w:r>
        <w:rPr>
          <w:noProof/>
          <w:color w:val="595959" w:themeColor="text1" w:themeTint="A6"/>
          <w:sz w:val="16"/>
          <w:szCs w:val="16"/>
        </w:rPr>
        <w:drawing>
          <wp:anchor distT="0" distB="0" distL="114300" distR="114300" simplePos="0" relativeHeight="251658240" behindDoc="0" locked="0" layoutInCell="1" allowOverlap="1" wp14:anchorId="5C3AD0C1" wp14:editId="2EE051AF">
            <wp:simplePos x="0" y="0"/>
            <wp:positionH relativeFrom="margin">
              <wp:posOffset>-234453</wp:posOffset>
            </wp:positionH>
            <wp:positionV relativeFrom="margin">
              <wp:posOffset>-207010</wp:posOffset>
            </wp:positionV>
            <wp:extent cx="2597150" cy="993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2597150" cy="993775"/>
                    </a:xfrm>
                    <a:prstGeom prst="rect">
                      <a:avLst/>
                    </a:prstGeom>
                    <a:noFill/>
                  </pic:spPr>
                </pic:pic>
              </a:graphicData>
            </a:graphic>
            <wp14:sizeRelH relativeFrom="margin">
              <wp14:pctWidth>0</wp14:pctWidth>
            </wp14:sizeRelH>
            <wp14:sizeRelV relativeFrom="margin">
              <wp14:pctHeight>0</wp14:pctHeight>
            </wp14:sizeRelV>
          </wp:anchor>
        </w:drawing>
      </w:r>
      <w:r w:rsidR="00E424D0">
        <w:rPr>
          <w:b/>
          <w:color w:val="595959" w:themeColor="text1" w:themeTint="A6"/>
          <w:sz w:val="16"/>
          <w:szCs w:val="16"/>
        </w:rPr>
        <w:t>Cassy Koester</w:t>
      </w:r>
      <w:r w:rsidR="002F2999" w:rsidRPr="00252C87">
        <w:rPr>
          <w:color w:val="595959" w:themeColor="text1" w:themeTint="A6"/>
          <w:sz w:val="16"/>
          <w:szCs w:val="16"/>
        </w:rPr>
        <w:t xml:space="preserve">                                       </w:t>
      </w:r>
      <w:r w:rsidR="00E424D0">
        <w:rPr>
          <w:color w:val="595959" w:themeColor="text1" w:themeTint="A6"/>
          <w:sz w:val="16"/>
          <w:szCs w:val="16"/>
        </w:rPr>
        <w:t>Manager</w:t>
      </w:r>
    </w:p>
    <w:p w14:paraId="09ED69E9" w14:textId="56F88EBB" w:rsidR="002F2999" w:rsidRDefault="00E424D0" w:rsidP="009E2F69">
      <w:pPr>
        <w:ind w:left="6300" w:firstLine="180"/>
        <w:rPr>
          <w:color w:val="595959" w:themeColor="text1" w:themeTint="A6"/>
          <w:sz w:val="16"/>
          <w:szCs w:val="16"/>
        </w:rPr>
      </w:pPr>
      <w:r>
        <w:rPr>
          <w:color w:val="595959" w:themeColor="text1" w:themeTint="A6"/>
          <w:sz w:val="16"/>
          <w:szCs w:val="16"/>
        </w:rPr>
        <w:t>Gas Supply</w:t>
      </w:r>
    </w:p>
    <w:p w14:paraId="2AA41A7A" w14:textId="12824E88" w:rsidR="006A5C4A" w:rsidRPr="00252C87" w:rsidRDefault="006A5C4A" w:rsidP="009E2F69">
      <w:pPr>
        <w:ind w:left="6300" w:firstLine="180"/>
        <w:rPr>
          <w:color w:val="595959" w:themeColor="text1" w:themeTint="A6"/>
          <w:sz w:val="16"/>
          <w:szCs w:val="16"/>
        </w:rPr>
      </w:pPr>
      <w:r>
        <w:rPr>
          <w:color w:val="595959" w:themeColor="text1" w:themeTint="A6"/>
          <w:sz w:val="16"/>
          <w:szCs w:val="16"/>
        </w:rPr>
        <w:t>Xcel Energy Services Inc.</w:t>
      </w:r>
    </w:p>
    <w:p w14:paraId="15B9351E" w14:textId="7BA4F2AA" w:rsidR="002F2999" w:rsidRPr="00252C87" w:rsidRDefault="002F2999" w:rsidP="002F2999">
      <w:pPr>
        <w:tabs>
          <w:tab w:val="left" w:pos="6300"/>
        </w:tabs>
        <w:ind w:left="6300"/>
        <w:rPr>
          <w:color w:val="595959" w:themeColor="text1" w:themeTint="A6"/>
          <w:sz w:val="16"/>
          <w:szCs w:val="16"/>
        </w:rPr>
      </w:pPr>
      <w:r w:rsidRPr="00252C87">
        <w:rPr>
          <w:color w:val="595959" w:themeColor="text1" w:themeTint="A6"/>
          <w:sz w:val="16"/>
          <w:szCs w:val="16"/>
        </w:rPr>
        <w:t xml:space="preserve">                                                </w:t>
      </w:r>
    </w:p>
    <w:p w14:paraId="7D378847" w14:textId="662EC658" w:rsidR="002F2999" w:rsidRPr="00252C87" w:rsidRDefault="002F2999" w:rsidP="009E2F69">
      <w:pPr>
        <w:tabs>
          <w:tab w:val="left" w:pos="6300"/>
        </w:tabs>
        <w:ind w:left="6480" w:right="-90"/>
        <w:rPr>
          <w:color w:val="595959" w:themeColor="text1" w:themeTint="A6"/>
          <w:sz w:val="16"/>
          <w:szCs w:val="16"/>
        </w:rPr>
      </w:pPr>
      <w:r w:rsidRPr="00252C87">
        <w:rPr>
          <w:color w:val="595959" w:themeColor="text1" w:themeTint="A6"/>
          <w:sz w:val="16"/>
          <w:szCs w:val="16"/>
        </w:rPr>
        <w:t>1800 Larimer Street, Suite 1</w:t>
      </w:r>
      <w:r w:rsidR="000F4BD9">
        <w:rPr>
          <w:color w:val="595959" w:themeColor="text1" w:themeTint="A6"/>
          <w:sz w:val="16"/>
          <w:szCs w:val="16"/>
        </w:rPr>
        <w:t>0</w:t>
      </w:r>
      <w:r w:rsidRPr="00252C87">
        <w:rPr>
          <w:color w:val="595959" w:themeColor="text1" w:themeTint="A6"/>
          <w:sz w:val="16"/>
          <w:szCs w:val="16"/>
        </w:rPr>
        <w:t xml:space="preserve">00                                                 Denver, CO  80202 </w:t>
      </w:r>
    </w:p>
    <w:p w14:paraId="5673F777" w14:textId="74C3F153" w:rsidR="002F2999" w:rsidRPr="00252C87" w:rsidRDefault="009E2F69" w:rsidP="002F2999">
      <w:pPr>
        <w:tabs>
          <w:tab w:val="left" w:pos="6300"/>
        </w:tabs>
        <w:ind w:left="6300" w:right="-90"/>
        <w:rPr>
          <w:color w:val="595959" w:themeColor="text1" w:themeTint="A6"/>
          <w:sz w:val="16"/>
          <w:szCs w:val="16"/>
        </w:rPr>
      </w:pPr>
      <w:r>
        <w:rPr>
          <w:color w:val="595959" w:themeColor="text1" w:themeTint="A6"/>
          <w:sz w:val="16"/>
          <w:szCs w:val="16"/>
        </w:rPr>
        <w:tab/>
      </w:r>
      <w:r w:rsidR="002F2999" w:rsidRPr="00252C87">
        <w:rPr>
          <w:color w:val="595959" w:themeColor="text1" w:themeTint="A6"/>
          <w:sz w:val="16"/>
          <w:szCs w:val="16"/>
        </w:rPr>
        <w:t>(303)</w:t>
      </w:r>
      <w:r w:rsidR="006A5C4A">
        <w:rPr>
          <w:color w:val="595959" w:themeColor="text1" w:themeTint="A6"/>
          <w:sz w:val="16"/>
          <w:szCs w:val="16"/>
        </w:rPr>
        <w:t>571-</w:t>
      </w:r>
      <w:r w:rsidR="000F4BD9">
        <w:rPr>
          <w:color w:val="595959" w:themeColor="text1" w:themeTint="A6"/>
          <w:sz w:val="16"/>
          <w:szCs w:val="16"/>
        </w:rPr>
        <w:t>2826</w:t>
      </w:r>
    </w:p>
    <w:p w14:paraId="39E96AD2" w14:textId="73902F65" w:rsidR="002F2999" w:rsidRPr="00252C87" w:rsidRDefault="009E2F69" w:rsidP="002F2999">
      <w:pPr>
        <w:tabs>
          <w:tab w:val="left" w:pos="6300"/>
        </w:tabs>
        <w:ind w:left="6300"/>
        <w:rPr>
          <w:sz w:val="16"/>
          <w:szCs w:val="16"/>
        </w:rPr>
      </w:pPr>
      <w:r>
        <w:rPr>
          <w:sz w:val="16"/>
          <w:szCs w:val="16"/>
        </w:rPr>
        <w:tab/>
      </w:r>
      <w:r w:rsidR="000F4BD9" w:rsidRPr="000F4BD9">
        <w:rPr>
          <w:sz w:val="16"/>
          <w:szCs w:val="16"/>
        </w:rPr>
        <w:t>Cassy.koester@xcelenergy.com</w:t>
      </w:r>
      <w:r w:rsidR="006A5C4A">
        <w:rPr>
          <w:sz w:val="16"/>
          <w:szCs w:val="16"/>
        </w:rPr>
        <w:t xml:space="preserve"> </w:t>
      </w:r>
    </w:p>
    <w:p w14:paraId="4AB3C4EB" w14:textId="77777777" w:rsidR="002F2999" w:rsidRPr="00252C87" w:rsidRDefault="002F2999" w:rsidP="002F2999">
      <w:pPr>
        <w:tabs>
          <w:tab w:val="left" w:pos="6300"/>
        </w:tabs>
        <w:ind w:left="6300"/>
        <w:rPr>
          <w:sz w:val="16"/>
          <w:szCs w:val="16"/>
        </w:rPr>
      </w:pPr>
    </w:p>
    <w:p w14:paraId="386B7FFB" w14:textId="77777777" w:rsidR="002F2999" w:rsidRPr="004227DB" w:rsidRDefault="002F2999" w:rsidP="002F2999">
      <w:pPr>
        <w:tabs>
          <w:tab w:val="left" w:pos="6300"/>
        </w:tabs>
        <w:ind w:left="6300" w:right="1080"/>
        <w:jc w:val="both"/>
        <w:rPr>
          <w:rFonts w:cs="Arial"/>
          <w:sz w:val="20"/>
          <w:szCs w:val="20"/>
        </w:rPr>
      </w:pPr>
    </w:p>
    <w:p w14:paraId="359390A0" w14:textId="651E592D" w:rsidR="006A5C4A" w:rsidRPr="008C0E22" w:rsidRDefault="006A5C4A" w:rsidP="006A5C4A">
      <w:pPr>
        <w:textAlignment w:val="baseline"/>
        <w:rPr>
          <w:rFonts w:ascii="Garamond" w:hAnsi="Garamond"/>
        </w:rPr>
      </w:pPr>
      <w:r w:rsidRPr="004D5A83">
        <w:rPr>
          <w:rFonts w:ascii="Garamond" w:hAnsi="Garamond"/>
        </w:rPr>
        <w:t xml:space="preserve">September </w:t>
      </w:r>
      <w:r w:rsidR="00046DB5" w:rsidRPr="004D5A83">
        <w:rPr>
          <w:rFonts w:ascii="Garamond" w:hAnsi="Garamond"/>
        </w:rPr>
        <w:t>25</w:t>
      </w:r>
      <w:r w:rsidRPr="004D5A83">
        <w:rPr>
          <w:rFonts w:ascii="Garamond" w:hAnsi="Garamond"/>
        </w:rPr>
        <w:t>, 2023</w:t>
      </w:r>
    </w:p>
    <w:p w14:paraId="7920077D" w14:textId="77777777" w:rsidR="006A5C4A" w:rsidRPr="008C0E22" w:rsidRDefault="006A5C4A" w:rsidP="006A5C4A">
      <w:pPr>
        <w:textAlignment w:val="baseline"/>
        <w:rPr>
          <w:rFonts w:ascii="Garamond" w:hAnsi="Garamond"/>
        </w:rPr>
      </w:pPr>
    </w:p>
    <w:p w14:paraId="5CCC3D8B" w14:textId="77777777" w:rsidR="006A5C4A" w:rsidRPr="008C0E22" w:rsidRDefault="006A5C4A" w:rsidP="006A5C4A">
      <w:pPr>
        <w:textAlignment w:val="baseline"/>
        <w:rPr>
          <w:rFonts w:ascii="Garamond" w:hAnsi="Garamond"/>
        </w:rPr>
      </w:pPr>
      <w:r w:rsidRPr="008C0E22">
        <w:rPr>
          <w:rFonts w:ascii="Garamond" w:hAnsi="Garamond"/>
        </w:rPr>
        <w:t>Rae McQuade, President</w:t>
      </w:r>
    </w:p>
    <w:p w14:paraId="2261F682" w14:textId="77777777" w:rsidR="006A5C4A" w:rsidRPr="008C0E22" w:rsidRDefault="006A5C4A" w:rsidP="006A5C4A">
      <w:pPr>
        <w:textAlignment w:val="baseline"/>
        <w:rPr>
          <w:rFonts w:ascii="Garamond" w:hAnsi="Garamond"/>
        </w:rPr>
      </w:pPr>
      <w:r w:rsidRPr="008C0E22">
        <w:rPr>
          <w:rFonts w:ascii="Garamond" w:hAnsi="Garamond"/>
        </w:rPr>
        <w:t>North American Energy Standards Board</w:t>
      </w:r>
    </w:p>
    <w:p w14:paraId="233A9A1E" w14:textId="77777777" w:rsidR="006A5C4A" w:rsidRPr="008C0E22" w:rsidRDefault="006A5C4A" w:rsidP="006A5C4A">
      <w:pPr>
        <w:textAlignment w:val="baseline"/>
        <w:rPr>
          <w:rFonts w:ascii="Garamond" w:hAnsi="Garamond"/>
        </w:rPr>
      </w:pPr>
      <w:r w:rsidRPr="008C0E22">
        <w:rPr>
          <w:rFonts w:ascii="Garamond" w:hAnsi="Garamond"/>
        </w:rPr>
        <w:t>1415 Louisiana, Suite 3460</w:t>
      </w:r>
    </w:p>
    <w:p w14:paraId="1A372FEA" w14:textId="47687C64" w:rsidR="006A5C4A" w:rsidRPr="008C0E22" w:rsidRDefault="006A5C4A" w:rsidP="006A5C4A">
      <w:pPr>
        <w:textAlignment w:val="baseline"/>
        <w:rPr>
          <w:rFonts w:ascii="Garamond" w:hAnsi="Garamond"/>
        </w:rPr>
      </w:pPr>
      <w:r w:rsidRPr="008C0E22">
        <w:rPr>
          <w:rFonts w:ascii="Garamond" w:hAnsi="Garamond"/>
        </w:rPr>
        <w:t>Houston, TX 770</w:t>
      </w:r>
      <w:r w:rsidR="00E424D0">
        <w:rPr>
          <w:rFonts w:ascii="Garamond" w:hAnsi="Garamond"/>
        </w:rPr>
        <w:t>0</w:t>
      </w:r>
      <w:r w:rsidRPr="008C0E22">
        <w:rPr>
          <w:rFonts w:ascii="Garamond" w:hAnsi="Garamond"/>
        </w:rPr>
        <w:t>2</w:t>
      </w:r>
    </w:p>
    <w:p w14:paraId="5235F4A1" w14:textId="77777777" w:rsidR="006A5C4A" w:rsidRPr="008C0E22" w:rsidRDefault="006A5C4A" w:rsidP="006A5C4A">
      <w:pPr>
        <w:textAlignment w:val="baseline"/>
        <w:rPr>
          <w:rFonts w:ascii="Garamond" w:hAnsi="Garamond"/>
        </w:rPr>
      </w:pPr>
      <w:r w:rsidRPr="008C0E22">
        <w:rPr>
          <w:rFonts w:ascii="Garamond" w:hAnsi="Garamond"/>
        </w:rPr>
        <w:t>naesb@naesb.org</w:t>
      </w:r>
    </w:p>
    <w:p w14:paraId="7AF6AF68" w14:textId="77777777" w:rsidR="006A5C4A" w:rsidRPr="008C0E22" w:rsidRDefault="006A5C4A" w:rsidP="006A5C4A">
      <w:pPr>
        <w:textAlignment w:val="baseline"/>
        <w:rPr>
          <w:rFonts w:ascii="Garamond" w:hAnsi="Garamond"/>
        </w:rPr>
      </w:pPr>
    </w:p>
    <w:p w14:paraId="64B430B3" w14:textId="77777777" w:rsidR="006A5C4A" w:rsidRPr="008C0E22" w:rsidRDefault="006A5C4A" w:rsidP="006A5C4A">
      <w:pPr>
        <w:tabs>
          <w:tab w:val="center" w:pos="4680"/>
          <w:tab w:val="right" w:pos="9360"/>
        </w:tabs>
        <w:ind w:left="720"/>
        <w:rPr>
          <w:rFonts w:ascii="Garamond" w:hAnsi="Garamond"/>
        </w:rPr>
      </w:pPr>
      <w:r w:rsidRPr="008C0E22">
        <w:rPr>
          <w:rFonts w:ascii="Garamond" w:hAnsi="Garamond"/>
        </w:rPr>
        <w:t>Re: Request for Initiation of a NAESB Standard for Electronic Business Transactions or</w:t>
      </w:r>
    </w:p>
    <w:p w14:paraId="6FBD300C" w14:textId="77777777" w:rsidR="006A5C4A" w:rsidRPr="008C0E22" w:rsidRDefault="006A5C4A" w:rsidP="006A5C4A">
      <w:pPr>
        <w:tabs>
          <w:tab w:val="center" w:pos="4680"/>
          <w:tab w:val="right" w:pos="9360"/>
        </w:tabs>
        <w:ind w:left="720"/>
        <w:rPr>
          <w:rFonts w:ascii="Garamond" w:hAnsi="Garamond"/>
        </w:rPr>
      </w:pPr>
      <w:r w:rsidRPr="008C0E22">
        <w:rPr>
          <w:rFonts w:ascii="Garamond" w:hAnsi="Garamond"/>
        </w:rPr>
        <w:t>Request for Enhancement of a NAESB Standard for Electronic Business Transactions – R23001</w:t>
      </w:r>
    </w:p>
    <w:p w14:paraId="47E92136" w14:textId="77777777" w:rsidR="006A5C4A" w:rsidRPr="008C0E22" w:rsidRDefault="006A5C4A" w:rsidP="006A5C4A">
      <w:pPr>
        <w:tabs>
          <w:tab w:val="center" w:pos="4680"/>
          <w:tab w:val="right" w:pos="9360"/>
        </w:tabs>
        <w:ind w:left="720"/>
        <w:rPr>
          <w:rFonts w:ascii="Garamond" w:hAnsi="Garamond"/>
        </w:rPr>
      </w:pPr>
    </w:p>
    <w:p w14:paraId="55AC0156" w14:textId="77777777" w:rsidR="006A5C4A" w:rsidRPr="008C0E22" w:rsidRDefault="006A5C4A" w:rsidP="006A5C4A">
      <w:pPr>
        <w:tabs>
          <w:tab w:val="center" w:pos="4680"/>
          <w:tab w:val="right" w:pos="9360"/>
        </w:tabs>
        <w:ind w:left="720"/>
        <w:rPr>
          <w:rFonts w:ascii="Garamond" w:hAnsi="Garamond"/>
        </w:rPr>
      </w:pPr>
      <w:r w:rsidRPr="008C0E22">
        <w:rPr>
          <w:rFonts w:ascii="Garamond" w:hAnsi="Garamond"/>
        </w:rPr>
        <w:t>Enhancement to the NAESB Base Contract for Sale and Purchase of Natural Gas Force Majeure Terms</w:t>
      </w:r>
    </w:p>
    <w:p w14:paraId="42BC2F96" w14:textId="77777777" w:rsidR="006A5C4A" w:rsidRPr="008C0E22" w:rsidRDefault="006A5C4A" w:rsidP="006A5C4A">
      <w:pPr>
        <w:tabs>
          <w:tab w:val="center" w:pos="4680"/>
          <w:tab w:val="right" w:pos="9360"/>
        </w:tabs>
        <w:rPr>
          <w:rFonts w:ascii="Garamond" w:hAnsi="Garamond"/>
        </w:rPr>
      </w:pPr>
    </w:p>
    <w:p w14:paraId="487A642F" w14:textId="77777777" w:rsidR="006A5C4A" w:rsidRPr="008C0E22" w:rsidRDefault="006A5C4A" w:rsidP="006A5C4A">
      <w:pPr>
        <w:textAlignment w:val="baseline"/>
        <w:rPr>
          <w:rFonts w:ascii="Garamond" w:hAnsi="Garamond"/>
        </w:rPr>
      </w:pPr>
      <w:r w:rsidRPr="008C0E22">
        <w:rPr>
          <w:rFonts w:ascii="Garamond" w:hAnsi="Garamond"/>
        </w:rPr>
        <w:t>Dear Ms. McQuade:</w:t>
      </w:r>
    </w:p>
    <w:p w14:paraId="1A623EFC" w14:textId="77777777" w:rsidR="006A5C4A" w:rsidRPr="008C0E22" w:rsidRDefault="006A5C4A" w:rsidP="006A5C4A">
      <w:pPr>
        <w:ind w:firstLine="720"/>
        <w:textAlignment w:val="baseline"/>
        <w:rPr>
          <w:rFonts w:ascii="Garamond" w:hAnsi="Garamond"/>
        </w:rPr>
      </w:pPr>
    </w:p>
    <w:p w14:paraId="46171034" w14:textId="7359E48C" w:rsidR="006A5C4A" w:rsidRPr="008C0E22" w:rsidRDefault="006A5C4A" w:rsidP="006A5C4A">
      <w:pPr>
        <w:rPr>
          <w:rFonts w:ascii="Garamond" w:hAnsi="Garamond"/>
          <w:color w:val="000000"/>
        </w:rPr>
      </w:pPr>
      <w:r w:rsidRPr="008C0E22">
        <w:rPr>
          <w:rFonts w:ascii="Garamond" w:hAnsi="Garamond"/>
          <w:color w:val="000000"/>
        </w:rPr>
        <w:t>Xcel Energy Services Inc. (XES), on behalf of its affiliate operating companies Northern States Power Company, a Minnesota corporation; Northern States Power Company, a Wisconsin corporation; Southwestern Public Service Company; and Public Service Company of Colorado submits these</w:t>
      </w:r>
      <w:r w:rsidR="00D011B9">
        <w:rPr>
          <w:rFonts w:ascii="Garamond" w:hAnsi="Garamond"/>
          <w:color w:val="000000"/>
        </w:rPr>
        <w:t xml:space="preserve"> formal</w:t>
      </w:r>
      <w:r w:rsidRPr="008C0E22">
        <w:rPr>
          <w:rFonts w:ascii="Garamond" w:hAnsi="Garamond"/>
          <w:color w:val="000000"/>
        </w:rPr>
        <w:t xml:space="preserve"> comments in response to</w:t>
      </w:r>
      <w:r w:rsidR="00D011B9">
        <w:rPr>
          <w:rFonts w:ascii="Garamond" w:hAnsi="Garamond"/>
          <w:color w:val="000000"/>
        </w:rPr>
        <w:t xml:space="preserve"> the No Action Recommendation vote that passed during the WGQ Contracts Subcommittee meeting on September 14, 2023. </w:t>
      </w:r>
      <w:r w:rsidRPr="00046DB5">
        <w:rPr>
          <w:rFonts w:ascii="Garamond" w:hAnsi="Garamond"/>
          <w:color w:val="000000"/>
        </w:rPr>
        <w:t xml:space="preserve">We urge </w:t>
      </w:r>
      <w:proofErr w:type="gramStart"/>
      <w:r w:rsidRPr="00046DB5">
        <w:rPr>
          <w:rFonts w:ascii="Garamond" w:hAnsi="Garamond"/>
          <w:color w:val="000000"/>
        </w:rPr>
        <w:t>NAESB</w:t>
      </w:r>
      <w:r w:rsidR="00420970">
        <w:rPr>
          <w:rFonts w:ascii="Garamond" w:hAnsi="Garamond"/>
          <w:color w:val="000000"/>
        </w:rPr>
        <w:t xml:space="preserve">’s </w:t>
      </w:r>
      <w:r w:rsidR="00D011B9" w:rsidRPr="00046DB5">
        <w:rPr>
          <w:rFonts w:ascii="Garamond" w:hAnsi="Garamond"/>
          <w:color w:val="000000"/>
        </w:rPr>
        <w:t xml:space="preserve"> WGQ</w:t>
      </w:r>
      <w:proofErr w:type="gramEnd"/>
      <w:r w:rsidR="00D011B9" w:rsidRPr="00046DB5">
        <w:rPr>
          <w:rFonts w:ascii="Garamond" w:hAnsi="Garamond"/>
          <w:color w:val="000000"/>
        </w:rPr>
        <w:t xml:space="preserve"> Executive Committee</w:t>
      </w:r>
      <w:r w:rsidRPr="00046DB5">
        <w:rPr>
          <w:rFonts w:ascii="Garamond" w:hAnsi="Garamond"/>
          <w:color w:val="000000"/>
        </w:rPr>
        <w:t xml:space="preserve"> to move this process forward in a good faith effort to develop consensus-based improvements to the </w:t>
      </w:r>
      <w:r w:rsidRPr="00046DB5">
        <w:rPr>
          <w:rFonts w:ascii="Garamond" w:hAnsi="Garamond"/>
          <w:i/>
          <w:iCs/>
          <w:color w:val="000000"/>
        </w:rPr>
        <w:t xml:space="preserve">force majeure </w:t>
      </w:r>
      <w:r w:rsidRPr="00046DB5">
        <w:rPr>
          <w:rFonts w:ascii="Garamond" w:hAnsi="Garamond"/>
          <w:color w:val="000000"/>
        </w:rPr>
        <w:t>provisions of the Contract.</w:t>
      </w:r>
    </w:p>
    <w:p w14:paraId="7DD57FBE" w14:textId="77777777" w:rsidR="006A5C4A" w:rsidRPr="008C0E22" w:rsidRDefault="006A5C4A" w:rsidP="006A5C4A">
      <w:pPr>
        <w:rPr>
          <w:rFonts w:ascii="Garamond" w:hAnsi="Garamond"/>
          <w:color w:val="000000"/>
        </w:rPr>
      </w:pPr>
    </w:p>
    <w:p w14:paraId="02928899" w14:textId="0ADC6D06" w:rsidR="006A5C4A" w:rsidRPr="008C0E22" w:rsidRDefault="006A5C4A" w:rsidP="006A5C4A">
      <w:pPr>
        <w:rPr>
          <w:rFonts w:ascii="Garamond" w:hAnsi="Garamond"/>
          <w:color w:val="000000"/>
        </w:rPr>
      </w:pPr>
      <w:r w:rsidRPr="008C0E22">
        <w:rPr>
          <w:rFonts w:ascii="Garamond" w:hAnsi="Garamond"/>
          <w:color w:val="000000"/>
        </w:rPr>
        <w:t>A strength of the NAESB process is the historic</w:t>
      </w:r>
      <w:r>
        <w:rPr>
          <w:rFonts w:ascii="Garamond" w:hAnsi="Garamond"/>
          <w:color w:val="000000"/>
        </w:rPr>
        <w:t>al</w:t>
      </w:r>
      <w:r w:rsidRPr="008C0E22">
        <w:rPr>
          <w:rFonts w:ascii="Garamond" w:hAnsi="Garamond"/>
          <w:color w:val="000000"/>
        </w:rPr>
        <w:t xml:space="preserve"> willingness of representatives of various sectors to come together in good faith to work through important issues.  As discussed below, recent </w:t>
      </w:r>
      <w:r w:rsidR="00420970">
        <w:rPr>
          <w:rFonts w:ascii="Garamond" w:hAnsi="Garamond"/>
          <w:color w:val="000000"/>
        </w:rPr>
        <w:t>experience</w:t>
      </w:r>
      <w:r w:rsidR="00420970" w:rsidRPr="008C0E22">
        <w:rPr>
          <w:rFonts w:ascii="Garamond" w:hAnsi="Garamond"/>
          <w:color w:val="000000"/>
        </w:rPr>
        <w:t xml:space="preserve"> </w:t>
      </w:r>
      <w:r w:rsidRPr="008C0E22">
        <w:rPr>
          <w:rFonts w:ascii="Garamond" w:hAnsi="Garamond"/>
          <w:color w:val="000000"/>
        </w:rPr>
        <w:t>suggests a need to revisit expectations of gas suppliers and gas purchasers regarding cold weather events to ensure the availability of natural gas to service electric and natural gas customers.  Termination of this process before it even begins will perpetuate a status quo that is failing to meet the needs of the country.</w:t>
      </w:r>
    </w:p>
    <w:p w14:paraId="4A8F10B3" w14:textId="77777777" w:rsidR="006A5C4A" w:rsidRPr="008C0E22" w:rsidRDefault="006A5C4A" w:rsidP="006A5C4A">
      <w:pPr>
        <w:rPr>
          <w:rFonts w:ascii="Garamond" w:hAnsi="Garamond"/>
          <w:color w:val="000000"/>
        </w:rPr>
      </w:pPr>
    </w:p>
    <w:p w14:paraId="6D8088EE" w14:textId="77777777" w:rsidR="006A5C4A" w:rsidRPr="008C0E22" w:rsidRDefault="006A5C4A" w:rsidP="006A5C4A">
      <w:pPr>
        <w:rPr>
          <w:rFonts w:ascii="Garamond" w:hAnsi="Garamond"/>
          <w:color w:val="000000"/>
        </w:rPr>
      </w:pPr>
      <w:r w:rsidRPr="008C0E22">
        <w:rPr>
          <w:rFonts w:ascii="Garamond" w:hAnsi="Garamond"/>
          <w:color w:val="000000"/>
        </w:rPr>
        <w:t xml:space="preserve">The stakeholder process undertaken by the Southwest Power </w:t>
      </w:r>
      <w:proofErr w:type="gramStart"/>
      <w:r w:rsidRPr="008C0E22">
        <w:rPr>
          <w:rFonts w:ascii="Garamond" w:hAnsi="Garamond"/>
          <w:color w:val="000000"/>
        </w:rPr>
        <w:t>Pool,</w:t>
      </w:r>
      <w:proofErr w:type="gramEnd"/>
      <w:r w:rsidRPr="008C0E22">
        <w:rPr>
          <w:rFonts w:ascii="Garamond" w:hAnsi="Garamond"/>
          <w:color w:val="000000"/>
        </w:rPr>
        <w:t xml:space="preserve"> Inc. (SPP) that led to the initiation of this proceeding was precipitated at least in part by the gas supply interruptions experienced in the southwest during Winter Storm Uri (Uri) in February, 2021.  A report issued by the Federal Energy Regulatory Commission (FERC) and the North American Electric Reliability </w:t>
      </w:r>
      <w:r w:rsidRPr="008C0E22">
        <w:rPr>
          <w:rFonts w:ascii="Garamond" w:hAnsi="Garamond"/>
          <w:color w:val="000000"/>
        </w:rPr>
        <w:lastRenderedPageBreak/>
        <w:t>Corporation (NERC) relating to electric supply interruptions experienced during Uri identified the primary cause of that event to be failure of generating units unprepared for cold weather.</w:t>
      </w:r>
      <w:r w:rsidRPr="008C0E22">
        <w:rPr>
          <w:rStyle w:val="FootnoteReference"/>
          <w:rFonts w:ascii="Garamond" w:hAnsi="Garamond"/>
          <w:color w:val="000000"/>
        </w:rPr>
        <w:footnoteReference w:id="1"/>
      </w:r>
      <w:r w:rsidRPr="008C0E22">
        <w:rPr>
          <w:rFonts w:ascii="Garamond" w:hAnsi="Garamond"/>
          <w:color w:val="000000"/>
        </w:rPr>
        <w:t xml:space="preserve"> </w:t>
      </w:r>
    </w:p>
    <w:p w14:paraId="77120480" w14:textId="77777777" w:rsidR="006A5C4A" w:rsidRPr="008C0E22" w:rsidRDefault="006A5C4A" w:rsidP="006A5C4A">
      <w:pPr>
        <w:rPr>
          <w:rFonts w:ascii="Garamond" w:hAnsi="Garamond"/>
          <w:color w:val="000000"/>
        </w:rPr>
      </w:pPr>
    </w:p>
    <w:p w14:paraId="09438E07" w14:textId="77777777" w:rsidR="006A5C4A" w:rsidRDefault="006A5C4A" w:rsidP="006A5C4A">
      <w:pPr>
        <w:rPr>
          <w:rFonts w:ascii="Garamond" w:hAnsi="Garamond"/>
          <w:color w:val="000000"/>
        </w:rPr>
      </w:pPr>
      <w:r w:rsidRPr="008C0E22">
        <w:rPr>
          <w:rFonts w:ascii="Garamond" w:hAnsi="Garamond"/>
          <w:color w:val="000000"/>
        </w:rPr>
        <w:t>A secondary cause of the event was significant gas production declines leading to loss of fuel to gas generators.  Between February 8 and February 17, 2021, natural gas production in the lower 48 states fell by 28%.  In at least portions of Texas, Louisiana, and Oklahoma, gas production fell 50% when compared to January 2021.</w:t>
      </w:r>
      <w:r w:rsidRPr="008C0E22">
        <w:rPr>
          <w:rStyle w:val="FootnoteReference"/>
          <w:rFonts w:ascii="Garamond" w:hAnsi="Garamond"/>
          <w:color w:val="000000"/>
        </w:rPr>
        <w:footnoteReference w:id="2"/>
      </w:r>
      <w:r w:rsidRPr="008C0E22">
        <w:rPr>
          <w:rFonts w:ascii="Garamond" w:hAnsi="Garamond"/>
          <w:color w:val="000000"/>
        </w:rPr>
        <w:t xml:space="preserve">   The Report indicates that 31% of generating unit failures were attributable to lack of natural gas.</w:t>
      </w:r>
      <w:r w:rsidRPr="008C0E22">
        <w:rPr>
          <w:rStyle w:val="FootnoteReference"/>
          <w:rFonts w:ascii="Garamond" w:hAnsi="Garamond"/>
          <w:color w:val="000000"/>
        </w:rPr>
        <w:footnoteReference w:id="3"/>
      </w:r>
    </w:p>
    <w:p w14:paraId="7FAC48D4" w14:textId="77777777" w:rsidR="006A5C4A" w:rsidRPr="008C0E22" w:rsidRDefault="006A5C4A" w:rsidP="006A5C4A">
      <w:pPr>
        <w:rPr>
          <w:rFonts w:ascii="Garamond" w:hAnsi="Garamond"/>
          <w:color w:val="000000"/>
        </w:rPr>
      </w:pPr>
    </w:p>
    <w:p w14:paraId="0F72E641" w14:textId="77777777" w:rsidR="006A5C4A" w:rsidRPr="008C0E22" w:rsidRDefault="006A5C4A" w:rsidP="00046DB5">
      <w:pPr>
        <w:jc w:val="center"/>
        <w:rPr>
          <w:rFonts w:ascii="Garamond" w:hAnsi="Garamond"/>
          <w:color w:val="000000"/>
        </w:rPr>
      </w:pPr>
      <w:r w:rsidRPr="008C0E22">
        <w:rPr>
          <w:rFonts w:ascii="Garamond" w:hAnsi="Garamond"/>
          <w:noProof/>
          <w:color w:val="000000"/>
        </w:rPr>
        <w:drawing>
          <wp:inline distT="0" distB="0" distL="0" distR="0" wp14:anchorId="4E914661" wp14:editId="3645E250">
            <wp:extent cx="2411822" cy="139323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5230" cy="1400984"/>
                    </a:xfrm>
                    <a:prstGeom prst="rect">
                      <a:avLst/>
                    </a:prstGeom>
                  </pic:spPr>
                </pic:pic>
              </a:graphicData>
            </a:graphic>
          </wp:inline>
        </w:drawing>
      </w:r>
    </w:p>
    <w:p w14:paraId="45F7FB31" w14:textId="77777777" w:rsidR="006A5C4A" w:rsidRPr="008C0E22" w:rsidRDefault="006A5C4A" w:rsidP="006A5C4A">
      <w:pPr>
        <w:rPr>
          <w:rFonts w:ascii="Garamond" w:hAnsi="Garamond"/>
          <w:color w:val="000000"/>
        </w:rPr>
      </w:pPr>
    </w:p>
    <w:p w14:paraId="556C6DC0" w14:textId="77777777" w:rsidR="006A5C4A" w:rsidRPr="008C0E22" w:rsidRDefault="006A5C4A" w:rsidP="006A5C4A">
      <w:pPr>
        <w:rPr>
          <w:rFonts w:ascii="Garamond" w:hAnsi="Garamond"/>
          <w:color w:val="000000"/>
        </w:rPr>
      </w:pPr>
      <w:r w:rsidRPr="008C0E22">
        <w:rPr>
          <w:rFonts w:ascii="Garamond" w:hAnsi="Garamond"/>
          <w:color w:val="000000"/>
        </w:rPr>
        <w:t>The Report also indicates that at least 210 people died during Uri, with most of those deaths attributable to power outages.</w:t>
      </w:r>
      <w:r w:rsidRPr="008C0E22">
        <w:rPr>
          <w:rStyle w:val="FootnoteReference"/>
          <w:rFonts w:ascii="Garamond" w:hAnsi="Garamond"/>
          <w:color w:val="000000"/>
        </w:rPr>
        <w:footnoteReference w:id="4"/>
      </w:r>
      <w:r w:rsidRPr="008C0E22">
        <w:rPr>
          <w:rFonts w:ascii="Garamond" w:hAnsi="Garamond"/>
          <w:color w:val="000000"/>
        </w:rPr>
        <w:t xml:space="preserve">  </w:t>
      </w:r>
    </w:p>
    <w:p w14:paraId="3BBB4E9E" w14:textId="77777777" w:rsidR="006A5C4A" w:rsidRPr="008C0E22" w:rsidRDefault="006A5C4A" w:rsidP="006A5C4A">
      <w:pPr>
        <w:rPr>
          <w:rFonts w:ascii="Garamond" w:hAnsi="Garamond"/>
          <w:color w:val="000000"/>
        </w:rPr>
      </w:pPr>
    </w:p>
    <w:p w14:paraId="1BC3E482" w14:textId="77777777" w:rsidR="006A5C4A" w:rsidRPr="008C0E22" w:rsidRDefault="006A5C4A" w:rsidP="006A5C4A">
      <w:pPr>
        <w:rPr>
          <w:rFonts w:ascii="Garamond" w:hAnsi="Garamond"/>
          <w:color w:val="000000"/>
        </w:rPr>
      </w:pPr>
      <w:r w:rsidRPr="008C0E22">
        <w:rPr>
          <w:rFonts w:ascii="Garamond" w:hAnsi="Garamond"/>
          <w:color w:val="000000"/>
        </w:rPr>
        <w:t xml:space="preserve">Uri was followed by another extreme weather event in the northeastern part of the country in </w:t>
      </w:r>
      <w:proofErr w:type="gramStart"/>
      <w:r w:rsidRPr="008C0E22">
        <w:rPr>
          <w:rFonts w:ascii="Garamond" w:hAnsi="Garamond"/>
          <w:color w:val="000000"/>
        </w:rPr>
        <w:t>December,</w:t>
      </w:r>
      <w:proofErr w:type="gramEnd"/>
      <w:r w:rsidRPr="008C0E22">
        <w:rPr>
          <w:rFonts w:ascii="Garamond" w:hAnsi="Garamond"/>
          <w:color w:val="000000"/>
        </w:rPr>
        <w:t xml:space="preserve"> 2022:  Winter Storm Elliott (Elliott).  PJM indicates that 24% of its generating capacity was offline, with 70% of those unplanned outages involving gas-fired generators.  PJM has concluded that most of the generating unit outages were attributable to generating equipment failures due to extreme cold though broader issues of gas availability also contributed to outages.</w:t>
      </w:r>
      <w:r w:rsidRPr="008C0E22">
        <w:rPr>
          <w:rStyle w:val="FootnoteReference"/>
          <w:rFonts w:ascii="Garamond" w:hAnsi="Garamond"/>
          <w:color w:val="000000"/>
        </w:rPr>
        <w:footnoteReference w:id="5"/>
      </w:r>
      <w:r w:rsidRPr="008C0E22">
        <w:rPr>
          <w:rFonts w:ascii="Garamond" w:hAnsi="Garamond"/>
          <w:color w:val="000000"/>
        </w:rPr>
        <w:t xml:space="preserve">  </w:t>
      </w:r>
      <w:r>
        <w:rPr>
          <w:rFonts w:ascii="Garamond" w:hAnsi="Garamond"/>
          <w:color w:val="000000"/>
        </w:rPr>
        <w:t>S</w:t>
      </w:r>
      <w:r w:rsidRPr="008C0E22">
        <w:rPr>
          <w:rFonts w:ascii="Garamond" w:hAnsi="Garamond"/>
          <w:color w:val="000000"/>
        </w:rPr>
        <w:t>pecifically, natural gas output in the Appalachian Basin dropped by 27% during Elliott, the steepest decline since 2013.  Elliott affected almost 250 million residents in the U</w:t>
      </w:r>
      <w:r>
        <w:rPr>
          <w:rFonts w:ascii="Garamond" w:hAnsi="Garamond"/>
          <w:color w:val="000000"/>
        </w:rPr>
        <w:t>nited States</w:t>
      </w:r>
      <w:r w:rsidRPr="008C0E22">
        <w:rPr>
          <w:rFonts w:ascii="Garamond" w:hAnsi="Garamond"/>
          <w:color w:val="000000"/>
        </w:rPr>
        <w:t xml:space="preserve"> and Canada, and dozens of people are believed to have died due to the storm.</w:t>
      </w:r>
      <w:r w:rsidRPr="008C0E22">
        <w:rPr>
          <w:rStyle w:val="FootnoteReference"/>
          <w:rFonts w:ascii="Garamond" w:hAnsi="Garamond"/>
          <w:color w:val="000000"/>
        </w:rPr>
        <w:footnoteReference w:id="6"/>
      </w:r>
      <w:r w:rsidRPr="008C0E22">
        <w:rPr>
          <w:rFonts w:ascii="Garamond" w:hAnsi="Garamond"/>
          <w:color w:val="000000"/>
        </w:rPr>
        <w:t xml:space="preserve">  FERC and NERC have initiated an investigation into the causes of unit outages during Elliott and we expect the report on this investigation to provide a clearer picture of the impact of natural gas production shortages on generator availability during the storm.</w:t>
      </w:r>
    </w:p>
    <w:p w14:paraId="4522124A" w14:textId="77777777" w:rsidR="006A5C4A" w:rsidRPr="008C0E22" w:rsidRDefault="006A5C4A" w:rsidP="006A5C4A">
      <w:pPr>
        <w:rPr>
          <w:rFonts w:ascii="Garamond" w:hAnsi="Garamond"/>
          <w:color w:val="000000"/>
        </w:rPr>
      </w:pPr>
    </w:p>
    <w:p w14:paraId="47246A2A" w14:textId="77777777" w:rsidR="006A5C4A" w:rsidRDefault="006A5C4A" w:rsidP="006A5C4A">
      <w:pPr>
        <w:rPr>
          <w:rFonts w:ascii="Garamond" w:hAnsi="Garamond"/>
          <w:color w:val="000000" w:themeColor="text1"/>
        </w:rPr>
      </w:pPr>
      <w:r w:rsidRPr="008C0E22">
        <w:rPr>
          <w:rFonts w:ascii="Garamond" w:hAnsi="Garamond"/>
          <w:color w:val="000000" w:themeColor="text1"/>
        </w:rPr>
        <w:t xml:space="preserve">In response to Winter Storm Uri, NERC (with industry support and FERC approval) adopted new mandatory weatherization requirements for generating units that will take effect on October 1, 2024.  These measures are intended to minimize weather-related outages of generators to ensure continued electric service during future severe weather events.  Generally, these rules require cold weather preparedness plans, emergency operations plans and implementation of freeze protection measures to ensure continuous operations during extreme cold weather.  </w:t>
      </w:r>
    </w:p>
    <w:p w14:paraId="5B099975" w14:textId="77777777" w:rsidR="006A5C4A" w:rsidRDefault="006A5C4A" w:rsidP="006A5C4A">
      <w:pPr>
        <w:rPr>
          <w:rFonts w:ascii="Garamond" w:hAnsi="Garamond"/>
          <w:color w:val="000000" w:themeColor="text1"/>
        </w:rPr>
      </w:pPr>
    </w:p>
    <w:p w14:paraId="755C8F98" w14:textId="77777777" w:rsidR="004D5A83" w:rsidRDefault="006A5C4A" w:rsidP="006A5C4A">
      <w:pPr>
        <w:rPr>
          <w:rFonts w:ascii="Garamond" w:hAnsi="Garamond"/>
          <w:color w:val="000000" w:themeColor="text1"/>
        </w:rPr>
      </w:pPr>
      <w:r w:rsidRPr="008C0E22">
        <w:rPr>
          <w:rFonts w:ascii="Garamond" w:hAnsi="Garamond"/>
          <w:color w:val="000000" w:themeColor="text1"/>
        </w:rPr>
        <w:t xml:space="preserve">These efforts to improve weatherization of natural gas generating facilities will address the primary causes of generator outages during Uri and Elliot.  They will not, however, address the significant secondary causes of generator outages—unavailability of </w:t>
      </w:r>
      <w:r>
        <w:rPr>
          <w:rFonts w:ascii="Garamond" w:hAnsi="Garamond"/>
          <w:color w:val="000000" w:themeColor="text1"/>
        </w:rPr>
        <w:t xml:space="preserve">previously committed </w:t>
      </w:r>
      <w:r w:rsidRPr="008C0E22">
        <w:rPr>
          <w:rFonts w:ascii="Garamond" w:hAnsi="Garamond"/>
          <w:color w:val="000000" w:themeColor="text1"/>
        </w:rPr>
        <w:t xml:space="preserve">natural gas.  In the face of </w:t>
      </w:r>
      <w:r>
        <w:rPr>
          <w:rFonts w:ascii="Garamond" w:hAnsi="Garamond"/>
          <w:color w:val="000000" w:themeColor="text1"/>
        </w:rPr>
        <w:t>expected</w:t>
      </w:r>
      <w:r w:rsidRPr="008C0E22">
        <w:rPr>
          <w:rFonts w:ascii="Garamond" w:hAnsi="Garamond"/>
          <w:color w:val="000000" w:themeColor="text1"/>
        </w:rPr>
        <w:t xml:space="preserve"> future, extreme and protracted cold weather events, the time is ripe to address cold-weather protection of gas supplies.  </w:t>
      </w:r>
      <w:r>
        <w:rPr>
          <w:rFonts w:ascii="Garamond" w:hAnsi="Garamond"/>
          <w:color w:val="000000" w:themeColor="text1"/>
        </w:rPr>
        <w:t>Along with t</w:t>
      </w:r>
      <w:r w:rsidRPr="008C0E22">
        <w:rPr>
          <w:rFonts w:ascii="Garamond" w:hAnsi="Garamond"/>
          <w:color w:val="000000" w:themeColor="text1"/>
        </w:rPr>
        <w:t>he electric industry taking steps to better protect generating equipment from cold weather events</w:t>
      </w:r>
      <w:r>
        <w:rPr>
          <w:rFonts w:ascii="Garamond" w:hAnsi="Garamond"/>
          <w:color w:val="000000" w:themeColor="text1"/>
        </w:rPr>
        <w:t>,</w:t>
      </w:r>
      <w:r w:rsidRPr="008C0E22">
        <w:rPr>
          <w:rFonts w:ascii="Garamond" w:hAnsi="Garamond"/>
          <w:color w:val="000000" w:themeColor="text1"/>
        </w:rPr>
        <w:t xml:space="preserve"> a dialogue about how cold weather-related interruptions of gas </w:t>
      </w:r>
      <w:r>
        <w:rPr>
          <w:rFonts w:ascii="Garamond" w:hAnsi="Garamond"/>
          <w:color w:val="000000" w:themeColor="text1"/>
        </w:rPr>
        <w:t xml:space="preserve">production </w:t>
      </w:r>
      <w:r w:rsidRPr="008C0E22">
        <w:rPr>
          <w:rFonts w:ascii="Garamond" w:hAnsi="Garamond"/>
          <w:color w:val="000000" w:themeColor="text1"/>
        </w:rPr>
        <w:t xml:space="preserve">can be alleviated is critically important. </w:t>
      </w:r>
    </w:p>
    <w:p w14:paraId="7E81DBD6" w14:textId="77777777" w:rsidR="004D5A83" w:rsidRDefault="004D5A83" w:rsidP="006A5C4A">
      <w:pPr>
        <w:rPr>
          <w:rFonts w:ascii="Garamond" w:hAnsi="Garamond"/>
          <w:color w:val="000000" w:themeColor="text1"/>
        </w:rPr>
      </w:pPr>
    </w:p>
    <w:p w14:paraId="449DAE12" w14:textId="3B351560" w:rsidR="00420970" w:rsidRDefault="00420970" w:rsidP="006A5C4A">
      <w:pPr>
        <w:rPr>
          <w:rFonts w:ascii="Garamond" w:hAnsi="Garamond"/>
          <w:color w:val="000000" w:themeColor="text1"/>
        </w:rPr>
      </w:pPr>
      <w:r>
        <w:rPr>
          <w:rFonts w:ascii="Garamond" w:hAnsi="Garamond"/>
          <w:color w:val="000000" w:themeColor="text1"/>
        </w:rPr>
        <w:t xml:space="preserve">We urge the WGQ Executive Committee to carefully consider the importance of this effort and make the decision to move this process forward </w:t>
      </w:r>
      <w:proofErr w:type="gramStart"/>
      <w:r>
        <w:rPr>
          <w:rFonts w:ascii="Garamond" w:hAnsi="Garamond"/>
          <w:color w:val="000000" w:themeColor="text1"/>
        </w:rPr>
        <w:t>in an effort to</w:t>
      </w:r>
      <w:proofErr w:type="gramEnd"/>
      <w:r>
        <w:rPr>
          <w:rFonts w:ascii="Garamond" w:hAnsi="Garamond"/>
          <w:color w:val="000000" w:themeColor="text1"/>
        </w:rPr>
        <w:t xml:space="preserve"> explore reasonable solutions that will benefit both the electric and gas industries as well as consumers of the products we produce.</w:t>
      </w:r>
    </w:p>
    <w:p w14:paraId="4A373E0F" w14:textId="77777777" w:rsidR="00420970" w:rsidRDefault="00420970" w:rsidP="006A5C4A">
      <w:pPr>
        <w:rPr>
          <w:rFonts w:ascii="Garamond" w:hAnsi="Garamond"/>
          <w:color w:val="000000" w:themeColor="text1"/>
        </w:rPr>
      </w:pPr>
    </w:p>
    <w:p w14:paraId="2F4C722E" w14:textId="6B9364C8" w:rsidR="006A5C4A" w:rsidRDefault="001D7171" w:rsidP="006A5C4A">
      <w:pPr>
        <w:rPr>
          <w:rFonts w:ascii="Garamond" w:hAnsi="Garamond"/>
          <w:color w:val="000000" w:themeColor="text1"/>
        </w:rPr>
      </w:pPr>
      <w:r>
        <w:rPr>
          <w:rFonts w:ascii="Garamond" w:hAnsi="Garamond"/>
          <w:color w:val="000000" w:themeColor="text1"/>
        </w:rPr>
        <w:t>Respectfully</w:t>
      </w:r>
      <w:r w:rsidR="006A5C4A">
        <w:rPr>
          <w:rFonts w:ascii="Garamond" w:hAnsi="Garamond"/>
          <w:color w:val="000000" w:themeColor="text1"/>
        </w:rPr>
        <w:t>,</w:t>
      </w:r>
    </w:p>
    <w:p w14:paraId="22C50D94" w14:textId="55B91A9D" w:rsidR="006A5C4A" w:rsidRDefault="006A5C4A" w:rsidP="006A5C4A">
      <w:pPr>
        <w:rPr>
          <w:rFonts w:ascii="Garamond" w:hAnsi="Garamond"/>
          <w:color w:val="000000" w:themeColor="text1"/>
        </w:rPr>
      </w:pPr>
    </w:p>
    <w:p w14:paraId="7CB98206" w14:textId="742B5FF8" w:rsidR="006A5C4A" w:rsidRDefault="001D7171" w:rsidP="006A5C4A">
      <w:pPr>
        <w:rPr>
          <w:rFonts w:ascii="Garamond" w:hAnsi="Garamond"/>
          <w:color w:val="000000" w:themeColor="text1"/>
        </w:rPr>
      </w:pPr>
      <w:r>
        <w:rPr>
          <w:rFonts w:ascii="Garamond" w:hAnsi="Garamond"/>
          <w:color w:val="000000" w:themeColor="text1"/>
        </w:rPr>
        <w:t>/s/</w:t>
      </w:r>
    </w:p>
    <w:p w14:paraId="20BF93F2" w14:textId="4ACC7833" w:rsidR="006A5C4A" w:rsidRDefault="00E424D0" w:rsidP="006A5C4A">
      <w:pPr>
        <w:rPr>
          <w:rFonts w:ascii="Garamond" w:hAnsi="Garamond"/>
          <w:color w:val="000000" w:themeColor="text1"/>
        </w:rPr>
      </w:pPr>
      <w:r>
        <w:rPr>
          <w:rFonts w:ascii="Garamond" w:hAnsi="Garamond"/>
          <w:color w:val="000000" w:themeColor="text1"/>
        </w:rPr>
        <w:t>Cassy Koester</w:t>
      </w:r>
    </w:p>
    <w:p w14:paraId="709B656E" w14:textId="59E1F042" w:rsidR="006A5C4A" w:rsidRDefault="00E424D0" w:rsidP="006A5C4A">
      <w:pPr>
        <w:rPr>
          <w:rFonts w:ascii="Garamond" w:hAnsi="Garamond"/>
          <w:color w:val="000000" w:themeColor="text1"/>
        </w:rPr>
      </w:pPr>
      <w:r>
        <w:rPr>
          <w:rFonts w:ascii="Garamond" w:hAnsi="Garamond"/>
          <w:color w:val="000000" w:themeColor="text1"/>
        </w:rPr>
        <w:t>Manager Gas Supply</w:t>
      </w:r>
    </w:p>
    <w:p w14:paraId="148F27D9" w14:textId="77777777" w:rsidR="006A5C4A" w:rsidRDefault="006A5C4A" w:rsidP="006A5C4A">
      <w:pPr>
        <w:rPr>
          <w:rFonts w:ascii="Garamond" w:hAnsi="Garamond"/>
          <w:color w:val="000000" w:themeColor="text1"/>
        </w:rPr>
      </w:pPr>
      <w:r>
        <w:rPr>
          <w:rFonts w:ascii="Garamond" w:hAnsi="Garamond"/>
          <w:color w:val="000000" w:themeColor="text1"/>
        </w:rPr>
        <w:t>Xcel Energy Services Inc.</w:t>
      </w:r>
    </w:p>
    <w:p w14:paraId="52F85F1C" w14:textId="717048EA" w:rsidR="006A5C4A" w:rsidRDefault="006A5C4A" w:rsidP="006A5C4A">
      <w:pPr>
        <w:rPr>
          <w:rFonts w:ascii="Garamond" w:hAnsi="Garamond"/>
          <w:color w:val="000000" w:themeColor="text1"/>
        </w:rPr>
      </w:pPr>
      <w:r>
        <w:rPr>
          <w:rFonts w:ascii="Garamond" w:hAnsi="Garamond"/>
          <w:color w:val="000000" w:themeColor="text1"/>
        </w:rPr>
        <w:t>1800 Larimer Street, Suite 1</w:t>
      </w:r>
      <w:r w:rsidR="00E424D0">
        <w:rPr>
          <w:rFonts w:ascii="Garamond" w:hAnsi="Garamond"/>
          <w:color w:val="000000" w:themeColor="text1"/>
        </w:rPr>
        <w:t>0</w:t>
      </w:r>
    </w:p>
    <w:p w14:paraId="733D1B8A" w14:textId="4648C03D" w:rsidR="00E424D0" w:rsidRDefault="006A5C4A" w:rsidP="006A5C4A">
      <w:pPr>
        <w:rPr>
          <w:rFonts w:ascii="Garamond" w:hAnsi="Garamond"/>
          <w:color w:val="000000" w:themeColor="text1"/>
        </w:rPr>
      </w:pPr>
      <w:r>
        <w:rPr>
          <w:rFonts w:ascii="Garamond" w:hAnsi="Garamond"/>
          <w:color w:val="000000" w:themeColor="text1"/>
        </w:rPr>
        <w:t>Denver, CO  80202</w:t>
      </w:r>
    </w:p>
    <w:p w14:paraId="304D2E49" w14:textId="17324F81" w:rsidR="00E424D0" w:rsidRDefault="00E424D0" w:rsidP="006A5C4A">
      <w:pPr>
        <w:rPr>
          <w:rFonts w:ascii="Garamond" w:hAnsi="Garamond"/>
          <w:color w:val="000000" w:themeColor="text1"/>
        </w:rPr>
      </w:pPr>
      <w:r w:rsidRPr="00E424D0">
        <w:rPr>
          <w:rFonts w:ascii="Garamond" w:hAnsi="Garamond"/>
          <w:color w:val="000000" w:themeColor="text1"/>
        </w:rPr>
        <w:t>Cassy.koester@xcelenergy.com</w:t>
      </w:r>
    </w:p>
    <w:p w14:paraId="580858C9" w14:textId="3599E0F8" w:rsidR="006A5C4A" w:rsidRPr="008C0E22" w:rsidRDefault="006A5C4A" w:rsidP="006A5C4A">
      <w:pPr>
        <w:rPr>
          <w:rFonts w:ascii="Garamond" w:hAnsi="Garamond"/>
          <w:color w:val="000000" w:themeColor="text1"/>
        </w:rPr>
      </w:pPr>
      <w:r>
        <w:rPr>
          <w:rFonts w:ascii="Garamond" w:hAnsi="Garamond"/>
          <w:color w:val="000000" w:themeColor="text1"/>
        </w:rPr>
        <w:t>303-571-</w:t>
      </w:r>
      <w:r w:rsidR="00E424D0">
        <w:rPr>
          <w:rFonts w:ascii="Garamond" w:hAnsi="Garamond"/>
          <w:color w:val="000000" w:themeColor="text1"/>
        </w:rPr>
        <w:t>2826</w:t>
      </w:r>
    </w:p>
    <w:p w14:paraId="53430E88" w14:textId="77777777" w:rsidR="006A5C4A" w:rsidRPr="008C0E22" w:rsidRDefault="006A5C4A" w:rsidP="006A5C4A">
      <w:pPr>
        <w:rPr>
          <w:rFonts w:ascii="Garamond" w:hAnsi="Garamond"/>
          <w:color w:val="000000"/>
        </w:rPr>
      </w:pPr>
    </w:p>
    <w:sectPr w:rsidR="006A5C4A" w:rsidRPr="008C0E22" w:rsidSect="001D7171">
      <w:footerReference w:type="default" r:id="rId9"/>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041A" w14:textId="77777777" w:rsidR="00B7201B" w:rsidRDefault="00B7201B">
      <w:r>
        <w:separator/>
      </w:r>
    </w:p>
  </w:endnote>
  <w:endnote w:type="continuationSeparator" w:id="0">
    <w:p w14:paraId="4BBFF421" w14:textId="77777777" w:rsidR="00B7201B" w:rsidRDefault="00B7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rPr>
      <w:id w:val="420693906"/>
      <w:docPartObj>
        <w:docPartGallery w:val="Page Numbers (Bottom of Page)"/>
        <w:docPartUnique/>
      </w:docPartObj>
    </w:sdtPr>
    <w:sdtEndPr/>
    <w:sdtContent>
      <w:sdt>
        <w:sdtPr>
          <w:rPr>
            <w:rFonts w:ascii="Garamond" w:hAnsi="Garamond"/>
            <w:sz w:val="20"/>
          </w:rPr>
          <w:id w:val="-1769616900"/>
          <w:docPartObj>
            <w:docPartGallery w:val="Page Numbers (Top of Page)"/>
            <w:docPartUnique/>
          </w:docPartObj>
        </w:sdtPr>
        <w:sdtEndPr/>
        <w:sdtContent>
          <w:p w14:paraId="6F629B3A" w14:textId="1502191C" w:rsidR="001D7171" w:rsidRPr="001D7171" w:rsidRDefault="001D7171">
            <w:pPr>
              <w:pStyle w:val="Footer"/>
              <w:jc w:val="right"/>
              <w:rPr>
                <w:rFonts w:ascii="Garamond" w:hAnsi="Garamond"/>
                <w:sz w:val="20"/>
              </w:rPr>
            </w:pPr>
            <w:r w:rsidRPr="001D7171">
              <w:rPr>
                <w:rFonts w:ascii="Garamond" w:hAnsi="Garamond"/>
                <w:sz w:val="20"/>
              </w:rPr>
              <w:t xml:space="preserve">Page </w:t>
            </w:r>
            <w:r w:rsidRPr="001D7171">
              <w:rPr>
                <w:rFonts w:ascii="Garamond" w:hAnsi="Garamond"/>
                <w:sz w:val="20"/>
              </w:rPr>
              <w:fldChar w:fldCharType="begin"/>
            </w:r>
            <w:r w:rsidRPr="001D7171">
              <w:rPr>
                <w:rFonts w:ascii="Garamond" w:hAnsi="Garamond"/>
                <w:sz w:val="20"/>
              </w:rPr>
              <w:instrText xml:space="preserve"> PAGE </w:instrText>
            </w:r>
            <w:r w:rsidRPr="001D7171">
              <w:rPr>
                <w:rFonts w:ascii="Garamond" w:hAnsi="Garamond"/>
                <w:sz w:val="20"/>
              </w:rPr>
              <w:fldChar w:fldCharType="separate"/>
            </w:r>
            <w:r w:rsidRPr="001D7171">
              <w:rPr>
                <w:rFonts w:ascii="Garamond" w:hAnsi="Garamond"/>
                <w:noProof/>
                <w:sz w:val="20"/>
              </w:rPr>
              <w:t>2</w:t>
            </w:r>
            <w:r w:rsidRPr="001D7171">
              <w:rPr>
                <w:rFonts w:ascii="Garamond" w:hAnsi="Garamond"/>
                <w:sz w:val="20"/>
              </w:rPr>
              <w:fldChar w:fldCharType="end"/>
            </w:r>
            <w:r w:rsidRPr="001D7171">
              <w:rPr>
                <w:rFonts w:ascii="Garamond" w:hAnsi="Garamond"/>
                <w:sz w:val="20"/>
              </w:rPr>
              <w:t xml:space="preserve"> of </w:t>
            </w:r>
            <w:r w:rsidRPr="001D7171">
              <w:rPr>
                <w:rFonts w:ascii="Garamond" w:hAnsi="Garamond"/>
                <w:sz w:val="20"/>
              </w:rPr>
              <w:fldChar w:fldCharType="begin"/>
            </w:r>
            <w:r w:rsidRPr="001D7171">
              <w:rPr>
                <w:rFonts w:ascii="Garamond" w:hAnsi="Garamond"/>
                <w:sz w:val="20"/>
              </w:rPr>
              <w:instrText xml:space="preserve"> NUMPAGES  </w:instrText>
            </w:r>
            <w:r w:rsidRPr="001D7171">
              <w:rPr>
                <w:rFonts w:ascii="Garamond" w:hAnsi="Garamond"/>
                <w:sz w:val="20"/>
              </w:rPr>
              <w:fldChar w:fldCharType="separate"/>
            </w:r>
            <w:r w:rsidRPr="001D7171">
              <w:rPr>
                <w:rFonts w:ascii="Garamond" w:hAnsi="Garamond"/>
                <w:noProof/>
                <w:sz w:val="20"/>
              </w:rPr>
              <w:t>2</w:t>
            </w:r>
            <w:r w:rsidRPr="001D7171">
              <w:rPr>
                <w:rFonts w:ascii="Garamond" w:hAnsi="Garamond"/>
                <w:sz w:val="20"/>
              </w:rPr>
              <w:fldChar w:fldCharType="end"/>
            </w:r>
          </w:p>
        </w:sdtContent>
      </w:sdt>
    </w:sdtContent>
  </w:sdt>
  <w:p w14:paraId="5FABA3FF" w14:textId="77777777" w:rsidR="001D7171" w:rsidRDefault="001D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D896" w14:textId="77777777" w:rsidR="00B7201B" w:rsidRDefault="00B7201B">
      <w:r>
        <w:separator/>
      </w:r>
    </w:p>
  </w:footnote>
  <w:footnote w:type="continuationSeparator" w:id="0">
    <w:p w14:paraId="03F8E8BF" w14:textId="77777777" w:rsidR="00B7201B" w:rsidRDefault="00B7201B">
      <w:r>
        <w:continuationSeparator/>
      </w:r>
    </w:p>
  </w:footnote>
  <w:footnote w:id="1">
    <w:p w14:paraId="3207E032" w14:textId="77777777" w:rsidR="006A5C4A" w:rsidRPr="002817D3" w:rsidRDefault="006A5C4A" w:rsidP="006A5C4A">
      <w:pPr>
        <w:pStyle w:val="FootnoteText"/>
        <w:jc w:val="left"/>
        <w:rPr>
          <w:rFonts w:ascii="Garamond" w:hAnsi="Garamond"/>
        </w:rPr>
      </w:pPr>
      <w:r>
        <w:rPr>
          <w:rStyle w:val="FootnoteReference"/>
        </w:rPr>
        <w:footnoteRef/>
      </w:r>
      <w:r>
        <w:t xml:space="preserve"> </w:t>
      </w:r>
      <w:r w:rsidRPr="002817D3">
        <w:rPr>
          <w:rFonts w:ascii="Garamond" w:hAnsi="Garamond"/>
        </w:rPr>
        <w:t xml:space="preserve">The February 2021 Cold Weather Outages in Texas and the South Central United States, FERC-NERC-Regional Entity Staff Report, November, 2021, </w:t>
      </w:r>
      <w:hyperlink r:id="rId1" w:history="1">
        <w:r w:rsidRPr="002817D3">
          <w:rPr>
            <w:rStyle w:val="Hyperlink"/>
            <w:rFonts w:ascii="Garamond" w:hAnsi="Garamond"/>
          </w:rPr>
          <w:t>The February 2021 Cold Weather Outages in Texas and the South Central United States | FERC, NERC and Regional Entity Staff Report | Federal Energy Regulatory Commission</w:t>
        </w:r>
      </w:hyperlink>
      <w:r w:rsidRPr="002817D3">
        <w:rPr>
          <w:rFonts w:ascii="Garamond" w:hAnsi="Garamond"/>
        </w:rPr>
        <w:t xml:space="preserve"> (Report) at page 11.</w:t>
      </w:r>
    </w:p>
  </w:footnote>
  <w:footnote w:id="2">
    <w:p w14:paraId="73309C6D" w14:textId="77777777" w:rsidR="006A5C4A" w:rsidRPr="002817D3" w:rsidRDefault="006A5C4A" w:rsidP="006A5C4A">
      <w:pPr>
        <w:pStyle w:val="FootnoteText"/>
        <w:jc w:val="left"/>
        <w:rPr>
          <w:rFonts w:ascii="Garamond" w:hAnsi="Garamond"/>
        </w:rPr>
      </w:pPr>
      <w:r>
        <w:rPr>
          <w:rStyle w:val="FootnoteReference"/>
        </w:rPr>
        <w:footnoteRef/>
      </w:r>
      <w:r>
        <w:t xml:space="preserve"> </w:t>
      </w:r>
      <w:r w:rsidRPr="002817D3">
        <w:rPr>
          <w:rFonts w:ascii="Garamond" w:hAnsi="Garamond"/>
        </w:rPr>
        <w:t>Report at page 13.</w:t>
      </w:r>
    </w:p>
  </w:footnote>
  <w:footnote w:id="3">
    <w:p w14:paraId="2AEDFFA1" w14:textId="77777777" w:rsidR="006A5C4A" w:rsidRPr="002817D3" w:rsidRDefault="006A5C4A" w:rsidP="006A5C4A">
      <w:pPr>
        <w:pStyle w:val="FootnoteText"/>
        <w:jc w:val="left"/>
        <w:rPr>
          <w:rFonts w:ascii="Garamond" w:hAnsi="Garamond"/>
        </w:rPr>
      </w:pPr>
      <w:r w:rsidRPr="002817D3">
        <w:rPr>
          <w:rStyle w:val="FootnoteReference"/>
          <w:rFonts w:ascii="Garamond" w:hAnsi="Garamond"/>
        </w:rPr>
        <w:footnoteRef/>
      </w:r>
      <w:r w:rsidRPr="002817D3">
        <w:rPr>
          <w:rFonts w:ascii="Garamond" w:hAnsi="Garamond"/>
        </w:rPr>
        <w:t xml:space="preserve"> Report at page 16.  </w:t>
      </w:r>
    </w:p>
  </w:footnote>
  <w:footnote w:id="4">
    <w:p w14:paraId="07748B0C" w14:textId="77777777" w:rsidR="006A5C4A" w:rsidRPr="002817D3" w:rsidRDefault="006A5C4A" w:rsidP="006A5C4A">
      <w:pPr>
        <w:pStyle w:val="FootnoteText"/>
        <w:jc w:val="left"/>
        <w:rPr>
          <w:rFonts w:ascii="Garamond" w:hAnsi="Garamond"/>
        </w:rPr>
      </w:pPr>
      <w:r w:rsidRPr="002817D3">
        <w:rPr>
          <w:rStyle w:val="FootnoteReference"/>
          <w:rFonts w:ascii="Garamond" w:hAnsi="Garamond"/>
        </w:rPr>
        <w:footnoteRef/>
      </w:r>
      <w:r w:rsidRPr="002817D3">
        <w:rPr>
          <w:rFonts w:ascii="Garamond" w:hAnsi="Garamond"/>
        </w:rPr>
        <w:t xml:space="preserve"> Report at page 9.</w:t>
      </w:r>
    </w:p>
  </w:footnote>
  <w:footnote w:id="5">
    <w:p w14:paraId="1D0710BF" w14:textId="77777777" w:rsidR="006A5C4A" w:rsidRPr="002817D3" w:rsidRDefault="006A5C4A" w:rsidP="006A5C4A">
      <w:pPr>
        <w:pStyle w:val="FootnoteText"/>
        <w:jc w:val="left"/>
        <w:rPr>
          <w:rFonts w:ascii="Garamond" w:hAnsi="Garamond"/>
        </w:rPr>
      </w:pPr>
      <w:r w:rsidRPr="002817D3">
        <w:rPr>
          <w:rStyle w:val="FootnoteReference"/>
          <w:rFonts w:ascii="Garamond" w:hAnsi="Garamond"/>
        </w:rPr>
        <w:footnoteRef/>
      </w:r>
      <w:r w:rsidRPr="002817D3">
        <w:rPr>
          <w:rFonts w:ascii="Garamond" w:hAnsi="Garamond"/>
        </w:rPr>
        <w:t xml:space="preserve"> Winter Storm Elliott, Event Analysis Report, July 17, 2023, PJM, </w:t>
      </w:r>
      <w:hyperlink r:id="rId2" w:history="1">
        <w:r w:rsidRPr="002817D3">
          <w:rPr>
            <w:rStyle w:val="Hyperlink"/>
            <w:rFonts w:ascii="Garamond" w:hAnsi="Garamond"/>
          </w:rPr>
          <w:t>20230717-winter-storm-elliott-event-analysis-and-recommendation-report.ashx (pjm.com)</w:t>
        </w:r>
      </w:hyperlink>
    </w:p>
  </w:footnote>
  <w:footnote w:id="6">
    <w:p w14:paraId="331A2A82" w14:textId="77777777" w:rsidR="006A5C4A" w:rsidRPr="002817D3" w:rsidRDefault="006A5C4A" w:rsidP="006A5C4A">
      <w:pPr>
        <w:pStyle w:val="FootnoteText"/>
        <w:jc w:val="left"/>
        <w:rPr>
          <w:rFonts w:ascii="Garamond" w:hAnsi="Garamond"/>
        </w:rPr>
      </w:pPr>
      <w:r w:rsidRPr="002817D3">
        <w:rPr>
          <w:rStyle w:val="FootnoteReference"/>
          <w:rFonts w:ascii="Garamond" w:hAnsi="Garamond"/>
        </w:rPr>
        <w:footnoteRef/>
      </w:r>
      <w:r w:rsidRPr="002817D3">
        <w:rPr>
          <w:rFonts w:ascii="Garamond" w:hAnsi="Garamond"/>
        </w:rPr>
        <w:t xml:space="preserve"> U.S. Natural Gas Production Plunges as Winter Storm Wreaks Havoc, December 28, 2022, </w:t>
      </w:r>
      <w:hyperlink r:id="rId3" w:history="1">
        <w:r w:rsidRPr="002817D3">
          <w:rPr>
            <w:rStyle w:val="Hyperlink"/>
            <w:rFonts w:ascii="Garamond" w:hAnsi="Garamond"/>
          </w:rPr>
          <w:t>U.S. Natural Gas Production Plunges As Winter Storm Wreaks Havoc | OilPrice.com</w:t>
        </w:r>
      </w:hyperlink>
      <w:r w:rsidRPr="002817D3">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B58C0"/>
    <w:multiLevelType w:val="hybridMultilevel"/>
    <w:tmpl w:val="10EEF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6573700">
    <w:abstractNumId w:val="0"/>
  </w:num>
  <w:num w:numId="2" w16cid:durableId="103758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99"/>
    <w:rsid w:val="00042907"/>
    <w:rsid w:val="00046DB5"/>
    <w:rsid w:val="000F4BD9"/>
    <w:rsid w:val="001D7171"/>
    <w:rsid w:val="00252C87"/>
    <w:rsid w:val="002E6A79"/>
    <w:rsid w:val="002F2999"/>
    <w:rsid w:val="00420970"/>
    <w:rsid w:val="004D5A83"/>
    <w:rsid w:val="005336B8"/>
    <w:rsid w:val="006227CB"/>
    <w:rsid w:val="0064786B"/>
    <w:rsid w:val="006A5C4A"/>
    <w:rsid w:val="007348EB"/>
    <w:rsid w:val="00736531"/>
    <w:rsid w:val="007C2C48"/>
    <w:rsid w:val="0087141F"/>
    <w:rsid w:val="008921C1"/>
    <w:rsid w:val="008B4F7F"/>
    <w:rsid w:val="0096476D"/>
    <w:rsid w:val="009B2894"/>
    <w:rsid w:val="009E2F69"/>
    <w:rsid w:val="00A45AE9"/>
    <w:rsid w:val="00B7201B"/>
    <w:rsid w:val="00C46DE7"/>
    <w:rsid w:val="00D011B9"/>
    <w:rsid w:val="00D47671"/>
    <w:rsid w:val="00D82DB9"/>
    <w:rsid w:val="00E424D0"/>
    <w:rsid w:val="00F9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CA9D1"/>
  <w15:chartTrackingRefBased/>
  <w15:docId w15:val="{65E5FAF1-F7BF-4508-B035-185DF637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99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2999"/>
    <w:rPr>
      <w:color w:val="0000FF"/>
      <w:u w:val="single"/>
    </w:rPr>
  </w:style>
  <w:style w:type="paragraph" w:styleId="ListParagraph">
    <w:name w:val="List Paragraph"/>
    <w:basedOn w:val="Normal"/>
    <w:uiPriority w:val="34"/>
    <w:qFormat/>
    <w:rsid w:val="002F2999"/>
    <w:pPr>
      <w:spacing w:after="160" w:line="25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2F2999"/>
    <w:rPr>
      <w:color w:val="605E5C"/>
      <w:shd w:val="clear" w:color="auto" w:fill="E1DFDD"/>
    </w:rPr>
  </w:style>
  <w:style w:type="paragraph" w:styleId="FootnoteText">
    <w:name w:val="footnote text"/>
    <w:basedOn w:val="Normal"/>
    <w:link w:val="FootnoteTextChar"/>
    <w:uiPriority w:val="99"/>
    <w:semiHidden/>
    <w:unhideWhenUsed/>
    <w:rsid w:val="006A5C4A"/>
    <w:pPr>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A5C4A"/>
    <w:rPr>
      <w:sz w:val="20"/>
      <w:szCs w:val="20"/>
    </w:rPr>
  </w:style>
  <w:style w:type="character" w:styleId="FootnoteReference">
    <w:name w:val="footnote reference"/>
    <w:basedOn w:val="DefaultParagraphFont"/>
    <w:uiPriority w:val="99"/>
    <w:semiHidden/>
    <w:unhideWhenUsed/>
    <w:rsid w:val="006A5C4A"/>
    <w:rPr>
      <w:vertAlign w:val="superscript"/>
    </w:rPr>
  </w:style>
  <w:style w:type="paragraph" w:styleId="Header">
    <w:name w:val="header"/>
    <w:basedOn w:val="Normal"/>
    <w:link w:val="HeaderChar"/>
    <w:uiPriority w:val="99"/>
    <w:unhideWhenUsed/>
    <w:rsid w:val="001D7171"/>
    <w:pPr>
      <w:tabs>
        <w:tab w:val="center" w:pos="4680"/>
        <w:tab w:val="right" w:pos="9360"/>
      </w:tabs>
    </w:pPr>
  </w:style>
  <w:style w:type="character" w:customStyle="1" w:styleId="HeaderChar">
    <w:name w:val="Header Char"/>
    <w:basedOn w:val="DefaultParagraphFont"/>
    <w:link w:val="Header"/>
    <w:uiPriority w:val="99"/>
    <w:rsid w:val="001D7171"/>
    <w:rPr>
      <w:rFonts w:ascii="Arial" w:eastAsia="Times New Roman" w:hAnsi="Arial" w:cs="Times New Roman"/>
      <w:sz w:val="24"/>
      <w:szCs w:val="24"/>
    </w:rPr>
  </w:style>
  <w:style w:type="paragraph" w:styleId="Footer">
    <w:name w:val="footer"/>
    <w:basedOn w:val="Normal"/>
    <w:link w:val="FooterChar"/>
    <w:uiPriority w:val="99"/>
    <w:unhideWhenUsed/>
    <w:rsid w:val="001D7171"/>
    <w:pPr>
      <w:tabs>
        <w:tab w:val="center" w:pos="4680"/>
        <w:tab w:val="right" w:pos="9360"/>
      </w:tabs>
    </w:pPr>
  </w:style>
  <w:style w:type="character" w:customStyle="1" w:styleId="FooterChar">
    <w:name w:val="Footer Char"/>
    <w:basedOn w:val="DefaultParagraphFont"/>
    <w:link w:val="Footer"/>
    <w:uiPriority w:val="99"/>
    <w:rsid w:val="001D7171"/>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42907"/>
    <w:rPr>
      <w:sz w:val="16"/>
      <w:szCs w:val="16"/>
    </w:rPr>
  </w:style>
  <w:style w:type="paragraph" w:styleId="CommentText">
    <w:name w:val="annotation text"/>
    <w:basedOn w:val="Normal"/>
    <w:link w:val="CommentTextChar"/>
    <w:uiPriority w:val="99"/>
    <w:unhideWhenUsed/>
    <w:rsid w:val="00042907"/>
    <w:rPr>
      <w:sz w:val="20"/>
      <w:szCs w:val="20"/>
    </w:rPr>
  </w:style>
  <w:style w:type="character" w:customStyle="1" w:styleId="CommentTextChar">
    <w:name w:val="Comment Text Char"/>
    <w:basedOn w:val="DefaultParagraphFont"/>
    <w:link w:val="CommentText"/>
    <w:uiPriority w:val="99"/>
    <w:rsid w:val="000429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42907"/>
    <w:rPr>
      <w:b/>
      <w:bCs/>
    </w:rPr>
  </w:style>
  <w:style w:type="character" w:customStyle="1" w:styleId="CommentSubjectChar">
    <w:name w:val="Comment Subject Char"/>
    <w:basedOn w:val="CommentTextChar"/>
    <w:link w:val="CommentSubject"/>
    <w:uiPriority w:val="99"/>
    <w:semiHidden/>
    <w:rsid w:val="00042907"/>
    <w:rPr>
      <w:rFonts w:ascii="Arial" w:eastAsia="Times New Roman" w:hAnsi="Arial" w:cs="Times New Roman"/>
      <w:b/>
      <w:bCs/>
      <w:sz w:val="20"/>
      <w:szCs w:val="20"/>
    </w:rPr>
  </w:style>
  <w:style w:type="paragraph" w:styleId="Revision">
    <w:name w:val="Revision"/>
    <w:hidden/>
    <w:uiPriority w:val="99"/>
    <w:semiHidden/>
    <w:rsid w:val="00D011B9"/>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ilprice.com/Energy/Energy-General/US-Natural-Gas-Production-Plunges-As-Winter-Storm-Wreaks-Havoc.html" TargetMode="External"/><Relationship Id="rId2" Type="http://schemas.openxmlformats.org/officeDocument/2006/relationships/hyperlink" Target="https://pjm.com/-/media/library/reports-notices/special-reports/2023/20230717-winter-storm-elliott-event-analysis-and-recommendation-report.ashx" TargetMode="External"/><Relationship Id="rId1" Type="http://schemas.openxmlformats.org/officeDocument/2006/relationships/hyperlink" Target="https://ferc.gov/media/february-2021-cold-weather-outages-texas-and-south-central-united-states-ferc-nerc-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Xcel Energy</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Osse, Sherri G</dc:creator>
  <cp:keywords/>
  <dc:description/>
  <cp:lastModifiedBy>Crites, Hannah E</cp:lastModifiedBy>
  <cp:revision>3</cp:revision>
  <dcterms:created xsi:type="dcterms:W3CDTF">2023-09-25T14:49:00Z</dcterms:created>
  <dcterms:modified xsi:type="dcterms:W3CDTF">2023-09-25T15:28:00Z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1ac0a8-6b99-444d-a60f-7336bfe397d8_Enabled">
    <vt:lpwstr>true</vt:lpwstr>
  </property>
  <property fmtid="{D5CDD505-2E9C-101B-9397-08002B2CF9AE}" pid="3" name="MSIP_Label_611ac0a8-6b99-444d-a60f-7336bfe397d8_SetDate">
    <vt:lpwstr>2023-08-31T15:14:21Z</vt:lpwstr>
  </property>
  <property fmtid="{D5CDD505-2E9C-101B-9397-08002B2CF9AE}" pid="4" name="MSIP_Label_611ac0a8-6b99-444d-a60f-7336bfe397d8_Method">
    <vt:lpwstr>Standard</vt:lpwstr>
  </property>
  <property fmtid="{D5CDD505-2E9C-101B-9397-08002B2CF9AE}" pid="5" name="MSIP_Label_611ac0a8-6b99-444d-a60f-7336bfe397d8_Name">
    <vt:lpwstr>II - Internal Information</vt:lpwstr>
  </property>
  <property fmtid="{D5CDD505-2E9C-101B-9397-08002B2CF9AE}" pid="6" name="MSIP_Label_611ac0a8-6b99-444d-a60f-7336bfe397d8_SiteId">
    <vt:lpwstr>24b2a583-5c05-4b6a-b4e9-4e12dc0025ad</vt:lpwstr>
  </property>
  <property fmtid="{D5CDD505-2E9C-101B-9397-08002B2CF9AE}" pid="7" name="MSIP_Label_611ac0a8-6b99-444d-a60f-7336bfe397d8_ActionId">
    <vt:lpwstr>721afe07-f015-43d7-9b63-652dff4854d8</vt:lpwstr>
  </property>
  <property fmtid="{D5CDD505-2E9C-101B-9397-08002B2CF9AE}" pid="8" name="MSIP_Label_611ac0a8-6b99-444d-a60f-7336bfe397d8_ContentBits">
    <vt:lpwstr>0</vt:lpwstr>
  </property>
</Properties>
</file>