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A4144" w14:textId="77777777" w:rsidR="000D4E0D" w:rsidRPr="008C4A8D" w:rsidRDefault="000D4E0D" w:rsidP="000D4E0D">
      <w:pPr>
        <w:spacing w:before="120" w:after="120"/>
        <w:jc w:val="center"/>
        <w:rPr>
          <w:rFonts w:ascii="Aptos" w:hAnsi="Aptos"/>
          <w:b/>
          <w:bCs/>
          <w:sz w:val="32"/>
          <w:szCs w:val="32"/>
        </w:rPr>
      </w:pPr>
      <w:r w:rsidRPr="008C4A8D">
        <w:rPr>
          <w:rFonts w:ascii="Aptos" w:hAnsi="Aptos"/>
          <w:b/>
          <w:bCs/>
          <w:sz w:val="32"/>
          <w:szCs w:val="32"/>
        </w:rPr>
        <w:t>Secure, Equitable Access to DER and Aggregation Data Through a Standardized Framework for DER Information Registries</w:t>
      </w:r>
    </w:p>
    <w:p w14:paraId="61FFD19F" w14:textId="49668AB2" w:rsidR="007D5C67" w:rsidRPr="008C4A8D" w:rsidRDefault="000D4E0D" w:rsidP="000D4E0D">
      <w:pPr>
        <w:spacing w:before="120" w:after="120"/>
        <w:jc w:val="center"/>
        <w:rPr>
          <w:rFonts w:ascii="Aptos" w:hAnsi="Aptos"/>
          <w:sz w:val="28"/>
          <w:szCs w:val="28"/>
        </w:rPr>
      </w:pPr>
      <w:r w:rsidRPr="008C4A8D">
        <w:rPr>
          <w:rFonts w:ascii="Aptos" w:hAnsi="Aptos"/>
          <w:sz w:val="28"/>
          <w:szCs w:val="28"/>
        </w:rPr>
        <w:t>Concept Paper</w:t>
      </w:r>
    </w:p>
    <w:p w14:paraId="3E078870" w14:textId="2FF1C9D1" w:rsidR="008C4A8D" w:rsidRPr="008C4A8D" w:rsidRDefault="008C4A8D" w:rsidP="000D4E0D">
      <w:pPr>
        <w:spacing w:before="120" w:after="120"/>
        <w:rPr>
          <w:rFonts w:ascii="Aptos" w:hAnsi="Aptos"/>
          <w:b/>
          <w:bCs/>
          <w:sz w:val="24"/>
          <w:szCs w:val="24"/>
        </w:rPr>
      </w:pPr>
      <w:r w:rsidRPr="008C4A8D">
        <w:rPr>
          <w:rFonts w:ascii="Aptos" w:hAnsi="Aptos"/>
          <w:b/>
          <w:bCs/>
          <w:sz w:val="24"/>
          <w:szCs w:val="24"/>
        </w:rPr>
        <w:t>I. Introduction</w:t>
      </w:r>
    </w:p>
    <w:p w14:paraId="2594D2C1" w14:textId="0D7C9412" w:rsidR="000D4E0D" w:rsidRPr="008C4A8D" w:rsidRDefault="000D4E0D" w:rsidP="00C806E2">
      <w:pPr>
        <w:spacing w:before="120" w:after="120"/>
        <w:jc w:val="both"/>
        <w:rPr>
          <w:rFonts w:ascii="Aptos" w:hAnsi="Aptos"/>
          <w:szCs w:val="20"/>
        </w:rPr>
      </w:pPr>
      <w:r w:rsidRPr="008C4A8D">
        <w:rPr>
          <w:rFonts w:ascii="Aptos" w:hAnsi="Aptos"/>
          <w:szCs w:val="20"/>
        </w:rPr>
        <w:t xml:space="preserve">In April 2025, at the direction of the NAESB Board of Directors, wholesale and retail electric participants initiated a joint effort to consider the development of business practice standards to support the integration of distributed energy resource (DER) and </w:t>
      </w:r>
      <w:r w:rsidR="00932E3F">
        <w:rPr>
          <w:rFonts w:ascii="Aptos" w:hAnsi="Aptos"/>
          <w:szCs w:val="20"/>
        </w:rPr>
        <w:t xml:space="preserve">DER </w:t>
      </w:r>
      <w:r w:rsidRPr="008C4A8D">
        <w:rPr>
          <w:rFonts w:ascii="Aptos" w:hAnsi="Aptos"/>
          <w:szCs w:val="20"/>
        </w:rPr>
        <w:t>aggregation registries by</w:t>
      </w:r>
      <w:r w:rsidR="00932E3F">
        <w:rPr>
          <w:rFonts w:ascii="Aptos" w:hAnsi="Aptos"/>
          <w:szCs w:val="20"/>
        </w:rPr>
        <w:t xml:space="preserve"> the</w:t>
      </w:r>
      <w:r w:rsidRPr="008C4A8D">
        <w:rPr>
          <w:rFonts w:ascii="Aptos" w:hAnsi="Aptos"/>
          <w:szCs w:val="20"/>
        </w:rPr>
        <w:t xml:space="preserve"> industry.  The work is being addressed jointly by the WEQ and RMQ Business Practices Subcommittees (BPS) and</w:t>
      </w:r>
      <w:r w:rsidR="00932E3F">
        <w:rPr>
          <w:rFonts w:ascii="Aptos" w:hAnsi="Aptos"/>
          <w:szCs w:val="20"/>
        </w:rPr>
        <w:t xml:space="preserve"> is</w:t>
      </w:r>
      <w:r w:rsidRPr="008C4A8D">
        <w:rPr>
          <w:rFonts w:ascii="Aptos" w:hAnsi="Aptos"/>
          <w:szCs w:val="20"/>
        </w:rPr>
        <w:t xml:space="preserve"> reflected on the current annual plans as 2026 WEQ Annual Plan Item 5.a / 2026 RMQ Annual Plan Item 2.a.</w:t>
      </w:r>
    </w:p>
    <w:p w14:paraId="08A027CE" w14:textId="18521C2C" w:rsidR="00FF1A20" w:rsidRDefault="00C806E2" w:rsidP="00C806E2">
      <w:pPr>
        <w:spacing w:before="120" w:after="120"/>
        <w:jc w:val="both"/>
        <w:rPr>
          <w:rFonts w:ascii="Aptos" w:hAnsi="Aptos"/>
          <w:szCs w:val="20"/>
        </w:rPr>
      </w:pPr>
      <w:r>
        <w:rPr>
          <w:rFonts w:ascii="Aptos" w:hAnsi="Aptos"/>
          <w:szCs w:val="20"/>
        </w:rPr>
        <w:t xml:space="preserve">Over the course of thirteen meetings held between April 2025 and February 2026, participants have </w:t>
      </w:r>
      <w:r w:rsidR="00932E3F">
        <w:rPr>
          <w:rFonts w:ascii="Aptos" w:hAnsi="Aptos"/>
          <w:szCs w:val="20"/>
        </w:rPr>
        <w:t>identified</w:t>
      </w:r>
      <w:r w:rsidR="00FF1A20">
        <w:rPr>
          <w:rFonts w:ascii="Aptos" w:hAnsi="Aptos"/>
          <w:szCs w:val="20"/>
        </w:rPr>
        <w:t xml:space="preserve"> coordination challenges and gaps in </w:t>
      </w:r>
      <w:r w:rsidR="00AA331A">
        <w:rPr>
          <w:rFonts w:ascii="Aptos" w:hAnsi="Aptos"/>
          <w:szCs w:val="20"/>
        </w:rPr>
        <w:t xml:space="preserve">the availability, consistency, and content of </w:t>
      </w:r>
      <w:r w:rsidR="00FF1A20">
        <w:rPr>
          <w:rFonts w:ascii="Aptos" w:hAnsi="Aptos"/>
          <w:szCs w:val="20"/>
        </w:rPr>
        <w:t xml:space="preserve">DER and aggregation information which </w:t>
      </w:r>
      <w:r w:rsidR="00932E3F">
        <w:rPr>
          <w:rFonts w:ascii="Aptos" w:hAnsi="Aptos"/>
          <w:szCs w:val="20"/>
        </w:rPr>
        <w:t xml:space="preserve">has </w:t>
      </w:r>
      <w:r w:rsidR="00FF1A20">
        <w:rPr>
          <w:rFonts w:ascii="Aptos" w:hAnsi="Aptos"/>
          <w:szCs w:val="20"/>
        </w:rPr>
        <w:t>led the subcommittees to explore areas where standardization would be of greatest benefit.  Informed by perspectives shared by meeting participants as well as NERC guidance and recommendations</w:t>
      </w:r>
      <w:r w:rsidR="00FB55E6">
        <w:rPr>
          <w:rFonts w:ascii="Aptos" w:hAnsi="Aptos"/>
          <w:szCs w:val="20"/>
        </w:rPr>
        <w:t xml:space="preserve"> for collaborative DER information sharing,</w:t>
      </w:r>
      <w:r w:rsidR="00FF1A20">
        <w:rPr>
          <w:rStyle w:val="FootnoteReference"/>
          <w:rFonts w:ascii="Aptos" w:hAnsi="Aptos"/>
          <w:szCs w:val="20"/>
        </w:rPr>
        <w:footnoteReference w:id="1"/>
      </w:r>
      <w:r w:rsidR="00FF1A20">
        <w:rPr>
          <w:rFonts w:ascii="Aptos" w:hAnsi="Aptos"/>
          <w:szCs w:val="20"/>
        </w:rPr>
        <w:t xml:space="preserve"> </w:t>
      </w:r>
      <w:r w:rsidR="00FB55E6">
        <w:rPr>
          <w:rFonts w:ascii="Aptos" w:hAnsi="Aptos"/>
          <w:szCs w:val="20"/>
        </w:rPr>
        <w:t xml:space="preserve">the subcommittees </w:t>
      </w:r>
      <w:r w:rsidR="00932E3F">
        <w:rPr>
          <w:rFonts w:ascii="Aptos" w:hAnsi="Aptos"/>
          <w:szCs w:val="20"/>
        </w:rPr>
        <w:t xml:space="preserve">have found </w:t>
      </w:r>
      <w:r w:rsidR="00FB55E6">
        <w:rPr>
          <w:rFonts w:ascii="Aptos" w:hAnsi="Aptos"/>
          <w:szCs w:val="20"/>
        </w:rPr>
        <w:t xml:space="preserve">that </w:t>
      </w:r>
      <w:r w:rsidR="00FB55E6" w:rsidRPr="00FB55E6">
        <w:rPr>
          <w:rFonts w:ascii="Aptos" w:hAnsi="Aptos"/>
          <w:szCs w:val="20"/>
        </w:rPr>
        <w:t xml:space="preserve">centralized </w:t>
      </w:r>
      <w:r w:rsidR="000D5FC6">
        <w:rPr>
          <w:rFonts w:ascii="Aptos" w:hAnsi="Aptos"/>
          <w:szCs w:val="20"/>
        </w:rPr>
        <w:t xml:space="preserve">information </w:t>
      </w:r>
      <w:r w:rsidR="00FB55E6" w:rsidRPr="00FB55E6">
        <w:rPr>
          <w:rFonts w:ascii="Aptos" w:hAnsi="Aptos"/>
          <w:szCs w:val="20"/>
        </w:rPr>
        <w:t>databases, designed to be interoperable with existing industry tools and processes, could help address some of the identified issues</w:t>
      </w:r>
      <w:r w:rsidR="00FB55E6">
        <w:rPr>
          <w:rFonts w:ascii="Aptos" w:hAnsi="Aptos"/>
          <w:szCs w:val="20"/>
        </w:rPr>
        <w:t xml:space="preserve">.  </w:t>
      </w:r>
    </w:p>
    <w:p w14:paraId="3575258F" w14:textId="77777777" w:rsidR="00C156EB" w:rsidRDefault="00FB55E6" w:rsidP="00FB55E6">
      <w:pPr>
        <w:spacing w:before="120" w:after="120"/>
        <w:jc w:val="both"/>
        <w:rPr>
          <w:rFonts w:ascii="Aptos" w:hAnsi="Aptos"/>
          <w:szCs w:val="20"/>
        </w:rPr>
      </w:pPr>
      <w:r w:rsidRPr="008C4A8D">
        <w:rPr>
          <w:rFonts w:ascii="Aptos" w:hAnsi="Aptos"/>
          <w:szCs w:val="20"/>
        </w:rPr>
        <w:t xml:space="preserve">The </w:t>
      </w:r>
      <w:r w:rsidR="000D5FC6">
        <w:rPr>
          <w:rFonts w:ascii="Aptos" w:hAnsi="Aptos"/>
          <w:szCs w:val="20"/>
        </w:rPr>
        <w:t xml:space="preserve">proposed </w:t>
      </w:r>
      <w:r w:rsidRPr="008C4A8D">
        <w:rPr>
          <w:rFonts w:ascii="Aptos" w:hAnsi="Aptos"/>
          <w:szCs w:val="20"/>
        </w:rPr>
        <w:t>conceptual approach is based on meeting discussions and input from a variety of entities representing different wholesale and retail electric market interests, including utilities, grid operators, technology service providers, and NERC</w:t>
      </w:r>
      <w:r w:rsidR="00932E3F">
        <w:rPr>
          <w:rFonts w:ascii="Aptos" w:hAnsi="Aptos"/>
          <w:szCs w:val="20"/>
        </w:rPr>
        <w:t xml:space="preserve"> staff</w:t>
      </w:r>
      <w:r w:rsidRPr="008C4A8D">
        <w:rPr>
          <w:rFonts w:ascii="Aptos" w:hAnsi="Aptos"/>
          <w:szCs w:val="20"/>
        </w:rPr>
        <w:t>.</w:t>
      </w:r>
      <w:r w:rsidR="000D5FC6">
        <w:rPr>
          <w:rFonts w:ascii="Aptos" w:hAnsi="Aptos"/>
          <w:szCs w:val="20"/>
        </w:rPr>
        <w:t xml:space="preserve">  As described in more detail below, the subcommittees are proposing </w:t>
      </w:r>
      <w:r w:rsidR="00C156EB">
        <w:rPr>
          <w:rFonts w:ascii="Aptos" w:hAnsi="Aptos"/>
          <w:szCs w:val="20"/>
        </w:rPr>
        <w:t>a two-part solution to:</w:t>
      </w:r>
    </w:p>
    <w:p w14:paraId="10ECEFED" w14:textId="1056C8E7" w:rsidR="00C156EB" w:rsidRDefault="00C156EB" w:rsidP="00C156EB">
      <w:pPr>
        <w:pStyle w:val="ListParagraph"/>
        <w:numPr>
          <w:ilvl w:val="0"/>
          <w:numId w:val="2"/>
        </w:numPr>
        <w:spacing w:before="120" w:after="120"/>
        <w:jc w:val="both"/>
        <w:rPr>
          <w:rFonts w:ascii="Aptos" w:hAnsi="Aptos"/>
          <w:szCs w:val="20"/>
        </w:rPr>
      </w:pPr>
      <w:r>
        <w:rPr>
          <w:rFonts w:ascii="Aptos" w:hAnsi="Aptos"/>
          <w:szCs w:val="20"/>
        </w:rPr>
        <w:t xml:space="preserve">Create </w:t>
      </w:r>
      <w:r w:rsidR="007A54CE" w:rsidRPr="003B1A8A">
        <w:rPr>
          <w:rFonts w:ascii="Aptos" w:hAnsi="Aptos"/>
          <w:szCs w:val="20"/>
        </w:rPr>
        <w:t xml:space="preserve">a centralized DER Entity Registry </w:t>
      </w:r>
      <w:r w:rsidR="00C40704">
        <w:rPr>
          <w:rFonts w:ascii="Aptos" w:hAnsi="Aptos"/>
          <w:szCs w:val="20"/>
        </w:rPr>
        <w:t>to support mutual authentication of parties</w:t>
      </w:r>
    </w:p>
    <w:p w14:paraId="66BC6938" w14:textId="39B19AF7" w:rsidR="007A54CE" w:rsidRPr="003B1A8A" w:rsidRDefault="00C156EB" w:rsidP="003B1A8A">
      <w:pPr>
        <w:pStyle w:val="ListParagraph"/>
        <w:numPr>
          <w:ilvl w:val="0"/>
          <w:numId w:val="2"/>
        </w:numPr>
        <w:spacing w:before="120" w:after="120"/>
        <w:jc w:val="both"/>
        <w:rPr>
          <w:rFonts w:ascii="Aptos" w:hAnsi="Aptos"/>
          <w:szCs w:val="20"/>
        </w:rPr>
      </w:pPr>
      <w:r>
        <w:rPr>
          <w:rFonts w:ascii="Aptos" w:hAnsi="Aptos"/>
          <w:szCs w:val="20"/>
        </w:rPr>
        <w:t>Develop NAESB</w:t>
      </w:r>
      <w:r w:rsidR="007A54CE" w:rsidRPr="003B1A8A">
        <w:rPr>
          <w:rFonts w:ascii="Aptos" w:hAnsi="Aptos"/>
          <w:szCs w:val="20"/>
        </w:rPr>
        <w:t xml:space="preserve"> </w:t>
      </w:r>
      <w:r>
        <w:rPr>
          <w:rFonts w:ascii="Aptos" w:hAnsi="Aptos"/>
          <w:szCs w:val="20"/>
        </w:rPr>
        <w:t>B</w:t>
      </w:r>
      <w:r w:rsidR="007A54CE" w:rsidRPr="003B1A8A">
        <w:rPr>
          <w:rFonts w:ascii="Aptos" w:hAnsi="Aptos"/>
          <w:szCs w:val="20"/>
        </w:rPr>
        <w:t xml:space="preserve">usiness </w:t>
      </w:r>
      <w:r>
        <w:rPr>
          <w:rFonts w:ascii="Aptos" w:hAnsi="Aptos"/>
          <w:szCs w:val="20"/>
        </w:rPr>
        <w:t>P</w:t>
      </w:r>
      <w:r w:rsidR="007A54CE" w:rsidRPr="003B1A8A">
        <w:rPr>
          <w:rFonts w:ascii="Aptos" w:hAnsi="Aptos"/>
          <w:szCs w:val="20"/>
        </w:rPr>
        <w:t xml:space="preserve">ractice </w:t>
      </w:r>
      <w:r>
        <w:rPr>
          <w:rFonts w:ascii="Aptos" w:hAnsi="Aptos"/>
          <w:szCs w:val="20"/>
        </w:rPr>
        <w:t>S</w:t>
      </w:r>
      <w:r w:rsidR="007A54CE" w:rsidRPr="003B1A8A">
        <w:rPr>
          <w:rFonts w:ascii="Aptos" w:hAnsi="Aptos"/>
          <w:szCs w:val="20"/>
        </w:rPr>
        <w:t xml:space="preserve">tandards </w:t>
      </w:r>
      <w:r w:rsidR="00C40704">
        <w:rPr>
          <w:rFonts w:ascii="Aptos" w:hAnsi="Aptos"/>
          <w:szCs w:val="20"/>
        </w:rPr>
        <w:t>to facilitate</w:t>
      </w:r>
      <w:r w:rsidR="007A54CE" w:rsidRPr="003B1A8A">
        <w:rPr>
          <w:rFonts w:ascii="Aptos" w:hAnsi="Aptos"/>
          <w:szCs w:val="20"/>
        </w:rPr>
        <w:t xml:space="preserve"> interoperability </w:t>
      </w:r>
      <w:r w:rsidR="00C40704">
        <w:rPr>
          <w:rFonts w:ascii="Aptos" w:hAnsi="Aptos"/>
          <w:szCs w:val="20"/>
        </w:rPr>
        <w:t>between</w:t>
      </w:r>
      <w:r w:rsidR="00D80508" w:rsidRPr="003B1A8A">
        <w:rPr>
          <w:rFonts w:ascii="Aptos" w:hAnsi="Aptos"/>
          <w:szCs w:val="20"/>
        </w:rPr>
        <w:t xml:space="preserve"> existing and future DER</w:t>
      </w:r>
      <w:r w:rsidR="00932E3F" w:rsidRPr="003B1A8A">
        <w:rPr>
          <w:rFonts w:ascii="Aptos" w:hAnsi="Aptos"/>
          <w:szCs w:val="20"/>
        </w:rPr>
        <w:t xml:space="preserve"> and aggregation</w:t>
      </w:r>
      <w:r w:rsidR="00D80508" w:rsidRPr="003B1A8A">
        <w:rPr>
          <w:rFonts w:ascii="Aptos" w:hAnsi="Aptos"/>
          <w:szCs w:val="20"/>
        </w:rPr>
        <w:t xml:space="preserve"> registries and other data tools.</w:t>
      </w:r>
    </w:p>
    <w:p w14:paraId="256DEA53" w14:textId="5B5BC5EF" w:rsidR="0049124E" w:rsidRDefault="00FB55E6" w:rsidP="0049124E">
      <w:pPr>
        <w:spacing w:before="120" w:after="120"/>
        <w:jc w:val="both"/>
        <w:rPr>
          <w:rFonts w:ascii="Aptos" w:hAnsi="Aptos"/>
          <w:szCs w:val="20"/>
        </w:rPr>
      </w:pPr>
      <w:r w:rsidRPr="008C4A8D">
        <w:rPr>
          <w:rFonts w:ascii="Aptos" w:hAnsi="Aptos"/>
          <w:szCs w:val="20"/>
        </w:rPr>
        <w:t>The subcommittees are seeking informal feedback from industry to help gauge support for moving forward and inform decisions regarding standards development</w:t>
      </w:r>
      <w:r w:rsidR="00932E3F">
        <w:rPr>
          <w:rFonts w:ascii="Aptos" w:hAnsi="Aptos"/>
          <w:szCs w:val="20"/>
        </w:rPr>
        <w:t xml:space="preserve"> and the creation of a DER Entity Registry</w:t>
      </w:r>
      <w:r w:rsidRPr="008C4A8D">
        <w:rPr>
          <w:rFonts w:ascii="Aptos" w:hAnsi="Aptos"/>
          <w:szCs w:val="20"/>
        </w:rPr>
        <w:t xml:space="preserve">.  </w:t>
      </w:r>
      <w:r w:rsidR="0049124E" w:rsidRPr="00D80508">
        <w:rPr>
          <w:rFonts w:ascii="Aptos" w:hAnsi="Aptos"/>
          <w:szCs w:val="20"/>
        </w:rPr>
        <w:t xml:space="preserve">This Concept Paper describes the considerations that </w:t>
      </w:r>
      <w:r w:rsidR="002339EA">
        <w:rPr>
          <w:rFonts w:ascii="Aptos" w:hAnsi="Aptos"/>
          <w:szCs w:val="20"/>
        </w:rPr>
        <w:t>resulted from</w:t>
      </w:r>
      <w:r w:rsidR="002339EA" w:rsidRPr="00D80508">
        <w:rPr>
          <w:rFonts w:ascii="Aptos" w:hAnsi="Aptos"/>
          <w:szCs w:val="20"/>
        </w:rPr>
        <w:t xml:space="preserve"> </w:t>
      </w:r>
      <w:r w:rsidR="0049124E" w:rsidRPr="00D80508">
        <w:rPr>
          <w:rFonts w:ascii="Aptos" w:hAnsi="Aptos"/>
          <w:szCs w:val="20"/>
        </w:rPr>
        <w:t>the</w:t>
      </w:r>
      <w:r w:rsidR="0049124E">
        <w:rPr>
          <w:rFonts w:ascii="Aptos" w:hAnsi="Aptos"/>
          <w:szCs w:val="20"/>
        </w:rPr>
        <w:t xml:space="preserve"> joint</w:t>
      </w:r>
      <w:r w:rsidR="0049124E" w:rsidRPr="00D80508">
        <w:rPr>
          <w:rFonts w:ascii="Aptos" w:hAnsi="Aptos"/>
          <w:szCs w:val="20"/>
        </w:rPr>
        <w:t xml:space="preserve"> discussions </w:t>
      </w:r>
      <w:r w:rsidR="0049124E">
        <w:rPr>
          <w:rFonts w:ascii="Aptos" w:hAnsi="Aptos"/>
          <w:szCs w:val="20"/>
        </w:rPr>
        <w:t>of the WEQ and RMQ BPS and</w:t>
      </w:r>
      <w:r w:rsidR="0049124E" w:rsidRPr="00D80508">
        <w:rPr>
          <w:rFonts w:ascii="Aptos" w:hAnsi="Aptos"/>
          <w:szCs w:val="20"/>
        </w:rPr>
        <w:t xml:space="preserve"> details the proposed conceptual approach.  The intent is to provide information </w:t>
      </w:r>
      <w:r w:rsidR="0049124E">
        <w:rPr>
          <w:rFonts w:ascii="Aptos" w:hAnsi="Aptos"/>
          <w:szCs w:val="20"/>
        </w:rPr>
        <w:t>that can be used to respond to the</w:t>
      </w:r>
      <w:r w:rsidR="0049124E" w:rsidRPr="00D80508">
        <w:rPr>
          <w:rFonts w:ascii="Aptos" w:hAnsi="Aptos"/>
          <w:szCs w:val="20"/>
        </w:rPr>
        <w:t xml:space="preserve"> questions</w:t>
      </w:r>
      <w:r w:rsidR="002339EA">
        <w:rPr>
          <w:rFonts w:ascii="Aptos" w:hAnsi="Aptos"/>
          <w:szCs w:val="20"/>
        </w:rPr>
        <w:t xml:space="preserve"> at the end of the paper</w:t>
      </w:r>
      <w:r w:rsidR="0049124E">
        <w:rPr>
          <w:rFonts w:ascii="Aptos" w:hAnsi="Aptos"/>
          <w:szCs w:val="20"/>
        </w:rPr>
        <w:t xml:space="preserve">. </w:t>
      </w:r>
    </w:p>
    <w:p w14:paraId="1451F8D9" w14:textId="1B4EAC0B" w:rsidR="00FB55E6" w:rsidRDefault="0049124E" w:rsidP="00FB55E6">
      <w:pPr>
        <w:spacing w:before="120" w:after="120"/>
        <w:jc w:val="both"/>
        <w:rPr>
          <w:rFonts w:ascii="Aptos" w:hAnsi="Aptos"/>
          <w:szCs w:val="20"/>
        </w:rPr>
      </w:pPr>
      <w:r>
        <w:rPr>
          <w:rFonts w:ascii="Aptos" w:hAnsi="Aptos"/>
          <w:szCs w:val="20"/>
        </w:rPr>
        <w:t>Consistent with the NAESB process, a</w:t>
      </w:r>
      <w:r w:rsidR="00FB55E6" w:rsidRPr="008C4A8D">
        <w:rPr>
          <w:rFonts w:ascii="Aptos" w:hAnsi="Aptos"/>
          <w:szCs w:val="20"/>
        </w:rPr>
        <w:t xml:space="preserve">ny subsequently developed recommendation for new or revised </w:t>
      </w:r>
      <w:r w:rsidR="00D80508">
        <w:rPr>
          <w:rFonts w:ascii="Aptos" w:hAnsi="Aptos"/>
          <w:szCs w:val="20"/>
        </w:rPr>
        <w:t>NAESB Business Practice Standards</w:t>
      </w:r>
      <w:r w:rsidR="00FB55E6" w:rsidRPr="008C4A8D">
        <w:rPr>
          <w:rFonts w:ascii="Aptos" w:hAnsi="Aptos"/>
          <w:szCs w:val="20"/>
        </w:rPr>
        <w:t xml:space="preserve"> will </w:t>
      </w:r>
      <w:r>
        <w:rPr>
          <w:rFonts w:ascii="Aptos" w:hAnsi="Aptos"/>
          <w:szCs w:val="20"/>
        </w:rPr>
        <w:t>be voted on by WEQ and RMQ BPS participants and distributed for a</w:t>
      </w:r>
      <w:r w:rsidR="00FB55E6" w:rsidRPr="008C4A8D">
        <w:rPr>
          <w:rFonts w:ascii="Aptos" w:hAnsi="Aptos"/>
          <w:szCs w:val="20"/>
        </w:rPr>
        <w:t xml:space="preserve"> formal industry comment </w:t>
      </w:r>
      <w:r>
        <w:rPr>
          <w:rFonts w:ascii="Aptos" w:hAnsi="Aptos"/>
          <w:szCs w:val="20"/>
        </w:rPr>
        <w:t>period before being considered by the</w:t>
      </w:r>
      <w:r w:rsidR="00FB55E6" w:rsidRPr="008C4A8D">
        <w:rPr>
          <w:rFonts w:ascii="Aptos" w:hAnsi="Aptos"/>
          <w:szCs w:val="20"/>
        </w:rPr>
        <w:t xml:space="preserve"> Executive Committees</w:t>
      </w:r>
      <w:r>
        <w:rPr>
          <w:rFonts w:ascii="Aptos" w:hAnsi="Aptos"/>
          <w:szCs w:val="20"/>
        </w:rPr>
        <w:t>.</w:t>
      </w:r>
    </w:p>
    <w:p w14:paraId="32EE4554" w14:textId="4CB960A8" w:rsidR="000D4E0D" w:rsidRPr="008C4A8D" w:rsidRDefault="008C4A8D" w:rsidP="000D4E0D">
      <w:pPr>
        <w:spacing w:before="120" w:after="120"/>
        <w:rPr>
          <w:rFonts w:ascii="Aptos" w:hAnsi="Aptos"/>
          <w:b/>
          <w:bCs/>
          <w:sz w:val="24"/>
          <w:szCs w:val="24"/>
        </w:rPr>
      </w:pPr>
      <w:r>
        <w:rPr>
          <w:rFonts w:ascii="Aptos" w:hAnsi="Aptos"/>
          <w:b/>
          <w:bCs/>
          <w:sz w:val="24"/>
          <w:szCs w:val="24"/>
        </w:rPr>
        <w:t>I</w:t>
      </w:r>
      <w:r w:rsidR="008F72DF" w:rsidRPr="008C4A8D">
        <w:rPr>
          <w:rFonts w:ascii="Aptos" w:hAnsi="Aptos"/>
          <w:b/>
          <w:bCs/>
          <w:sz w:val="24"/>
          <w:szCs w:val="24"/>
        </w:rPr>
        <w:t>I. Problem Statement</w:t>
      </w:r>
    </w:p>
    <w:p w14:paraId="711168FC" w14:textId="540BB200" w:rsidR="009F4FFD" w:rsidRPr="008C4A8D" w:rsidRDefault="00BA0396" w:rsidP="00BA0396">
      <w:pPr>
        <w:spacing w:before="120" w:after="120"/>
        <w:jc w:val="both"/>
        <w:rPr>
          <w:rFonts w:ascii="Aptos" w:hAnsi="Aptos"/>
          <w:szCs w:val="20"/>
        </w:rPr>
      </w:pPr>
      <w:r w:rsidRPr="008C4A8D">
        <w:rPr>
          <w:rFonts w:ascii="Aptos" w:hAnsi="Aptos"/>
          <w:szCs w:val="20"/>
        </w:rPr>
        <w:t xml:space="preserve">Both reliable grid operations and effective utilization of DERs are dependent upon relevant electric </w:t>
      </w:r>
      <w:r w:rsidR="00690EAB">
        <w:rPr>
          <w:rFonts w:ascii="Aptos" w:hAnsi="Aptos"/>
          <w:szCs w:val="20"/>
        </w:rPr>
        <w:t>industry</w:t>
      </w:r>
      <w:r w:rsidR="00690EAB" w:rsidRPr="008C4A8D">
        <w:rPr>
          <w:rFonts w:ascii="Aptos" w:hAnsi="Aptos"/>
          <w:szCs w:val="20"/>
        </w:rPr>
        <w:t xml:space="preserve"> </w:t>
      </w:r>
      <w:r w:rsidRPr="008C4A8D">
        <w:rPr>
          <w:rFonts w:ascii="Aptos" w:hAnsi="Aptos"/>
          <w:szCs w:val="20"/>
        </w:rPr>
        <w:t xml:space="preserve">participants </w:t>
      </w:r>
      <w:r w:rsidR="00824F5F">
        <w:rPr>
          <w:rFonts w:ascii="Aptos" w:hAnsi="Aptos"/>
          <w:szCs w:val="20"/>
        </w:rPr>
        <w:t xml:space="preserve">having secure, consistent access to </w:t>
      </w:r>
      <w:r w:rsidRPr="008C4A8D">
        <w:rPr>
          <w:rFonts w:ascii="Aptos" w:hAnsi="Aptos"/>
          <w:szCs w:val="20"/>
        </w:rPr>
        <w:t xml:space="preserve">accurate DER information. However, large gaps exist in the availability of DER information critical for </w:t>
      </w:r>
      <w:r w:rsidR="00824F5F">
        <w:rPr>
          <w:rFonts w:ascii="Aptos" w:hAnsi="Aptos"/>
          <w:szCs w:val="20"/>
        </w:rPr>
        <w:t xml:space="preserve">establishing </w:t>
      </w:r>
      <w:r w:rsidRPr="008C4A8D">
        <w:rPr>
          <w:rFonts w:ascii="Aptos" w:hAnsi="Aptos"/>
          <w:szCs w:val="20"/>
        </w:rPr>
        <w:t>situational awareness and carry</w:t>
      </w:r>
      <w:r w:rsidR="00824F5F">
        <w:rPr>
          <w:rFonts w:ascii="Aptos" w:hAnsi="Aptos"/>
          <w:szCs w:val="20"/>
        </w:rPr>
        <w:t xml:space="preserve">ing </w:t>
      </w:r>
      <w:r w:rsidRPr="008C4A8D">
        <w:rPr>
          <w:rFonts w:ascii="Aptos" w:hAnsi="Aptos"/>
          <w:szCs w:val="20"/>
        </w:rPr>
        <w:t xml:space="preserve">out necessary grid functions.  </w:t>
      </w:r>
      <w:r w:rsidR="00B34319">
        <w:rPr>
          <w:rFonts w:ascii="Aptos" w:hAnsi="Aptos"/>
          <w:szCs w:val="20"/>
        </w:rPr>
        <w:t>Further, w</w:t>
      </w:r>
      <w:r w:rsidR="009F4FFD" w:rsidRPr="008C4A8D">
        <w:rPr>
          <w:rFonts w:ascii="Aptos" w:hAnsi="Aptos"/>
          <w:szCs w:val="20"/>
        </w:rPr>
        <w:t xml:space="preserve">ide variances in the quality, content and formatting of DER data are impacting the ability of electric </w:t>
      </w:r>
      <w:r w:rsidR="006B17F0">
        <w:rPr>
          <w:rFonts w:ascii="Aptos" w:hAnsi="Aptos"/>
          <w:szCs w:val="20"/>
        </w:rPr>
        <w:t>industry</w:t>
      </w:r>
      <w:r w:rsidR="006B17F0" w:rsidRPr="008C4A8D">
        <w:rPr>
          <w:rFonts w:ascii="Aptos" w:hAnsi="Aptos"/>
          <w:szCs w:val="20"/>
        </w:rPr>
        <w:t xml:space="preserve"> </w:t>
      </w:r>
      <w:r w:rsidR="009F4FFD" w:rsidRPr="008C4A8D">
        <w:rPr>
          <w:rFonts w:ascii="Aptos" w:hAnsi="Aptos"/>
          <w:szCs w:val="20"/>
        </w:rPr>
        <w:t>participants to efficiently collect</w:t>
      </w:r>
      <w:r w:rsidR="00781A2C" w:rsidRPr="008C4A8D">
        <w:rPr>
          <w:rFonts w:ascii="Aptos" w:hAnsi="Aptos"/>
          <w:szCs w:val="20"/>
        </w:rPr>
        <w:t>, validate,</w:t>
      </w:r>
      <w:r w:rsidR="009F4FFD" w:rsidRPr="008C4A8D">
        <w:rPr>
          <w:rFonts w:ascii="Aptos" w:hAnsi="Aptos"/>
          <w:szCs w:val="20"/>
        </w:rPr>
        <w:t xml:space="preserve"> and synthesize DER information.  While manual </w:t>
      </w:r>
      <w:r w:rsidR="009F4FFD" w:rsidRPr="008C4A8D">
        <w:rPr>
          <w:rFonts w:ascii="Aptos" w:hAnsi="Aptos"/>
          <w:szCs w:val="20"/>
        </w:rPr>
        <w:lastRenderedPageBreak/>
        <w:t xml:space="preserve">processes exist to map disparate data between incompatible systems, the large </w:t>
      </w:r>
      <w:r w:rsidR="0049649A" w:rsidRPr="008C4A8D">
        <w:rPr>
          <w:rFonts w:ascii="Aptos" w:hAnsi="Aptos"/>
          <w:szCs w:val="20"/>
        </w:rPr>
        <w:t>number</w:t>
      </w:r>
      <w:r w:rsidR="009F4FFD" w:rsidRPr="008C4A8D">
        <w:rPr>
          <w:rFonts w:ascii="Aptos" w:hAnsi="Aptos"/>
          <w:szCs w:val="20"/>
        </w:rPr>
        <w:t xml:space="preserve"> of DERs and quantity of data </w:t>
      </w:r>
      <w:r w:rsidR="002339EA">
        <w:rPr>
          <w:rFonts w:ascii="Aptos" w:hAnsi="Aptos"/>
          <w:szCs w:val="20"/>
        </w:rPr>
        <w:t xml:space="preserve">makes analysis time consuming and inefficient. </w:t>
      </w:r>
    </w:p>
    <w:p w14:paraId="2CB73947" w14:textId="5FB89A64" w:rsidR="00346D82" w:rsidRPr="008C4A8D" w:rsidRDefault="009F4FFD" w:rsidP="009D06BB">
      <w:pPr>
        <w:spacing w:before="120" w:after="120"/>
        <w:jc w:val="both"/>
        <w:rPr>
          <w:rFonts w:ascii="Aptos" w:hAnsi="Aptos"/>
          <w:szCs w:val="20"/>
        </w:rPr>
      </w:pPr>
      <w:r w:rsidRPr="008C4A8D">
        <w:rPr>
          <w:rFonts w:ascii="Aptos" w:hAnsi="Aptos"/>
          <w:szCs w:val="20"/>
        </w:rPr>
        <w:t xml:space="preserve">As recognized by NERC, a lack of visibility </w:t>
      </w:r>
      <w:r w:rsidR="002339EA">
        <w:rPr>
          <w:rFonts w:ascii="Aptos" w:hAnsi="Aptos"/>
          <w:szCs w:val="20"/>
        </w:rPr>
        <w:t>related</w:t>
      </w:r>
      <w:r w:rsidRPr="008C4A8D">
        <w:rPr>
          <w:rFonts w:ascii="Aptos" w:hAnsi="Aptos"/>
          <w:szCs w:val="20"/>
        </w:rPr>
        <w:t xml:space="preserve"> to the quantity, location, and characteristics of DERs is driving increased variability and uncertainty for bulk power system planning and operations.  </w:t>
      </w:r>
      <w:r w:rsidR="0049649A" w:rsidRPr="008C4A8D">
        <w:rPr>
          <w:rFonts w:ascii="Aptos" w:hAnsi="Aptos"/>
          <w:szCs w:val="20"/>
        </w:rPr>
        <w:t xml:space="preserve">Access to this same information is </w:t>
      </w:r>
      <w:r w:rsidR="00AA4727">
        <w:rPr>
          <w:rFonts w:ascii="Aptos" w:hAnsi="Aptos"/>
          <w:szCs w:val="20"/>
        </w:rPr>
        <w:t>needed</w:t>
      </w:r>
      <w:r w:rsidR="0049649A" w:rsidRPr="008C4A8D">
        <w:rPr>
          <w:rFonts w:ascii="Aptos" w:hAnsi="Aptos"/>
          <w:szCs w:val="20"/>
        </w:rPr>
        <w:t xml:space="preserve"> to </w:t>
      </w:r>
      <w:r w:rsidR="00FA3274" w:rsidRPr="008C4A8D">
        <w:rPr>
          <w:rFonts w:ascii="Aptos" w:hAnsi="Aptos"/>
          <w:szCs w:val="20"/>
        </w:rPr>
        <w:t xml:space="preserve">help identify and mitigate cybersecurity risks and protect sensitive data.  </w:t>
      </w:r>
      <w:r w:rsidR="0049649A" w:rsidRPr="008C4A8D">
        <w:rPr>
          <w:rFonts w:ascii="Aptos" w:hAnsi="Aptos"/>
          <w:szCs w:val="20"/>
        </w:rPr>
        <w:t xml:space="preserve">The data necessary to enhance </w:t>
      </w:r>
      <w:r w:rsidR="00FA3274" w:rsidRPr="008C4A8D">
        <w:rPr>
          <w:rFonts w:ascii="Aptos" w:hAnsi="Aptos"/>
          <w:szCs w:val="20"/>
        </w:rPr>
        <w:t xml:space="preserve">DER </w:t>
      </w:r>
      <w:r w:rsidR="0049649A" w:rsidRPr="008C4A8D">
        <w:rPr>
          <w:rFonts w:ascii="Aptos" w:hAnsi="Aptos"/>
          <w:szCs w:val="20"/>
        </w:rPr>
        <w:t xml:space="preserve">visibility and increase situational awareness </w:t>
      </w:r>
      <w:r w:rsidR="00912EB3">
        <w:rPr>
          <w:rFonts w:ascii="Aptos" w:hAnsi="Aptos"/>
          <w:szCs w:val="20"/>
        </w:rPr>
        <w:t>is</w:t>
      </w:r>
      <w:r w:rsidR="00B34319">
        <w:rPr>
          <w:rFonts w:ascii="Aptos" w:hAnsi="Aptos"/>
          <w:szCs w:val="20"/>
        </w:rPr>
        <w:t xml:space="preserve"> owned or controlled by </w:t>
      </w:r>
      <w:r w:rsidR="0049649A" w:rsidRPr="008C4A8D">
        <w:rPr>
          <w:rFonts w:ascii="Aptos" w:hAnsi="Aptos"/>
          <w:szCs w:val="20"/>
        </w:rPr>
        <w:t xml:space="preserve">a </w:t>
      </w:r>
      <w:r w:rsidR="00FA3274" w:rsidRPr="008C4A8D">
        <w:rPr>
          <w:rFonts w:ascii="Aptos" w:hAnsi="Aptos"/>
          <w:szCs w:val="20"/>
        </w:rPr>
        <w:t xml:space="preserve">variety of </w:t>
      </w:r>
      <w:r w:rsidR="006B17F0">
        <w:rPr>
          <w:rFonts w:ascii="Aptos" w:hAnsi="Aptos"/>
          <w:szCs w:val="20"/>
        </w:rPr>
        <w:t>industry</w:t>
      </w:r>
      <w:r w:rsidR="006B17F0" w:rsidRPr="008C4A8D">
        <w:rPr>
          <w:rFonts w:ascii="Aptos" w:hAnsi="Aptos"/>
          <w:szCs w:val="20"/>
        </w:rPr>
        <w:t xml:space="preserve"> </w:t>
      </w:r>
      <w:r w:rsidR="00050808" w:rsidRPr="008C4A8D">
        <w:rPr>
          <w:rFonts w:ascii="Aptos" w:hAnsi="Aptos"/>
          <w:szCs w:val="20"/>
        </w:rPr>
        <w:t>participants</w:t>
      </w:r>
      <w:r w:rsidR="00AA4727">
        <w:rPr>
          <w:rFonts w:ascii="Aptos" w:hAnsi="Aptos"/>
          <w:szCs w:val="20"/>
        </w:rPr>
        <w:t>, each with their own software systems or databases</w:t>
      </w:r>
      <w:r w:rsidR="00FA3274" w:rsidRPr="008C4A8D">
        <w:rPr>
          <w:rFonts w:ascii="Aptos" w:hAnsi="Aptos"/>
          <w:szCs w:val="20"/>
        </w:rPr>
        <w:t xml:space="preserve">.  </w:t>
      </w:r>
      <w:r w:rsidR="00205ECC" w:rsidRPr="008C4A8D">
        <w:rPr>
          <w:rFonts w:ascii="Aptos" w:hAnsi="Aptos"/>
          <w:szCs w:val="20"/>
        </w:rPr>
        <w:t xml:space="preserve">With over 3,000 distribution providers, multiple RTOs/ISOs and bulk electric grid operators, </w:t>
      </w:r>
      <w:r w:rsidR="00AA4727">
        <w:rPr>
          <w:rFonts w:ascii="Aptos" w:hAnsi="Aptos"/>
          <w:szCs w:val="20"/>
        </w:rPr>
        <w:t xml:space="preserve">hundreds of aggregators, </w:t>
      </w:r>
      <w:r w:rsidR="00205ECC" w:rsidRPr="008C4A8D">
        <w:rPr>
          <w:rFonts w:ascii="Aptos" w:hAnsi="Aptos"/>
          <w:szCs w:val="20"/>
        </w:rPr>
        <w:t xml:space="preserve">thousands of regulatory and permitting groups, and millions of DERs, </w:t>
      </w:r>
      <w:r w:rsidR="00050808" w:rsidRPr="008C4A8D">
        <w:rPr>
          <w:rFonts w:ascii="Aptos" w:hAnsi="Aptos"/>
          <w:szCs w:val="20"/>
        </w:rPr>
        <w:t>developing customized solutions to interface with proprietary systems has significant cost implications for industry.</w:t>
      </w:r>
      <w:r w:rsidR="00781A2C" w:rsidRPr="008C4A8D">
        <w:rPr>
          <w:rFonts w:ascii="Aptos" w:hAnsi="Aptos"/>
          <w:szCs w:val="20"/>
        </w:rPr>
        <w:t xml:space="preserve">  Effective and efficient cross-market coordination and collaboration </w:t>
      </w:r>
      <w:r w:rsidR="00690EAB">
        <w:rPr>
          <w:rFonts w:ascii="Aptos" w:hAnsi="Aptos"/>
          <w:szCs w:val="20"/>
        </w:rPr>
        <w:t xml:space="preserve">is </w:t>
      </w:r>
      <w:r w:rsidR="00824F5F">
        <w:rPr>
          <w:rFonts w:ascii="Aptos" w:hAnsi="Aptos"/>
          <w:szCs w:val="20"/>
        </w:rPr>
        <w:t>needed</w:t>
      </w:r>
      <w:r w:rsidR="00781A2C" w:rsidRPr="008C4A8D">
        <w:rPr>
          <w:rFonts w:ascii="Aptos" w:hAnsi="Aptos"/>
          <w:szCs w:val="20"/>
        </w:rPr>
        <w:t xml:space="preserve"> to provide relevant stakeholders with fair and equal access to accurate DER information in a reliable manner. </w:t>
      </w:r>
    </w:p>
    <w:p w14:paraId="7515E656" w14:textId="5FA361FE" w:rsidR="00561B79" w:rsidRPr="008C4A8D" w:rsidRDefault="00297539" w:rsidP="009D06BB">
      <w:pPr>
        <w:spacing w:before="120" w:after="120"/>
        <w:jc w:val="both"/>
        <w:rPr>
          <w:rFonts w:ascii="Aptos" w:hAnsi="Aptos"/>
          <w:b/>
          <w:bCs/>
          <w:sz w:val="24"/>
          <w:szCs w:val="24"/>
        </w:rPr>
      </w:pPr>
      <w:r w:rsidRPr="008C4A8D">
        <w:rPr>
          <w:rFonts w:ascii="Aptos" w:hAnsi="Aptos"/>
          <w:b/>
          <w:bCs/>
          <w:sz w:val="24"/>
          <w:szCs w:val="24"/>
        </w:rPr>
        <w:t>I</w:t>
      </w:r>
      <w:r w:rsidR="008C4A8D">
        <w:rPr>
          <w:rFonts w:ascii="Aptos" w:hAnsi="Aptos"/>
          <w:b/>
          <w:bCs/>
          <w:sz w:val="24"/>
          <w:szCs w:val="24"/>
        </w:rPr>
        <w:t>I</w:t>
      </w:r>
      <w:r w:rsidRPr="008C4A8D">
        <w:rPr>
          <w:rFonts w:ascii="Aptos" w:hAnsi="Aptos"/>
          <w:b/>
          <w:bCs/>
          <w:sz w:val="24"/>
          <w:szCs w:val="24"/>
        </w:rPr>
        <w:t>I. Considerations</w:t>
      </w:r>
      <w:r w:rsidR="00103121" w:rsidRPr="008C4A8D">
        <w:rPr>
          <w:rFonts w:ascii="Aptos" w:hAnsi="Aptos"/>
          <w:b/>
          <w:bCs/>
          <w:sz w:val="24"/>
          <w:szCs w:val="24"/>
        </w:rPr>
        <w:t xml:space="preserve"> </w:t>
      </w:r>
      <w:r w:rsidR="000D5FC6">
        <w:rPr>
          <w:rFonts w:ascii="Aptos" w:hAnsi="Aptos"/>
          <w:b/>
          <w:bCs/>
          <w:sz w:val="24"/>
          <w:szCs w:val="24"/>
        </w:rPr>
        <w:t>of</w:t>
      </w:r>
      <w:r w:rsidR="00103121" w:rsidRPr="008C4A8D">
        <w:rPr>
          <w:rFonts w:ascii="Aptos" w:hAnsi="Aptos"/>
          <w:b/>
          <w:bCs/>
          <w:sz w:val="24"/>
          <w:szCs w:val="24"/>
        </w:rPr>
        <w:t xml:space="preserve"> the WEQ and RMQ Business Practices Subcommittees </w:t>
      </w:r>
    </w:p>
    <w:p w14:paraId="0E53F919" w14:textId="349C40ED" w:rsidR="0042793A" w:rsidRPr="008C4A8D" w:rsidRDefault="00E025E9" w:rsidP="009D06BB">
      <w:pPr>
        <w:spacing w:before="120" w:after="120"/>
        <w:jc w:val="both"/>
        <w:rPr>
          <w:rFonts w:ascii="Aptos" w:hAnsi="Aptos"/>
          <w:szCs w:val="20"/>
        </w:rPr>
      </w:pPr>
      <w:r>
        <w:rPr>
          <w:rFonts w:ascii="Aptos" w:hAnsi="Aptos"/>
          <w:szCs w:val="20"/>
        </w:rPr>
        <w:t>The WEQ and RMQ BPS</w:t>
      </w:r>
      <w:r w:rsidR="002339EA">
        <w:rPr>
          <w:rFonts w:ascii="Aptos" w:hAnsi="Aptos"/>
          <w:szCs w:val="20"/>
        </w:rPr>
        <w:t xml:space="preserve"> initiated the effort</w:t>
      </w:r>
      <w:r>
        <w:rPr>
          <w:rFonts w:ascii="Aptos" w:hAnsi="Aptos"/>
          <w:szCs w:val="20"/>
        </w:rPr>
        <w:t xml:space="preserve"> by reviewing the various </w:t>
      </w:r>
      <w:r w:rsidRPr="008C4A8D">
        <w:rPr>
          <w:rFonts w:ascii="Aptos" w:hAnsi="Aptos"/>
          <w:szCs w:val="20"/>
        </w:rPr>
        <w:t>existing tools and processes used to facilitate DER data collection</w:t>
      </w:r>
      <w:r>
        <w:rPr>
          <w:rFonts w:ascii="Aptos" w:hAnsi="Aptos"/>
          <w:szCs w:val="20"/>
        </w:rPr>
        <w:t xml:space="preserve">.  </w:t>
      </w:r>
      <w:r w:rsidR="00897500">
        <w:rPr>
          <w:rFonts w:ascii="Aptos" w:hAnsi="Aptos"/>
          <w:szCs w:val="20"/>
        </w:rPr>
        <w:t xml:space="preserve">Presentations and information </w:t>
      </w:r>
      <w:r w:rsidR="002E6223">
        <w:rPr>
          <w:rFonts w:ascii="Aptos" w:hAnsi="Aptos"/>
          <w:szCs w:val="20"/>
        </w:rPr>
        <w:t xml:space="preserve">provided </w:t>
      </w:r>
      <w:r w:rsidR="00897500">
        <w:rPr>
          <w:rFonts w:ascii="Aptos" w:hAnsi="Aptos"/>
          <w:szCs w:val="20"/>
        </w:rPr>
        <w:t>by r</w:t>
      </w:r>
      <w:r w:rsidRPr="008C4A8D">
        <w:rPr>
          <w:rFonts w:ascii="Aptos" w:hAnsi="Aptos"/>
          <w:szCs w:val="20"/>
        </w:rPr>
        <w:t xml:space="preserve">epresentatives from MISO, CAISO, New York ISO, </w:t>
      </w:r>
      <w:proofErr w:type="spellStart"/>
      <w:r w:rsidRPr="008C4A8D">
        <w:rPr>
          <w:rFonts w:ascii="Aptos" w:hAnsi="Aptos"/>
          <w:szCs w:val="20"/>
        </w:rPr>
        <w:t>Evergy</w:t>
      </w:r>
      <w:proofErr w:type="spellEnd"/>
      <w:r w:rsidRPr="008C4A8D">
        <w:rPr>
          <w:rFonts w:ascii="Aptos" w:hAnsi="Aptos"/>
          <w:szCs w:val="20"/>
        </w:rPr>
        <w:t xml:space="preserve">, and Collaborative Utility Solutions </w:t>
      </w:r>
      <w:r w:rsidR="007918CC">
        <w:rPr>
          <w:rFonts w:ascii="Aptos" w:hAnsi="Aptos"/>
          <w:szCs w:val="20"/>
        </w:rPr>
        <w:t>gave</w:t>
      </w:r>
      <w:r w:rsidR="002E6223">
        <w:rPr>
          <w:rFonts w:ascii="Aptos" w:hAnsi="Aptos"/>
          <w:szCs w:val="20"/>
        </w:rPr>
        <w:t xml:space="preserve"> insight </w:t>
      </w:r>
      <w:r w:rsidRPr="008C4A8D">
        <w:rPr>
          <w:rFonts w:ascii="Aptos" w:hAnsi="Aptos"/>
          <w:szCs w:val="20"/>
        </w:rPr>
        <w:t>into coordination challenges and information availability</w:t>
      </w:r>
      <w:r>
        <w:rPr>
          <w:rFonts w:ascii="Aptos" w:hAnsi="Aptos"/>
          <w:szCs w:val="20"/>
        </w:rPr>
        <w:t xml:space="preserve"> gaps</w:t>
      </w:r>
      <w:r w:rsidR="002E6223">
        <w:rPr>
          <w:rFonts w:ascii="Aptos" w:hAnsi="Aptos"/>
          <w:szCs w:val="20"/>
        </w:rPr>
        <w:t xml:space="preserve"> and led to exploration of how standardization could help address issues</w:t>
      </w:r>
      <w:r w:rsidR="007918CC">
        <w:rPr>
          <w:rFonts w:ascii="Aptos" w:hAnsi="Aptos"/>
          <w:szCs w:val="20"/>
        </w:rPr>
        <w:t xml:space="preserve"> identified by the subcommittees</w:t>
      </w:r>
      <w:r w:rsidRPr="008C4A8D">
        <w:rPr>
          <w:rFonts w:ascii="Aptos" w:hAnsi="Aptos"/>
          <w:szCs w:val="20"/>
        </w:rPr>
        <w:t>.</w:t>
      </w:r>
      <w:r>
        <w:rPr>
          <w:rFonts w:ascii="Aptos" w:hAnsi="Aptos"/>
          <w:szCs w:val="20"/>
        </w:rPr>
        <w:t xml:space="preserve">  </w:t>
      </w:r>
      <w:r w:rsidR="00173849">
        <w:rPr>
          <w:rFonts w:ascii="Aptos" w:hAnsi="Aptos"/>
          <w:szCs w:val="20"/>
        </w:rPr>
        <w:t>Further discussions and s</w:t>
      </w:r>
      <w:r>
        <w:rPr>
          <w:rFonts w:ascii="Aptos" w:hAnsi="Aptos"/>
          <w:szCs w:val="20"/>
        </w:rPr>
        <w:t xml:space="preserve">ubsequently developed use cases, based on </w:t>
      </w:r>
      <w:r w:rsidR="007918CC">
        <w:rPr>
          <w:rFonts w:ascii="Aptos" w:hAnsi="Aptos"/>
          <w:szCs w:val="20"/>
        </w:rPr>
        <w:t xml:space="preserve">NERC guidance and additional </w:t>
      </w:r>
      <w:r>
        <w:rPr>
          <w:rFonts w:ascii="Aptos" w:hAnsi="Aptos"/>
          <w:szCs w:val="20"/>
        </w:rPr>
        <w:t>participant</w:t>
      </w:r>
      <w:r w:rsidR="007918CC">
        <w:rPr>
          <w:rFonts w:ascii="Aptos" w:hAnsi="Aptos"/>
          <w:szCs w:val="20"/>
        </w:rPr>
        <w:t xml:space="preserve"> perspective</w:t>
      </w:r>
      <w:r>
        <w:rPr>
          <w:rFonts w:ascii="Aptos" w:hAnsi="Aptos"/>
          <w:szCs w:val="20"/>
        </w:rPr>
        <w:t xml:space="preserve">, </w:t>
      </w:r>
      <w:r w:rsidR="001B3CF1" w:rsidRPr="008C4A8D">
        <w:rPr>
          <w:rFonts w:ascii="Aptos" w:hAnsi="Aptos"/>
          <w:szCs w:val="20"/>
        </w:rPr>
        <w:t xml:space="preserve">led to a general consensus that </w:t>
      </w:r>
      <w:r w:rsidR="00957632" w:rsidRPr="008C4A8D">
        <w:rPr>
          <w:rFonts w:ascii="Aptos" w:hAnsi="Aptos"/>
          <w:szCs w:val="20"/>
        </w:rPr>
        <w:t xml:space="preserve">centralized registries, </w:t>
      </w:r>
      <w:r w:rsidR="00851960" w:rsidRPr="008C4A8D">
        <w:rPr>
          <w:rFonts w:ascii="Aptos" w:hAnsi="Aptos"/>
          <w:szCs w:val="20"/>
        </w:rPr>
        <w:t xml:space="preserve">supported by a standardized framework and </w:t>
      </w:r>
      <w:r w:rsidR="001B3CF1" w:rsidRPr="008C4A8D">
        <w:rPr>
          <w:rFonts w:ascii="Aptos" w:hAnsi="Aptos"/>
          <w:szCs w:val="20"/>
        </w:rPr>
        <w:t xml:space="preserve">designed to be interoperable with existing industry tools and processes </w:t>
      </w:r>
      <w:r w:rsidR="00202F6D">
        <w:rPr>
          <w:rFonts w:ascii="Aptos" w:hAnsi="Aptos"/>
          <w:szCs w:val="20"/>
        </w:rPr>
        <w:t xml:space="preserve">would </w:t>
      </w:r>
      <w:r w:rsidR="00E54EFE">
        <w:rPr>
          <w:rFonts w:ascii="Aptos" w:hAnsi="Aptos"/>
          <w:szCs w:val="20"/>
        </w:rPr>
        <w:t>establish</w:t>
      </w:r>
      <w:r w:rsidR="00202F6D">
        <w:rPr>
          <w:rFonts w:ascii="Aptos" w:hAnsi="Aptos"/>
          <w:szCs w:val="20"/>
        </w:rPr>
        <w:t xml:space="preserve"> mechanism</w:t>
      </w:r>
      <w:r w:rsidR="00E54EFE">
        <w:rPr>
          <w:rFonts w:ascii="Aptos" w:hAnsi="Aptos"/>
          <w:szCs w:val="20"/>
        </w:rPr>
        <w:t>s</w:t>
      </w:r>
      <w:r w:rsidR="00202F6D">
        <w:rPr>
          <w:rFonts w:ascii="Aptos" w:hAnsi="Aptos"/>
          <w:szCs w:val="20"/>
        </w:rPr>
        <w:t xml:space="preserve"> to reliably access and validate DER information that </w:t>
      </w:r>
      <w:r w:rsidR="00851960" w:rsidRPr="008C4A8D">
        <w:rPr>
          <w:rFonts w:ascii="Aptos" w:hAnsi="Aptos"/>
          <w:szCs w:val="20"/>
        </w:rPr>
        <w:t xml:space="preserve">could </w:t>
      </w:r>
      <w:r w:rsidR="007918CC">
        <w:rPr>
          <w:rFonts w:ascii="Aptos" w:hAnsi="Aptos"/>
          <w:szCs w:val="20"/>
        </w:rPr>
        <w:t>best</w:t>
      </w:r>
      <w:r w:rsidR="007918CC" w:rsidRPr="008C4A8D">
        <w:rPr>
          <w:rFonts w:ascii="Aptos" w:hAnsi="Aptos"/>
          <w:szCs w:val="20"/>
        </w:rPr>
        <w:t xml:space="preserve"> </w:t>
      </w:r>
      <w:r w:rsidR="0042793A" w:rsidRPr="008C4A8D">
        <w:rPr>
          <w:rFonts w:ascii="Aptos" w:hAnsi="Aptos"/>
          <w:szCs w:val="20"/>
        </w:rPr>
        <w:t xml:space="preserve">address some of </w:t>
      </w:r>
      <w:r w:rsidR="0042793A">
        <w:rPr>
          <w:rFonts w:ascii="Aptos" w:hAnsi="Aptos"/>
          <w:szCs w:val="20"/>
        </w:rPr>
        <w:t>the</w:t>
      </w:r>
      <w:r w:rsidR="0042793A" w:rsidRPr="008C4A8D">
        <w:rPr>
          <w:rFonts w:ascii="Aptos" w:hAnsi="Aptos"/>
          <w:szCs w:val="20"/>
        </w:rPr>
        <w:t xml:space="preserve"> issues</w:t>
      </w:r>
      <w:r w:rsidR="0042793A">
        <w:rPr>
          <w:rFonts w:ascii="Aptos" w:hAnsi="Aptos"/>
          <w:szCs w:val="20"/>
        </w:rPr>
        <w:t xml:space="preserve"> identified by the subcommittees</w:t>
      </w:r>
      <w:r w:rsidR="00851960" w:rsidRPr="008C4A8D">
        <w:rPr>
          <w:rFonts w:ascii="Aptos" w:hAnsi="Aptos"/>
          <w:szCs w:val="20"/>
        </w:rPr>
        <w:t>.</w:t>
      </w:r>
      <w:r w:rsidR="00C84451">
        <w:rPr>
          <w:rFonts w:ascii="Aptos" w:hAnsi="Aptos"/>
          <w:szCs w:val="20"/>
        </w:rPr>
        <w:t xml:space="preserve">  </w:t>
      </w:r>
      <w:r w:rsidR="00BD5AAF" w:rsidRPr="008C4A8D">
        <w:rPr>
          <w:rFonts w:ascii="Aptos" w:hAnsi="Aptos"/>
          <w:szCs w:val="20"/>
        </w:rPr>
        <w:t xml:space="preserve">After evaluating possible paths for establishing </w:t>
      </w:r>
      <w:r w:rsidR="00BD5AAF">
        <w:rPr>
          <w:rFonts w:ascii="Aptos" w:hAnsi="Aptos"/>
          <w:szCs w:val="20"/>
        </w:rPr>
        <w:t>such</w:t>
      </w:r>
      <w:r w:rsidR="00BD5AAF" w:rsidRPr="008C4A8D">
        <w:rPr>
          <w:rFonts w:ascii="Aptos" w:hAnsi="Aptos"/>
          <w:szCs w:val="20"/>
        </w:rPr>
        <w:t xml:space="preserve"> registries, it was determined that </w:t>
      </w:r>
      <w:r w:rsidR="00C40704">
        <w:rPr>
          <w:rFonts w:ascii="Aptos" w:hAnsi="Aptos"/>
          <w:szCs w:val="20"/>
        </w:rPr>
        <w:t>a</w:t>
      </w:r>
      <w:r w:rsidR="00BD5AAF" w:rsidRPr="008C4A8D">
        <w:rPr>
          <w:rFonts w:ascii="Aptos" w:hAnsi="Aptos"/>
          <w:szCs w:val="20"/>
        </w:rPr>
        <w:t xml:space="preserve"> </w:t>
      </w:r>
      <w:r w:rsidR="00C40704">
        <w:rPr>
          <w:rFonts w:ascii="Aptos" w:hAnsi="Aptos"/>
          <w:szCs w:val="20"/>
        </w:rPr>
        <w:t xml:space="preserve">two-part </w:t>
      </w:r>
      <w:r w:rsidR="00BD5AAF" w:rsidRPr="008C4A8D">
        <w:rPr>
          <w:rFonts w:ascii="Aptos" w:hAnsi="Aptos"/>
          <w:szCs w:val="20"/>
        </w:rPr>
        <w:t xml:space="preserve">approach </w:t>
      </w:r>
      <w:r w:rsidR="00C40704">
        <w:rPr>
          <w:rFonts w:ascii="Aptos" w:hAnsi="Aptos"/>
          <w:szCs w:val="20"/>
        </w:rPr>
        <w:t xml:space="preserve">would be best </w:t>
      </w:r>
      <w:r w:rsidR="00BD5AAF">
        <w:rPr>
          <w:rFonts w:ascii="Aptos" w:hAnsi="Aptos"/>
          <w:szCs w:val="20"/>
        </w:rPr>
        <w:t>to</w:t>
      </w:r>
      <w:r w:rsidR="00BD5AAF" w:rsidRPr="008C4A8D">
        <w:rPr>
          <w:rFonts w:ascii="Aptos" w:hAnsi="Aptos"/>
          <w:szCs w:val="20"/>
        </w:rPr>
        <w:t xml:space="preserve"> meet industry needs </w:t>
      </w:r>
      <w:r w:rsidR="00BD5AAF">
        <w:rPr>
          <w:rFonts w:ascii="Aptos" w:hAnsi="Aptos"/>
          <w:szCs w:val="20"/>
        </w:rPr>
        <w:t>and</w:t>
      </w:r>
      <w:r w:rsidR="00BD5AAF" w:rsidRPr="008C4A8D">
        <w:rPr>
          <w:rFonts w:ascii="Aptos" w:hAnsi="Aptos"/>
          <w:szCs w:val="20"/>
        </w:rPr>
        <w:t xml:space="preserve"> accommodat</w:t>
      </w:r>
      <w:r w:rsidR="00BD5AAF">
        <w:rPr>
          <w:rFonts w:ascii="Aptos" w:hAnsi="Aptos"/>
          <w:szCs w:val="20"/>
        </w:rPr>
        <w:t>e</w:t>
      </w:r>
      <w:r w:rsidR="00BD5AAF" w:rsidRPr="008C4A8D">
        <w:rPr>
          <w:rFonts w:ascii="Aptos" w:hAnsi="Aptos"/>
          <w:szCs w:val="20"/>
        </w:rPr>
        <w:t xml:space="preserve"> existing structures</w:t>
      </w:r>
      <w:r w:rsidR="00AB4D3E">
        <w:rPr>
          <w:rFonts w:ascii="Aptos" w:hAnsi="Aptos"/>
          <w:szCs w:val="20"/>
        </w:rPr>
        <w:t>:</w:t>
      </w:r>
      <w:r w:rsidR="00BD5AAF" w:rsidRPr="008C4A8D">
        <w:rPr>
          <w:rFonts w:ascii="Aptos" w:hAnsi="Aptos"/>
          <w:szCs w:val="20"/>
        </w:rPr>
        <w:t xml:space="preserve"> the creation of a centralized DER Entity Registry and development of </w:t>
      </w:r>
      <w:r w:rsidR="00364401">
        <w:rPr>
          <w:rFonts w:ascii="Aptos" w:hAnsi="Aptos"/>
          <w:szCs w:val="20"/>
        </w:rPr>
        <w:t xml:space="preserve">NAESB </w:t>
      </w:r>
      <w:r w:rsidR="00BD5AAF">
        <w:rPr>
          <w:rFonts w:ascii="Aptos" w:hAnsi="Aptos"/>
          <w:szCs w:val="20"/>
        </w:rPr>
        <w:t>Business Practice Standards that provide a</w:t>
      </w:r>
      <w:r w:rsidR="00BD5AAF" w:rsidRPr="008C4A8D">
        <w:rPr>
          <w:rFonts w:ascii="Aptos" w:hAnsi="Aptos"/>
          <w:szCs w:val="20"/>
        </w:rPr>
        <w:t xml:space="preserve"> framework to </w:t>
      </w:r>
      <w:r w:rsidR="00BD5AAF">
        <w:rPr>
          <w:rFonts w:ascii="Aptos" w:hAnsi="Aptos"/>
          <w:szCs w:val="20"/>
        </w:rPr>
        <w:t>facilitate</w:t>
      </w:r>
      <w:r w:rsidR="00BD5AAF" w:rsidRPr="008C4A8D">
        <w:rPr>
          <w:rFonts w:ascii="Aptos" w:hAnsi="Aptos"/>
          <w:szCs w:val="20"/>
        </w:rPr>
        <w:t xml:space="preserve"> interoperability.  </w:t>
      </w:r>
    </w:p>
    <w:p w14:paraId="13A9EEE8" w14:textId="7F551888" w:rsidR="00A854EB" w:rsidRDefault="00591B28" w:rsidP="009D06BB">
      <w:pPr>
        <w:spacing w:before="120" w:after="120"/>
        <w:jc w:val="both"/>
        <w:rPr>
          <w:rFonts w:ascii="Aptos" w:hAnsi="Aptos"/>
          <w:szCs w:val="20"/>
        </w:rPr>
      </w:pPr>
      <w:r w:rsidRPr="008C4A8D">
        <w:rPr>
          <w:rFonts w:ascii="Aptos" w:hAnsi="Aptos"/>
          <w:szCs w:val="20"/>
        </w:rPr>
        <w:t>As identified by NERC and demonstrated by the</w:t>
      </w:r>
      <w:r w:rsidR="00994360">
        <w:rPr>
          <w:rFonts w:ascii="Aptos" w:hAnsi="Aptos"/>
          <w:szCs w:val="20"/>
        </w:rPr>
        <w:t xml:space="preserve"> implementation of</w:t>
      </w:r>
      <w:r w:rsidRPr="008C4A8D">
        <w:rPr>
          <w:rFonts w:ascii="Aptos" w:hAnsi="Aptos"/>
          <w:szCs w:val="20"/>
        </w:rPr>
        <w:t xml:space="preserve"> DER registries in other countries</w:t>
      </w:r>
      <w:r w:rsidR="00D853DD" w:rsidRPr="008C4A8D">
        <w:rPr>
          <w:rFonts w:ascii="Aptos" w:hAnsi="Aptos"/>
          <w:szCs w:val="20"/>
        </w:rPr>
        <w:t xml:space="preserve">, registries establish </w:t>
      </w:r>
      <w:r w:rsidR="00C90AA0" w:rsidRPr="008C4A8D">
        <w:rPr>
          <w:rFonts w:ascii="Aptos" w:hAnsi="Aptos"/>
          <w:szCs w:val="20"/>
        </w:rPr>
        <w:t>trusted sources to access and validate data through the creation of centralized system records</w:t>
      </w:r>
      <w:r w:rsidR="00CA1AEC" w:rsidRPr="008C4A8D">
        <w:rPr>
          <w:rFonts w:ascii="Aptos" w:hAnsi="Aptos"/>
          <w:szCs w:val="20"/>
        </w:rPr>
        <w:t xml:space="preserve"> and have </w:t>
      </w:r>
      <w:r w:rsidR="00F5147B">
        <w:rPr>
          <w:rFonts w:ascii="Aptos" w:hAnsi="Aptos"/>
          <w:szCs w:val="20"/>
        </w:rPr>
        <w:t>broad</w:t>
      </w:r>
      <w:r w:rsidR="00F5147B" w:rsidRPr="008C4A8D">
        <w:rPr>
          <w:rFonts w:ascii="Aptos" w:hAnsi="Aptos"/>
          <w:szCs w:val="20"/>
        </w:rPr>
        <w:t xml:space="preserve"> </w:t>
      </w:r>
      <w:r w:rsidR="00CA1AEC" w:rsidRPr="008C4A8D">
        <w:rPr>
          <w:rFonts w:ascii="Aptos" w:hAnsi="Aptos"/>
          <w:szCs w:val="20"/>
        </w:rPr>
        <w:t>applicability for the electric industry</w:t>
      </w:r>
      <w:r w:rsidR="00C90AA0" w:rsidRPr="008C4A8D">
        <w:rPr>
          <w:rFonts w:ascii="Aptos" w:hAnsi="Aptos"/>
          <w:szCs w:val="20"/>
        </w:rPr>
        <w:t xml:space="preserve">.  </w:t>
      </w:r>
      <w:r w:rsidR="00E314DA" w:rsidRPr="008C4A8D">
        <w:rPr>
          <w:rFonts w:ascii="Aptos" w:hAnsi="Aptos"/>
          <w:szCs w:val="20"/>
        </w:rPr>
        <w:t xml:space="preserve">Although </w:t>
      </w:r>
      <w:r w:rsidR="008D4628">
        <w:rPr>
          <w:rFonts w:ascii="Aptos" w:hAnsi="Aptos"/>
          <w:szCs w:val="20"/>
        </w:rPr>
        <w:t>stakeholders have differing operational needs,</w:t>
      </w:r>
      <w:r w:rsidR="00E314DA" w:rsidRPr="008C4A8D">
        <w:rPr>
          <w:rFonts w:ascii="Aptos" w:hAnsi="Aptos"/>
          <w:szCs w:val="20"/>
        </w:rPr>
        <w:t xml:space="preserve"> there are </w:t>
      </w:r>
      <w:r w:rsidR="00851960" w:rsidRPr="008C4A8D">
        <w:rPr>
          <w:rFonts w:ascii="Aptos" w:hAnsi="Aptos"/>
          <w:szCs w:val="20"/>
        </w:rPr>
        <w:t xml:space="preserve">some </w:t>
      </w:r>
      <w:r w:rsidR="00E314DA" w:rsidRPr="008C4A8D">
        <w:rPr>
          <w:rFonts w:ascii="Aptos" w:hAnsi="Aptos"/>
          <w:szCs w:val="20"/>
        </w:rPr>
        <w:t>common</w:t>
      </w:r>
      <w:r w:rsidR="00F5147B">
        <w:rPr>
          <w:rFonts w:ascii="Aptos" w:hAnsi="Aptos"/>
          <w:szCs w:val="20"/>
        </w:rPr>
        <w:t>, widely used</w:t>
      </w:r>
      <w:r w:rsidR="008D4628">
        <w:rPr>
          <w:rFonts w:ascii="Aptos" w:hAnsi="Aptos"/>
          <w:szCs w:val="20"/>
        </w:rPr>
        <w:t xml:space="preserve"> </w:t>
      </w:r>
      <w:r w:rsidR="00E314DA" w:rsidRPr="008C4A8D">
        <w:rPr>
          <w:rFonts w:ascii="Aptos" w:hAnsi="Aptos"/>
          <w:szCs w:val="20"/>
        </w:rPr>
        <w:t>datasets, such as static operational characteristics of DER</w:t>
      </w:r>
      <w:r w:rsidR="00E973E4" w:rsidRPr="008C4A8D">
        <w:rPr>
          <w:rFonts w:ascii="Aptos" w:hAnsi="Aptos"/>
          <w:szCs w:val="20"/>
        </w:rPr>
        <w:t>s</w:t>
      </w:r>
      <w:r w:rsidR="00E314DA" w:rsidRPr="008C4A8D">
        <w:rPr>
          <w:rFonts w:ascii="Aptos" w:hAnsi="Aptos"/>
          <w:szCs w:val="20"/>
        </w:rPr>
        <w:t xml:space="preserve"> and </w:t>
      </w:r>
      <w:r w:rsidR="00E973E4" w:rsidRPr="008C4A8D">
        <w:rPr>
          <w:rFonts w:ascii="Aptos" w:hAnsi="Aptos"/>
          <w:szCs w:val="20"/>
        </w:rPr>
        <w:t xml:space="preserve">device type, manufacturer, ownership, and location information.  This data </w:t>
      </w:r>
      <w:r w:rsidR="00CA1AEC" w:rsidRPr="008C4A8D">
        <w:rPr>
          <w:rFonts w:ascii="Aptos" w:hAnsi="Aptos"/>
          <w:szCs w:val="20"/>
        </w:rPr>
        <w:t>supports</w:t>
      </w:r>
      <w:r w:rsidR="00A61FB4" w:rsidRPr="008C4A8D">
        <w:rPr>
          <w:rFonts w:ascii="Aptos" w:hAnsi="Aptos"/>
          <w:szCs w:val="20"/>
        </w:rPr>
        <w:t xml:space="preserve"> a </w:t>
      </w:r>
      <w:r w:rsidR="00E54EFE">
        <w:rPr>
          <w:rFonts w:ascii="Aptos" w:hAnsi="Aptos"/>
          <w:szCs w:val="20"/>
        </w:rPr>
        <w:t>number</w:t>
      </w:r>
      <w:r w:rsidR="00E54EFE" w:rsidRPr="008C4A8D">
        <w:rPr>
          <w:rFonts w:ascii="Aptos" w:hAnsi="Aptos"/>
          <w:szCs w:val="20"/>
        </w:rPr>
        <w:t xml:space="preserve"> </w:t>
      </w:r>
      <w:r w:rsidR="00A61FB4" w:rsidRPr="008C4A8D">
        <w:rPr>
          <w:rFonts w:ascii="Aptos" w:hAnsi="Aptos"/>
          <w:szCs w:val="20"/>
        </w:rPr>
        <w:t xml:space="preserve">of </w:t>
      </w:r>
      <w:r w:rsidR="00E314DA" w:rsidRPr="008C4A8D">
        <w:rPr>
          <w:rFonts w:ascii="Aptos" w:hAnsi="Aptos"/>
          <w:szCs w:val="20"/>
        </w:rPr>
        <w:t xml:space="preserve">commercial and operational </w:t>
      </w:r>
      <w:r w:rsidR="00BE72F0">
        <w:rPr>
          <w:rFonts w:ascii="Aptos" w:hAnsi="Aptos"/>
          <w:szCs w:val="20"/>
        </w:rPr>
        <w:t>functions</w:t>
      </w:r>
      <w:r w:rsidR="00E314DA" w:rsidRPr="008C4A8D">
        <w:rPr>
          <w:rFonts w:ascii="Aptos" w:hAnsi="Aptos"/>
          <w:szCs w:val="20"/>
        </w:rPr>
        <w:t>, including (1) DER registration and aggregation processes, (2) scheduling and operations, (3) performance validation and settlements, (4) change management, and (5) regulatory compliance and reporting efforts</w:t>
      </w:r>
      <w:r w:rsidR="00C84451">
        <w:rPr>
          <w:rFonts w:ascii="Aptos" w:hAnsi="Aptos"/>
          <w:szCs w:val="20"/>
        </w:rPr>
        <w:t xml:space="preserve">, </w:t>
      </w:r>
      <w:r w:rsidR="009A2DD3">
        <w:rPr>
          <w:rFonts w:ascii="Aptos" w:hAnsi="Aptos"/>
          <w:szCs w:val="20"/>
        </w:rPr>
        <w:t xml:space="preserve">including </w:t>
      </w:r>
      <w:r w:rsidR="007A51BB">
        <w:rPr>
          <w:rFonts w:ascii="Aptos" w:hAnsi="Aptos"/>
          <w:szCs w:val="20"/>
        </w:rPr>
        <w:t xml:space="preserve">FERC Order No. 2222 and the implementation of </w:t>
      </w:r>
      <w:r w:rsidR="007A51BB" w:rsidRPr="007A51BB">
        <w:rPr>
          <w:rFonts w:ascii="Aptos" w:hAnsi="Aptos"/>
          <w:szCs w:val="20"/>
        </w:rPr>
        <w:t>NERC Reliability Standards developed in response to FERC Order No. 901</w:t>
      </w:r>
      <w:r w:rsidR="007A51BB">
        <w:rPr>
          <w:rFonts w:ascii="Aptos" w:hAnsi="Aptos"/>
          <w:szCs w:val="20"/>
        </w:rPr>
        <w:t>.</w:t>
      </w:r>
      <w:r w:rsidR="00BE72F0">
        <w:rPr>
          <w:rFonts w:ascii="Aptos" w:hAnsi="Aptos"/>
          <w:szCs w:val="20"/>
        </w:rPr>
        <w:t xml:space="preserve">  </w:t>
      </w:r>
      <w:r w:rsidR="00B522FD">
        <w:rPr>
          <w:rFonts w:ascii="Aptos" w:hAnsi="Aptos"/>
          <w:szCs w:val="20"/>
        </w:rPr>
        <w:t>Standardization would improve data comparability</w:t>
      </w:r>
      <w:r w:rsidR="004854D4">
        <w:rPr>
          <w:rFonts w:ascii="Aptos" w:hAnsi="Aptos"/>
          <w:szCs w:val="20"/>
        </w:rPr>
        <w:t xml:space="preserve"> </w:t>
      </w:r>
      <w:r w:rsidR="00FD05C3">
        <w:rPr>
          <w:rFonts w:ascii="Aptos" w:hAnsi="Aptos"/>
          <w:szCs w:val="20"/>
        </w:rPr>
        <w:t>and could streamline associated industry processes</w:t>
      </w:r>
      <w:r w:rsidR="00B522FD">
        <w:rPr>
          <w:rFonts w:ascii="Aptos" w:hAnsi="Aptos"/>
          <w:szCs w:val="20"/>
        </w:rPr>
        <w:t xml:space="preserve">. </w:t>
      </w:r>
    </w:p>
    <w:p w14:paraId="17C682BF" w14:textId="430006B9" w:rsidR="008F72DF" w:rsidRPr="008C4A8D" w:rsidRDefault="00B87EC8" w:rsidP="000D4E0D">
      <w:pPr>
        <w:spacing w:before="120" w:after="120"/>
        <w:rPr>
          <w:rFonts w:ascii="Aptos" w:hAnsi="Aptos"/>
          <w:b/>
          <w:bCs/>
          <w:sz w:val="24"/>
          <w:szCs w:val="24"/>
        </w:rPr>
      </w:pPr>
      <w:r w:rsidRPr="008C4A8D">
        <w:rPr>
          <w:rFonts w:ascii="Aptos" w:hAnsi="Aptos"/>
          <w:b/>
          <w:bCs/>
          <w:sz w:val="24"/>
          <w:szCs w:val="24"/>
        </w:rPr>
        <w:t>I</w:t>
      </w:r>
      <w:r w:rsidR="008C4A8D">
        <w:rPr>
          <w:rFonts w:ascii="Aptos" w:hAnsi="Aptos"/>
          <w:b/>
          <w:bCs/>
          <w:sz w:val="24"/>
          <w:szCs w:val="24"/>
        </w:rPr>
        <w:t>V</w:t>
      </w:r>
      <w:r w:rsidRPr="008C4A8D">
        <w:rPr>
          <w:rFonts w:ascii="Aptos" w:hAnsi="Aptos"/>
          <w:b/>
          <w:bCs/>
          <w:sz w:val="24"/>
          <w:szCs w:val="24"/>
        </w:rPr>
        <w:t xml:space="preserve">. </w:t>
      </w:r>
      <w:r w:rsidR="00CF1605" w:rsidRPr="008C4A8D">
        <w:rPr>
          <w:rFonts w:ascii="Aptos" w:hAnsi="Aptos"/>
          <w:b/>
          <w:bCs/>
          <w:sz w:val="24"/>
          <w:szCs w:val="24"/>
        </w:rPr>
        <w:t xml:space="preserve">Conceptual Approach for Proposed </w:t>
      </w:r>
      <w:r w:rsidR="000630F2">
        <w:rPr>
          <w:rFonts w:ascii="Aptos" w:hAnsi="Aptos"/>
          <w:b/>
          <w:bCs/>
          <w:sz w:val="24"/>
          <w:szCs w:val="24"/>
        </w:rPr>
        <w:t xml:space="preserve">Two-Part </w:t>
      </w:r>
      <w:r w:rsidR="00CF1605" w:rsidRPr="008C4A8D">
        <w:rPr>
          <w:rFonts w:ascii="Aptos" w:hAnsi="Aptos"/>
          <w:b/>
          <w:bCs/>
          <w:sz w:val="24"/>
          <w:szCs w:val="24"/>
        </w:rPr>
        <w:t xml:space="preserve">Solution </w:t>
      </w:r>
    </w:p>
    <w:p w14:paraId="1DCFD0C8" w14:textId="6F60FA86" w:rsidR="00751E8A" w:rsidRDefault="00D4603F" w:rsidP="00751E8A">
      <w:pPr>
        <w:spacing w:before="120" w:after="120"/>
        <w:jc w:val="both"/>
        <w:rPr>
          <w:rFonts w:ascii="Aptos" w:hAnsi="Aptos"/>
          <w:szCs w:val="20"/>
        </w:rPr>
      </w:pPr>
      <w:r>
        <w:rPr>
          <w:rFonts w:ascii="Aptos" w:hAnsi="Aptos"/>
          <w:szCs w:val="20"/>
        </w:rPr>
        <w:t>The intent of th</w:t>
      </w:r>
      <w:r w:rsidR="000B78FC">
        <w:rPr>
          <w:rFonts w:ascii="Aptos" w:hAnsi="Aptos"/>
          <w:szCs w:val="20"/>
        </w:rPr>
        <w:t>e</w:t>
      </w:r>
      <w:r>
        <w:rPr>
          <w:rFonts w:ascii="Aptos" w:hAnsi="Aptos"/>
          <w:szCs w:val="20"/>
        </w:rPr>
        <w:t xml:space="preserve"> proposed two-part solution is to establish industry mechanisms and supporting NAESB Business Practice Standards that can promote broader cross-market coordination and better facilitate access to the DER and aggregation information that </w:t>
      </w:r>
      <w:r w:rsidRPr="00D11595">
        <w:rPr>
          <w:rFonts w:ascii="Aptos" w:hAnsi="Aptos"/>
          <w:szCs w:val="20"/>
        </w:rPr>
        <w:t xml:space="preserve">may enhance visibility of these resources, increase situational awareness, and </w:t>
      </w:r>
      <w:r>
        <w:rPr>
          <w:rFonts w:ascii="Aptos" w:hAnsi="Aptos"/>
          <w:szCs w:val="20"/>
        </w:rPr>
        <w:t xml:space="preserve">assist in industry </w:t>
      </w:r>
      <w:r w:rsidRPr="00D11595">
        <w:rPr>
          <w:rFonts w:ascii="Aptos" w:hAnsi="Aptos"/>
          <w:szCs w:val="20"/>
        </w:rPr>
        <w:t>implementation of state and federal regulatory requirements</w:t>
      </w:r>
      <w:r w:rsidR="00164DD2">
        <w:rPr>
          <w:rFonts w:ascii="Aptos" w:hAnsi="Aptos"/>
          <w:szCs w:val="20"/>
        </w:rPr>
        <w:t>.</w:t>
      </w:r>
      <w:r>
        <w:rPr>
          <w:rFonts w:ascii="Aptos" w:hAnsi="Aptos"/>
          <w:szCs w:val="20"/>
        </w:rPr>
        <w:t xml:space="preserve">  </w:t>
      </w:r>
      <w:r w:rsidR="00AB449B" w:rsidRPr="008C4A8D">
        <w:rPr>
          <w:rFonts w:ascii="Aptos" w:hAnsi="Aptos"/>
          <w:szCs w:val="20"/>
        </w:rPr>
        <w:t xml:space="preserve">The </w:t>
      </w:r>
      <w:r w:rsidR="00E04A91">
        <w:rPr>
          <w:rFonts w:ascii="Aptos" w:hAnsi="Aptos"/>
          <w:szCs w:val="20"/>
        </w:rPr>
        <w:t xml:space="preserve">creation of </w:t>
      </w:r>
      <w:r w:rsidR="000B78FC">
        <w:rPr>
          <w:rFonts w:ascii="Aptos" w:hAnsi="Aptos"/>
          <w:szCs w:val="20"/>
        </w:rPr>
        <w:t xml:space="preserve">a </w:t>
      </w:r>
      <w:r w:rsidR="00AB449B" w:rsidRPr="008C4A8D">
        <w:rPr>
          <w:rFonts w:ascii="Aptos" w:hAnsi="Aptos"/>
          <w:szCs w:val="20"/>
        </w:rPr>
        <w:t xml:space="preserve">DER Entity Registry will </w:t>
      </w:r>
      <w:r w:rsidR="00E04A91">
        <w:rPr>
          <w:rFonts w:ascii="Aptos" w:hAnsi="Aptos"/>
          <w:szCs w:val="20"/>
        </w:rPr>
        <w:t>establish</w:t>
      </w:r>
      <w:r w:rsidR="00AB449B" w:rsidRPr="008C4A8D">
        <w:rPr>
          <w:rFonts w:ascii="Aptos" w:hAnsi="Aptos"/>
          <w:szCs w:val="20"/>
        </w:rPr>
        <w:t xml:space="preserve"> a </w:t>
      </w:r>
      <w:r w:rsidR="00164DD2">
        <w:rPr>
          <w:rFonts w:ascii="Aptos" w:hAnsi="Aptos"/>
          <w:szCs w:val="20"/>
        </w:rPr>
        <w:t>centralized</w:t>
      </w:r>
      <w:r w:rsidR="00AB449B" w:rsidRPr="008C4A8D">
        <w:rPr>
          <w:rFonts w:ascii="Aptos" w:hAnsi="Aptos"/>
          <w:szCs w:val="20"/>
        </w:rPr>
        <w:t xml:space="preserve"> database for the registration of entities responsible for providing and requiring access to </w:t>
      </w:r>
      <w:r w:rsidR="000D2D38">
        <w:rPr>
          <w:rFonts w:ascii="Aptos" w:hAnsi="Aptos"/>
          <w:szCs w:val="20"/>
        </w:rPr>
        <w:t>information</w:t>
      </w:r>
      <w:r w:rsidR="000D2D38" w:rsidRPr="008C4A8D">
        <w:rPr>
          <w:rFonts w:ascii="Aptos" w:hAnsi="Aptos"/>
          <w:szCs w:val="20"/>
        </w:rPr>
        <w:t xml:space="preserve"> </w:t>
      </w:r>
      <w:r w:rsidR="00AB449B" w:rsidRPr="008C4A8D">
        <w:rPr>
          <w:rFonts w:ascii="Aptos" w:hAnsi="Aptos"/>
          <w:szCs w:val="20"/>
        </w:rPr>
        <w:t xml:space="preserve">maintained in industry developed DER registries.  </w:t>
      </w:r>
      <w:r w:rsidR="009A2DD3">
        <w:rPr>
          <w:rFonts w:ascii="Aptos" w:hAnsi="Aptos"/>
          <w:szCs w:val="20"/>
        </w:rPr>
        <w:t xml:space="preserve">Additionally, </w:t>
      </w:r>
      <w:r w:rsidR="00D02873">
        <w:rPr>
          <w:rFonts w:ascii="Aptos" w:hAnsi="Aptos"/>
          <w:szCs w:val="20"/>
        </w:rPr>
        <w:t xml:space="preserve">the development of new NAESB </w:t>
      </w:r>
      <w:r w:rsidR="009A2DD3">
        <w:rPr>
          <w:rFonts w:ascii="Aptos" w:hAnsi="Aptos"/>
          <w:szCs w:val="20"/>
        </w:rPr>
        <w:t xml:space="preserve">Business Practice Standards </w:t>
      </w:r>
      <w:r w:rsidR="000D2D38">
        <w:rPr>
          <w:rFonts w:ascii="Aptos" w:hAnsi="Aptos"/>
          <w:szCs w:val="20"/>
        </w:rPr>
        <w:t xml:space="preserve">will </w:t>
      </w:r>
      <w:r w:rsidR="009A2DD3">
        <w:rPr>
          <w:rFonts w:ascii="Aptos" w:hAnsi="Aptos"/>
          <w:szCs w:val="20"/>
        </w:rPr>
        <w:t>define the</w:t>
      </w:r>
      <w:r w:rsidR="00AB449B" w:rsidRPr="008C4A8D">
        <w:rPr>
          <w:rFonts w:ascii="Aptos" w:hAnsi="Aptos"/>
          <w:szCs w:val="20"/>
        </w:rPr>
        <w:t xml:space="preserve"> </w:t>
      </w:r>
      <w:r w:rsidR="00D02873">
        <w:rPr>
          <w:rFonts w:ascii="Aptos" w:hAnsi="Aptos"/>
          <w:szCs w:val="20"/>
        </w:rPr>
        <w:t xml:space="preserve">necessary </w:t>
      </w:r>
      <w:r w:rsidR="00AB449B" w:rsidRPr="008C4A8D">
        <w:rPr>
          <w:rFonts w:ascii="Aptos" w:hAnsi="Aptos"/>
          <w:szCs w:val="20"/>
        </w:rPr>
        <w:t>processes and technical requirements to facilitate</w:t>
      </w:r>
      <w:r w:rsidR="00751E8A" w:rsidRPr="008C4A8D">
        <w:rPr>
          <w:rFonts w:ascii="Aptos" w:hAnsi="Aptos"/>
          <w:szCs w:val="20"/>
        </w:rPr>
        <w:t xml:space="preserve"> interoperability </w:t>
      </w:r>
      <w:r w:rsidR="00D02873">
        <w:rPr>
          <w:rFonts w:ascii="Aptos" w:hAnsi="Aptos"/>
          <w:szCs w:val="20"/>
        </w:rPr>
        <w:t>between</w:t>
      </w:r>
      <w:r w:rsidR="00D02873" w:rsidRPr="008C4A8D">
        <w:rPr>
          <w:rFonts w:ascii="Aptos" w:hAnsi="Aptos"/>
          <w:szCs w:val="20"/>
        </w:rPr>
        <w:t xml:space="preserve"> </w:t>
      </w:r>
      <w:r w:rsidR="00751E8A" w:rsidRPr="008C4A8D">
        <w:rPr>
          <w:rFonts w:ascii="Aptos" w:hAnsi="Aptos"/>
          <w:szCs w:val="20"/>
        </w:rPr>
        <w:t>existing and future DER registries</w:t>
      </w:r>
      <w:r w:rsidR="007A51BB">
        <w:rPr>
          <w:rFonts w:ascii="Aptos" w:hAnsi="Aptos"/>
          <w:szCs w:val="20"/>
        </w:rPr>
        <w:t xml:space="preserve"> and other industry data tools</w:t>
      </w:r>
      <w:r w:rsidR="00751E8A" w:rsidRPr="008C4A8D">
        <w:rPr>
          <w:rFonts w:ascii="Aptos" w:hAnsi="Aptos"/>
          <w:szCs w:val="20"/>
        </w:rPr>
        <w:t>.</w:t>
      </w:r>
      <w:r w:rsidR="000630F2">
        <w:rPr>
          <w:rFonts w:ascii="Aptos" w:hAnsi="Aptos"/>
          <w:szCs w:val="20"/>
        </w:rPr>
        <w:t xml:space="preserve">  </w:t>
      </w:r>
    </w:p>
    <w:p w14:paraId="633463BA" w14:textId="77777777" w:rsidR="00AB4D3E" w:rsidRDefault="00AB4D3E" w:rsidP="00751E8A">
      <w:pPr>
        <w:spacing w:before="120" w:after="120"/>
        <w:jc w:val="both"/>
        <w:rPr>
          <w:rFonts w:ascii="Aptos" w:hAnsi="Aptos"/>
          <w:szCs w:val="20"/>
        </w:rPr>
      </w:pPr>
      <w:r>
        <w:rPr>
          <w:rFonts w:ascii="Aptos" w:hAnsi="Aptos"/>
          <w:szCs w:val="20"/>
        </w:rPr>
        <w:t>A. Creation of a Centralized DER Entity Registry</w:t>
      </w:r>
    </w:p>
    <w:p w14:paraId="5D4FE1FD" w14:textId="7677D8F1" w:rsidR="00BD5AAF" w:rsidRPr="008C4A8D" w:rsidRDefault="00BD5AAF" w:rsidP="00751E8A">
      <w:pPr>
        <w:spacing w:before="120" w:after="120"/>
        <w:jc w:val="both"/>
        <w:rPr>
          <w:rFonts w:ascii="Aptos" w:hAnsi="Aptos"/>
          <w:szCs w:val="20"/>
        </w:rPr>
      </w:pPr>
      <w:r w:rsidRPr="008C4A8D">
        <w:rPr>
          <w:rFonts w:ascii="Aptos" w:hAnsi="Aptos"/>
          <w:szCs w:val="20"/>
        </w:rPr>
        <w:t xml:space="preserve">The </w:t>
      </w:r>
      <w:r w:rsidR="00E2472D">
        <w:rPr>
          <w:rFonts w:ascii="Aptos" w:hAnsi="Aptos"/>
          <w:szCs w:val="20"/>
        </w:rPr>
        <w:t xml:space="preserve">proposed </w:t>
      </w:r>
      <w:r w:rsidRPr="008C4A8D">
        <w:rPr>
          <w:rFonts w:ascii="Aptos" w:hAnsi="Aptos"/>
          <w:szCs w:val="20"/>
        </w:rPr>
        <w:t xml:space="preserve">DER Entity Registry </w:t>
      </w:r>
      <w:r w:rsidR="00E2472D">
        <w:rPr>
          <w:rFonts w:ascii="Aptos" w:hAnsi="Aptos"/>
          <w:szCs w:val="20"/>
        </w:rPr>
        <w:t>w</w:t>
      </w:r>
      <w:r w:rsidRPr="008C4A8D">
        <w:rPr>
          <w:rFonts w:ascii="Aptos" w:hAnsi="Aptos"/>
          <w:szCs w:val="20"/>
        </w:rPr>
        <w:t xml:space="preserve">ould function similar to the NAESB Electric Industry Registry (EIR).  NAESB manages and operates the NAESB EIR on behalf of the wholesale electric industry as the central repository for </w:t>
      </w:r>
      <w:r w:rsidRPr="008C4A8D">
        <w:rPr>
          <w:rFonts w:ascii="Aptos" w:hAnsi="Aptos"/>
          <w:szCs w:val="20"/>
        </w:rPr>
        <w:lastRenderedPageBreak/>
        <w:t>information needed to carryout commercial scheduling and transmission management operations, including identification of relevant market participants and the interchange information necessary to populate e-Tags.  The NAESB EIR supports</w:t>
      </w:r>
      <w:r>
        <w:rPr>
          <w:rFonts w:ascii="Aptos" w:hAnsi="Aptos"/>
          <w:szCs w:val="20"/>
        </w:rPr>
        <w:t xml:space="preserve"> common data formats defined by the NAESB Business Practice Standards, enabling greater</w:t>
      </w:r>
      <w:r w:rsidRPr="008C4A8D">
        <w:rPr>
          <w:rFonts w:ascii="Aptos" w:hAnsi="Aptos"/>
          <w:szCs w:val="20"/>
        </w:rPr>
        <w:t xml:space="preserve"> interoperability, and registration is a pre-requisite to accessing certain industry tools, such as OASIS nodes and e-Tagging systems.</w:t>
      </w:r>
    </w:p>
    <w:p w14:paraId="0062D3ED" w14:textId="77777777" w:rsidR="00E2472D" w:rsidRDefault="00751E8A" w:rsidP="00CB56BF">
      <w:pPr>
        <w:spacing w:before="120" w:after="120"/>
        <w:jc w:val="both"/>
        <w:rPr>
          <w:rFonts w:ascii="Aptos" w:hAnsi="Aptos"/>
          <w:szCs w:val="20"/>
        </w:rPr>
      </w:pPr>
      <w:r w:rsidRPr="008C4A8D">
        <w:rPr>
          <w:rFonts w:ascii="Aptos" w:hAnsi="Aptos"/>
          <w:szCs w:val="20"/>
        </w:rPr>
        <w:t xml:space="preserve">The DER Entity Registry will support the registration of all </w:t>
      </w:r>
      <w:r w:rsidR="00CB56BF" w:rsidRPr="008C4A8D">
        <w:rPr>
          <w:rFonts w:ascii="Aptos" w:hAnsi="Aptos"/>
          <w:szCs w:val="20"/>
        </w:rPr>
        <w:t>stakeholders</w:t>
      </w:r>
      <w:r w:rsidRPr="008C4A8D">
        <w:rPr>
          <w:rFonts w:ascii="Aptos" w:hAnsi="Aptos"/>
          <w:szCs w:val="20"/>
        </w:rPr>
        <w:t xml:space="preserve"> that provide or require access to </w:t>
      </w:r>
      <w:r w:rsidR="00CB56BF" w:rsidRPr="008C4A8D">
        <w:rPr>
          <w:rFonts w:ascii="Aptos" w:hAnsi="Aptos"/>
          <w:szCs w:val="20"/>
        </w:rPr>
        <w:t>data</w:t>
      </w:r>
      <w:r w:rsidRPr="008C4A8D">
        <w:rPr>
          <w:rFonts w:ascii="Aptos" w:hAnsi="Aptos"/>
          <w:szCs w:val="20"/>
        </w:rPr>
        <w:t xml:space="preserve"> housed within DER </w:t>
      </w:r>
      <w:r w:rsidR="00633137">
        <w:rPr>
          <w:rFonts w:ascii="Aptos" w:hAnsi="Aptos"/>
          <w:szCs w:val="20"/>
        </w:rPr>
        <w:t xml:space="preserve">and aggregation </w:t>
      </w:r>
      <w:r w:rsidRPr="008C4A8D">
        <w:rPr>
          <w:rFonts w:ascii="Aptos" w:hAnsi="Aptos"/>
          <w:szCs w:val="20"/>
        </w:rPr>
        <w:t>registries</w:t>
      </w:r>
      <w:r w:rsidR="00FA277C">
        <w:rPr>
          <w:rFonts w:ascii="Aptos" w:hAnsi="Aptos"/>
          <w:szCs w:val="20"/>
        </w:rPr>
        <w:t xml:space="preserve"> and other industry data tools</w:t>
      </w:r>
      <w:r w:rsidRPr="008C4A8D">
        <w:rPr>
          <w:rFonts w:ascii="Aptos" w:hAnsi="Aptos"/>
          <w:szCs w:val="20"/>
        </w:rPr>
        <w:t xml:space="preserve">.  </w:t>
      </w:r>
      <w:r w:rsidR="00F6619B" w:rsidRPr="008C4A8D">
        <w:rPr>
          <w:rFonts w:ascii="Aptos" w:hAnsi="Aptos"/>
          <w:szCs w:val="20"/>
        </w:rPr>
        <w:t>Stakeholder</w:t>
      </w:r>
      <w:r w:rsidR="00912CB2" w:rsidRPr="008C4A8D">
        <w:rPr>
          <w:rFonts w:ascii="Aptos" w:hAnsi="Aptos"/>
          <w:szCs w:val="20"/>
        </w:rPr>
        <w:t xml:space="preserve"> registrations within the DER Entity Registry will define the organizational categories and functional roles </w:t>
      </w:r>
      <w:r w:rsidR="00FA277C">
        <w:rPr>
          <w:rFonts w:ascii="Aptos" w:hAnsi="Aptos"/>
          <w:szCs w:val="20"/>
        </w:rPr>
        <w:t xml:space="preserve">necessary to </w:t>
      </w:r>
      <w:r w:rsidR="00912CB2" w:rsidRPr="008C4A8D">
        <w:rPr>
          <w:rFonts w:ascii="Aptos" w:hAnsi="Aptos"/>
          <w:szCs w:val="20"/>
        </w:rPr>
        <w:t>mutually authenticate parties and provide a basis for establish</w:t>
      </w:r>
      <w:r w:rsidR="00B02DC5">
        <w:rPr>
          <w:rFonts w:ascii="Aptos" w:hAnsi="Aptos"/>
          <w:szCs w:val="20"/>
        </w:rPr>
        <w:t>ing</w:t>
      </w:r>
      <w:r w:rsidR="00912CB2" w:rsidRPr="008C4A8D">
        <w:rPr>
          <w:rFonts w:ascii="Aptos" w:hAnsi="Aptos"/>
          <w:szCs w:val="20"/>
        </w:rPr>
        <w:t xml:space="preserve"> data access controls and cybersecurity protocols.  </w:t>
      </w:r>
      <w:r w:rsidR="00E40028">
        <w:rPr>
          <w:rFonts w:ascii="Aptos" w:hAnsi="Aptos"/>
          <w:szCs w:val="20"/>
        </w:rPr>
        <w:t xml:space="preserve">Like the NAESB EIR, the </w:t>
      </w:r>
      <w:r w:rsidR="000B78FC">
        <w:rPr>
          <w:rFonts w:ascii="Aptos" w:hAnsi="Aptos"/>
          <w:szCs w:val="20"/>
        </w:rPr>
        <w:t>DER Entity Registry</w:t>
      </w:r>
      <w:r w:rsidR="00E40028">
        <w:rPr>
          <w:rFonts w:ascii="Aptos" w:hAnsi="Aptos"/>
          <w:szCs w:val="20"/>
        </w:rPr>
        <w:t xml:space="preserve"> will be supported by NAESB Business Practice Standards</w:t>
      </w:r>
      <w:r w:rsidR="00432949">
        <w:rPr>
          <w:rFonts w:ascii="Aptos" w:hAnsi="Aptos"/>
          <w:szCs w:val="20"/>
        </w:rPr>
        <w:t xml:space="preserve"> </w:t>
      </w:r>
      <w:r w:rsidR="00E40028" w:rsidRPr="00E40028">
        <w:rPr>
          <w:rFonts w:ascii="Aptos" w:hAnsi="Aptos"/>
          <w:szCs w:val="20"/>
        </w:rPr>
        <w:t xml:space="preserve">to define the processes and technical requirements </w:t>
      </w:r>
      <w:r w:rsidR="000B78FC">
        <w:rPr>
          <w:rFonts w:ascii="Aptos" w:hAnsi="Aptos"/>
          <w:szCs w:val="20"/>
        </w:rPr>
        <w:t>that will</w:t>
      </w:r>
      <w:r w:rsidR="00E40028" w:rsidRPr="00E40028">
        <w:rPr>
          <w:rFonts w:ascii="Aptos" w:hAnsi="Aptos"/>
          <w:szCs w:val="20"/>
        </w:rPr>
        <w:t xml:space="preserve"> </w:t>
      </w:r>
      <w:r w:rsidR="00E2472D">
        <w:rPr>
          <w:rFonts w:ascii="Aptos" w:hAnsi="Aptos"/>
          <w:szCs w:val="20"/>
        </w:rPr>
        <w:t>facilitate</w:t>
      </w:r>
      <w:r w:rsidR="00E40028" w:rsidRPr="00E40028">
        <w:rPr>
          <w:rFonts w:ascii="Aptos" w:hAnsi="Aptos"/>
          <w:szCs w:val="20"/>
        </w:rPr>
        <w:t xml:space="preserve"> entity registration</w:t>
      </w:r>
      <w:r w:rsidR="00786019">
        <w:rPr>
          <w:rFonts w:ascii="Aptos" w:hAnsi="Aptos"/>
          <w:szCs w:val="20"/>
        </w:rPr>
        <w:t xml:space="preserve"> and industry use as a centralized database</w:t>
      </w:r>
      <w:r w:rsidR="00E40028">
        <w:rPr>
          <w:rFonts w:ascii="Aptos" w:hAnsi="Aptos"/>
          <w:szCs w:val="20"/>
        </w:rPr>
        <w:t>.</w:t>
      </w:r>
      <w:r w:rsidR="00E40028" w:rsidRPr="00E40028">
        <w:rPr>
          <w:rFonts w:ascii="Aptos" w:hAnsi="Aptos"/>
          <w:szCs w:val="20"/>
        </w:rPr>
        <w:t xml:space="preserve"> </w:t>
      </w:r>
      <w:r w:rsidR="00DE781F">
        <w:rPr>
          <w:rFonts w:ascii="Aptos" w:hAnsi="Aptos"/>
          <w:szCs w:val="20"/>
        </w:rPr>
        <w:t xml:space="preserve"> </w:t>
      </w:r>
    </w:p>
    <w:p w14:paraId="513C7394" w14:textId="790A62E1" w:rsidR="000E657F" w:rsidRPr="008C4A8D" w:rsidRDefault="00CB56BF" w:rsidP="00CB56BF">
      <w:pPr>
        <w:spacing w:before="120" w:after="120"/>
        <w:jc w:val="both"/>
        <w:rPr>
          <w:rFonts w:ascii="Aptos" w:hAnsi="Aptos"/>
          <w:szCs w:val="20"/>
        </w:rPr>
      </w:pPr>
      <w:r w:rsidRPr="008C4A8D">
        <w:rPr>
          <w:rFonts w:ascii="Aptos" w:hAnsi="Aptos"/>
          <w:szCs w:val="20"/>
        </w:rPr>
        <w:t xml:space="preserve">The subcommittees </w:t>
      </w:r>
      <w:r w:rsidR="00E2472D">
        <w:rPr>
          <w:rFonts w:ascii="Aptos" w:hAnsi="Aptos"/>
          <w:szCs w:val="20"/>
        </w:rPr>
        <w:t xml:space="preserve">have </w:t>
      </w:r>
      <w:r w:rsidR="002204B2">
        <w:rPr>
          <w:rFonts w:ascii="Aptos" w:hAnsi="Aptos"/>
          <w:szCs w:val="20"/>
        </w:rPr>
        <w:t xml:space="preserve">initially </w:t>
      </w:r>
      <w:r w:rsidRPr="008C4A8D">
        <w:rPr>
          <w:rFonts w:ascii="Aptos" w:hAnsi="Aptos"/>
          <w:szCs w:val="20"/>
        </w:rPr>
        <w:t xml:space="preserve">identified the following </w:t>
      </w:r>
      <w:r w:rsidR="00027C24">
        <w:rPr>
          <w:rFonts w:ascii="Aptos" w:hAnsi="Aptos"/>
          <w:szCs w:val="20"/>
        </w:rPr>
        <w:t>stakeholder</w:t>
      </w:r>
      <w:r w:rsidR="002204B2">
        <w:rPr>
          <w:rFonts w:ascii="Aptos" w:hAnsi="Aptos"/>
          <w:szCs w:val="20"/>
        </w:rPr>
        <w:t>s</w:t>
      </w:r>
      <w:r w:rsidR="00027C24">
        <w:rPr>
          <w:rFonts w:ascii="Aptos" w:hAnsi="Aptos"/>
          <w:szCs w:val="20"/>
        </w:rPr>
        <w:t xml:space="preserve"> as those </w:t>
      </w:r>
      <w:r w:rsidRPr="008C4A8D">
        <w:rPr>
          <w:rFonts w:ascii="Aptos" w:hAnsi="Aptos"/>
          <w:szCs w:val="20"/>
        </w:rPr>
        <w:t xml:space="preserve">that may need to be supported by </w:t>
      </w:r>
      <w:r w:rsidR="00027C24">
        <w:rPr>
          <w:rFonts w:ascii="Aptos" w:hAnsi="Aptos"/>
          <w:szCs w:val="20"/>
        </w:rPr>
        <w:t xml:space="preserve">specific </w:t>
      </w:r>
      <w:r w:rsidRPr="008C4A8D">
        <w:rPr>
          <w:rFonts w:ascii="Aptos" w:hAnsi="Aptos"/>
          <w:szCs w:val="20"/>
        </w:rPr>
        <w:t xml:space="preserve">registration </w:t>
      </w:r>
      <w:r w:rsidR="00027C24">
        <w:rPr>
          <w:rFonts w:ascii="Aptos" w:hAnsi="Aptos"/>
          <w:szCs w:val="20"/>
        </w:rPr>
        <w:t xml:space="preserve">categories </w:t>
      </w:r>
      <w:r w:rsidRPr="008C4A8D">
        <w:rPr>
          <w:rFonts w:ascii="Aptos" w:hAnsi="Aptos"/>
          <w:szCs w:val="20"/>
        </w:rPr>
        <w:t>in the DER Entity Registry</w:t>
      </w:r>
      <w:r w:rsidR="00922E29">
        <w:rPr>
          <w:rFonts w:ascii="Aptos" w:hAnsi="Aptos"/>
          <w:szCs w:val="20"/>
        </w:rPr>
        <w:t>:</w:t>
      </w:r>
    </w:p>
    <w:tbl>
      <w:tblPr>
        <w:tblStyle w:val="TableGrid"/>
        <w:tblW w:w="9355" w:type="dxa"/>
        <w:tblLook w:val="04A0" w:firstRow="1" w:lastRow="0" w:firstColumn="1" w:lastColumn="0" w:noHBand="0" w:noVBand="1"/>
      </w:tblPr>
      <w:tblGrid>
        <w:gridCol w:w="2695"/>
        <w:gridCol w:w="6660"/>
      </w:tblGrid>
      <w:tr w:rsidR="00E40028" w:rsidRPr="008C4A8D" w14:paraId="20E88108" w14:textId="77777777" w:rsidTr="00E40028">
        <w:tc>
          <w:tcPr>
            <w:tcW w:w="2695" w:type="dxa"/>
            <w:tcBorders>
              <w:top w:val="single" w:sz="4" w:space="0" w:color="auto"/>
              <w:left w:val="single" w:sz="4" w:space="0" w:color="auto"/>
              <w:bottom w:val="single" w:sz="4" w:space="0" w:color="auto"/>
              <w:right w:val="single" w:sz="4" w:space="0" w:color="auto"/>
            </w:tcBorders>
            <w:shd w:val="clear" w:color="000000" w:fill="D6DCE4"/>
            <w:vAlign w:val="center"/>
          </w:tcPr>
          <w:p w14:paraId="178970ED" w14:textId="66516044" w:rsidR="00E40028" w:rsidRPr="008C4A8D" w:rsidRDefault="00E40028" w:rsidP="00537749">
            <w:pPr>
              <w:spacing w:before="40" w:after="40"/>
              <w:jc w:val="center"/>
              <w:rPr>
                <w:rFonts w:ascii="Aptos" w:hAnsi="Aptos"/>
                <w:szCs w:val="20"/>
              </w:rPr>
            </w:pPr>
            <w:r w:rsidRPr="008C4A8D">
              <w:rPr>
                <w:rFonts w:ascii="Aptos" w:hAnsi="Aptos"/>
                <w:b/>
                <w:bCs/>
                <w:color w:val="000000"/>
                <w:szCs w:val="20"/>
              </w:rPr>
              <w:t>Registration Category</w:t>
            </w:r>
          </w:p>
        </w:tc>
        <w:tc>
          <w:tcPr>
            <w:tcW w:w="6660" w:type="dxa"/>
            <w:tcBorders>
              <w:top w:val="single" w:sz="4" w:space="0" w:color="auto"/>
              <w:left w:val="nil"/>
              <w:bottom w:val="single" w:sz="4" w:space="0" w:color="auto"/>
              <w:right w:val="single" w:sz="4" w:space="0" w:color="auto"/>
            </w:tcBorders>
            <w:shd w:val="clear" w:color="000000" w:fill="D6DCE4"/>
            <w:vAlign w:val="center"/>
          </w:tcPr>
          <w:p w14:paraId="0EBDEF4B" w14:textId="50101EB5" w:rsidR="00E40028" w:rsidRPr="008C4A8D" w:rsidRDefault="00E40028" w:rsidP="00537749">
            <w:pPr>
              <w:spacing w:before="40" w:after="40"/>
              <w:jc w:val="center"/>
              <w:rPr>
                <w:rFonts w:ascii="Aptos" w:hAnsi="Aptos"/>
                <w:szCs w:val="20"/>
              </w:rPr>
            </w:pPr>
            <w:r w:rsidRPr="008C4A8D">
              <w:rPr>
                <w:rFonts w:ascii="Aptos" w:hAnsi="Aptos"/>
                <w:b/>
                <w:bCs/>
                <w:color w:val="000000"/>
                <w:szCs w:val="20"/>
              </w:rPr>
              <w:t>Description</w:t>
            </w:r>
          </w:p>
        </w:tc>
      </w:tr>
      <w:tr w:rsidR="00E40028" w:rsidRPr="008C4A8D" w14:paraId="5E133210"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125C3878" w14:textId="05636A12" w:rsidR="00E40028" w:rsidRPr="008C4A8D" w:rsidRDefault="00E40028" w:rsidP="000E657F">
            <w:pPr>
              <w:spacing w:before="40" w:after="40"/>
              <w:rPr>
                <w:rFonts w:ascii="Aptos" w:hAnsi="Aptos"/>
                <w:szCs w:val="20"/>
              </w:rPr>
            </w:pPr>
            <w:r w:rsidRPr="008C4A8D">
              <w:rPr>
                <w:rFonts w:ascii="Aptos" w:hAnsi="Aptos"/>
                <w:color w:val="000000"/>
                <w:szCs w:val="20"/>
              </w:rPr>
              <w:t>Aggregator</w:t>
            </w:r>
          </w:p>
        </w:tc>
        <w:tc>
          <w:tcPr>
            <w:tcW w:w="6660" w:type="dxa"/>
            <w:tcBorders>
              <w:top w:val="nil"/>
              <w:left w:val="nil"/>
              <w:bottom w:val="single" w:sz="4" w:space="0" w:color="auto"/>
              <w:right w:val="single" w:sz="4" w:space="0" w:color="auto"/>
            </w:tcBorders>
            <w:shd w:val="clear" w:color="000000" w:fill="E7E6E6"/>
          </w:tcPr>
          <w:p w14:paraId="76EF0199" w14:textId="51E8E325" w:rsidR="00E40028" w:rsidRPr="008C4A8D" w:rsidRDefault="00E40028" w:rsidP="000E657F">
            <w:pPr>
              <w:spacing w:before="40" w:after="40"/>
              <w:rPr>
                <w:rFonts w:ascii="Aptos" w:hAnsi="Aptos"/>
                <w:szCs w:val="20"/>
              </w:rPr>
            </w:pPr>
            <w:r w:rsidRPr="008C4A8D">
              <w:rPr>
                <w:rFonts w:ascii="Aptos" w:hAnsi="Aptos"/>
                <w:color w:val="000000"/>
                <w:szCs w:val="20"/>
              </w:rPr>
              <w:t>Entity that aggregates DER devices for usage by other market participants</w:t>
            </w:r>
          </w:p>
        </w:tc>
      </w:tr>
      <w:tr w:rsidR="00E40028" w:rsidRPr="008C4A8D" w14:paraId="70F96518" w14:textId="77777777" w:rsidTr="00E40028">
        <w:tc>
          <w:tcPr>
            <w:tcW w:w="2695" w:type="dxa"/>
            <w:tcBorders>
              <w:top w:val="nil"/>
              <w:left w:val="single" w:sz="4" w:space="0" w:color="auto"/>
              <w:bottom w:val="single" w:sz="4" w:space="0" w:color="auto"/>
              <w:right w:val="single" w:sz="4" w:space="0" w:color="auto"/>
            </w:tcBorders>
          </w:tcPr>
          <w:p w14:paraId="21747006" w14:textId="4818C91F" w:rsidR="00E40028" w:rsidRPr="008C4A8D" w:rsidRDefault="00E40028" w:rsidP="000E657F">
            <w:pPr>
              <w:spacing w:before="40" w:after="40"/>
              <w:rPr>
                <w:rFonts w:ascii="Aptos" w:hAnsi="Aptos"/>
                <w:szCs w:val="20"/>
              </w:rPr>
            </w:pPr>
            <w:r w:rsidRPr="008C4A8D">
              <w:rPr>
                <w:rFonts w:ascii="Aptos" w:hAnsi="Aptos"/>
                <w:color w:val="000000"/>
                <w:szCs w:val="20"/>
              </w:rPr>
              <w:t>Distribution System Provider</w:t>
            </w:r>
          </w:p>
        </w:tc>
        <w:tc>
          <w:tcPr>
            <w:tcW w:w="6660" w:type="dxa"/>
            <w:tcBorders>
              <w:top w:val="nil"/>
              <w:left w:val="nil"/>
              <w:bottom w:val="single" w:sz="4" w:space="0" w:color="auto"/>
              <w:right w:val="single" w:sz="4" w:space="0" w:color="auto"/>
            </w:tcBorders>
          </w:tcPr>
          <w:p w14:paraId="0AFA525A" w14:textId="79E8867F" w:rsidR="00E40028" w:rsidRPr="008C4A8D" w:rsidRDefault="00E40028" w:rsidP="000E657F">
            <w:pPr>
              <w:spacing w:before="40" w:after="40"/>
              <w:rPr>
                <w:rFonts w:ascii="Aptos" w:hAnsi="Aptos"/>
                <w:szCs w:val="20"/>
              </w:rPr>
            </w:pPr>
            <w:r w:rsidRPr="008C4A8D">
              <w:rPr>
                <w:rFonts w:ascii="Aptos" w:hAnsi="Aptos"/>
                <w:color w:val="000000"/>
                <w:szCs w:val="20"/>
              </w:rPr>
              <w:t>Entity that operates a distribution system or local transmission system</w:t>
            </w:r>
          </w:p>
        </w:tc>
      </w:tr>
      <w:tr w:rsidR="00E40028" w:rsidRPr="008C4A8D" w14:paraId="4796AA5F"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083A4D76" w14:textId="111EB3F1" w:rsidR="00E40028" w:rsidRPr="008C4A8D" w:rsidRDefault="00E40028" w:rsidP="000E657F">
            <w:pPr>
              <w:spacing w:before="40" w:after="40"/>
              <w:rPr>
                <w:rFonts w:ascii="Aptos" w:hAnsi="Aptos"/>
                <w:szCs w:val="20"/>
              </w:rPr>
            </w:pPr>
            <w:r w:rsidRPr="008C4A8D">
              <w:rPr>
                <w:rFonts w:ascii="Aptos" w:hAnsi="Aptos"/>
                <w:color w:val="000000"/>
                <w:szCs w:val="20"/>
              </w:rPr>
              <w:t>Supplier</w:t>
            </w:r>
          </w:p>
        </w:tc>
        <w:tc>
          <w:tcPr>
            <w:tcW w:w="6660" w:type="dxa"/>
            <w:tcBorders>
              <w:top w:val="nil"/>
              <w:left w:val="nil"/>
              <w:bottom w:val="single" w:sz="4" w:space="0" w:color="auto"/>
              <w:right w:val="single" w:sz="4" w:space="0" w:color="auto"/>
            </w:tcBorders>
            <w:shd w:val="clear" w:color="000000" w:fill="E7E6E6"/>
          </w:tcPr>
          <w:p w14:paraId="3FBA54E6" w14:textId="61E9E656" w:rsidR="00E40028" w:rsidRPr="008C4A8D" w:rsidRDefault="00E40028" w:rsidP="000E657F">
            <w:pPr>
              <w:spacing w:before="40" w:after="40"/>
              <w:rPr>
                <w:rFonts w:ascii="Aptos" w:hAnsi="Aptos"/>
                <w:szCs w:val="20"/>
              </w:rPr>
            </w:pPr>
            <w:r w:rsidRPr="008C4A8D">
              <w:rPr>
                <w:rFonts w:ascii="Aptos" w:hAnsi="Aptos"/>
                <w:color w:val="000000"/>
                <w:szCs w:val="20"/>
              </w:rPr>
              <w:t>Entity that provides competitive retail electric services to customers</w:t>
            </w:r>
          </w:p>
        </w:tc>
      </w:tr>
      <w:tr w:rsidR="00E40028" w:rsidRPr="008C4A8D" w14:paraId="73EB5520" w14:textId="77777777" w:rsidTr="00E40028">
        <w:tc>
          <w:tcPr>
            <w:tcW w:w="2695" w:type="dxa"/>
            <w:tcBorders>
              <w:top w:val="nil"/>
              <w:left w:val="single" w:sz="4" w:space="0" w:color="auto"/>
              <w:bottom w:val="single" w:sz="4" w:space="0" w:color="auto"/>
              <w:right w:val="single" w:sz="4" w:space="0" w:color="auto"/>
            </w:tcBorders>
          </w:tcPr>
          <w:p w14:paraId="0AFFC66E" w14:textId="71AE567C" w:rsidR="00E40028" w:rsidRPr="008C4A8D" w:rsidRDefault="00E40028" w:rsidP="000E657F">
            <w:pPr>
              <w:spacing w:before="40" w:after="40"/>
              <w:rPr>
                <w:rFonts w:ascii="Aptos" w:hAnsi="Aptos"/>
                <w:szCs w:val="20"/>
              </w:rPr>
            </w:pPr>
            <w:r w:rsidRPr="008C4A8D">
              <w:rPr>
                <w:rFonts w:ascii="Aptos" w:hAnsi="Aptos"/>
                <w:color w:val="000000"/>
                <w:szCs w:val="20"/>
              </w:rPr>
              <w:t>Scheduling Entity</w:t>
            </w:r>
          </w:p>
        </w:tc>
        <w:tc>
          <w:tcPr>
            <w:tcW w:w="6660" w:type="dxa"/>
            <w:tcBorders>
              <w:top w:val="nil"/>
              <w:left w:val="nil"/>
              <w:bottom w:val="single" w:sz="4" w:space="0" w:color="auto"/>
              <w:right w:val="single" w:sz="4" w:space="0" w:color="auto"/>
            </w:tcBorders>
          </w:tcPr>
          <w:p w14:paraId="116C2622" w14:textId="4838C277" w:rsidR="00E40028" w:rsidRPr="008C4A8D" w:rsidRDefault="00E40028" w:rsidP="000E657F">
            <w:pPr>
              <w:spacing w:before="40" w:after="40"/>
              <w:rPr>
                <w:rFonts w:ascii="Aptos" w:hAnsi="Aptos"/>
                <w:szCs w:val="20"/>
              </w:rPr>
            </w:pPr>
            <w:r w:rsidRPr="008C4A8D">
              <w:rPr>
                <w:rFonts w:ascii="Aptos" w:hAnsi="Aptos"/>
                <w:color w:val="000000"/>
                <w:szCs w:val="20"/>
              </w:rPr>
              <w:t>Entity responsible for submitting bids or offers and receiving schedules and awards</w:t>
            </w:r>
          </w:p>
        </w:tc>
      </w:tr>
      <w:tr w:rsidR="00E40028" w:rsidRPr="008C4A8D" w14:paraId="2C4C9E51"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7976B431" w14:textId="5D8EE27C" w:rsidR="00E40028" w:rsidRPr="008C4A8D" w:rsidRDefault="00E40028" w:rsidP="000E657F">
            <w:pPr>
              <w:spacing w:before="40" w:after="40"/>
              <w:rPr>
                <w:rFonts w:ascii="Aptos" w:hAnsi="Aptos"/>
                <w:szCs w:val="20"/>
              </w:rPr>
            </w:pPr>
            <w:r w:rsidRPr="008C4A8D">
              <w:rPr>
                <w:rFonts w:ascii="Aptos" w:hAnsi="Aptos"/>
                <w:color w:val="000000"/>
                <w:szCs w:val="20"/>
              </w:rPr>
              <w:t>Bulk Power System Operator</w:t>
            </w:r>
          </w:p>
        </w:tc>
        <w:tc>
          <w:tcPr>
            <w:tcW w:w="6660" w:type="dxa"/>
            <w:tcBorders>
              <w:top w:val="nil"/>
              <w:left w:val="nil"/>
              <w:bottom w:val="single" w:sz="4" w:space="0" w:color="auto"/>
              <w:right w:val="single" w:sz="4" w:space="0" w:color="auto"/>
            </w:tcBorders>
            <w:shd w:val="clear" w:color="000000" w:fill="E7E6E6"/>
          </w:tcPr>
          <w:p w14:paraId="59EBAA3E" w14:textId="4D939852" w:rsidR="00E40028" w:rsidRPr="008C4A8D" w:rsidRDefault="00E40028" w:rsidP="000E657F">
            <w:pPr>
              <w:spacing w:before="40" w:after="40"/>
              <w:rPr>
                <w:rFonts w:ascii="Aptos" w:hAnsi="Aptos"/>
                <w:szCs w:val="20"/>
              </w:rPr>
            </w:pPr>
            <w:r w:rsidRPr="008C4A8D">
              <w:rPr>
                <w:rFonts w:ascii="Aptos" w:hAnsi="Aptos"/>
                <w:color w:val="000000"/>
                <w:szCs w:val="20"/>
              </w:rPr>
              <w:t>Entity responsible for monitoring and controlling a bulk electric system</w:t>
            </w:r>
          </w:p>
        </w:tc>
      </w:tr>
      <w:tr w:rsidR="00E40028" w:rsidRPr="008C4A8D" w14:paraId="59E23816" w14:textId="77777777" w:rsidTr="00E40028">
        <w:tc>
          <w:tcPr>
            <w:tcW w:w="2695" w:type="dxa"/>
            <w:tcBorders>
              <w:top w:val="nil"/>
              <w:left w:val="single" w:sz="4" w:space="0" w:color="auto"/>
              <w:bottom w:val="single" w:sz="4" w:space="0" w:color="auto"/>
              <w:right w:val="single" w:sz="4" w:space="0" w:color="auto"/>
            </w:tcBorders>
          </w:tcPr>
          <w:p w14:paraId="13B4D58E" w14:textId="77C0D394" w:rsidR="00E40028" w:rsidRPr="008C4A8D" w:rsidRDefault="00E40028" w:rsidP="000E657F">
            <w:pPr>
              <w:spacing w:before="40" w:after="40"/>
              <w:rPr>
                <w:rFonts w:ascii="Aptos" w:hAnsi="Aptos"/>
                <w:szCs w:val="20"/>
              </w:rPr>
            </w:pPr>
            <w:r w:rsidRPr="008C4A8D">
              <w:rPr>
                <w:rFonts w:ascii="Aptos" w:hAnsi="Aptos"/>
                <w:color w:val="000000"/>
                <w:szCs w:val="20"/>
              </w:rPr>
              <w:t>Bulk Power Reliability Coordinator</w:t>
            </w:r>
          </w:p>
        </w:tc>
        <w:tc>
          <w:tcPr>
            <w:tcW w:w="6660" w:type="dxa"/>
            <w:tcBorders>
              <w:top w:val="nil"/>
              <w:left w:val="nil"/>
              <w:bottom w:val="single" w:sz="4" w:space="0" w:color="auto"/>
              <w:right w:val="single" w:sz="4" w:space="0" w:color="auto"/>
            </w:tcBorders>
          </w:tcPr>
          <w:p w14:paraId="1B715206" w14:textId="3B81C9CE" w:rsidR="00E40028" w:rsidRPr="008C4A8D" w:rsidRDefault="00E40028" w:rsidP="000E657F">
            <w:pPr>
              <w:spacing w:before="40" w:after="40"/>
              <w:rPr>
                <w:rFonts w:ascii="Aptos" w:hAnsi="Aptos"/>
                <w:szCs w:val="20"/>
              </w:rPr>
            </w:pPr>
            <w:r w:rsidRPr="008C4A8D">
              <w:rPr>
                <w:rFonts w:ascii="Aptos" w:hAnsi="Aptos"/>
                <w:color w:val="000000"/>
                <w:szCs w:val="20"/>
              </w:rPr>
              <w:t>Entity responsible for the reliable operation of the bulk power system</w:t>
            </w:r>
          </w:p>
        </w:tc>
      </w:tr>
      <w:tr w:rsidR="00E40028" w:rsidRPr="008C4A8D" w14:paraId="2EC4C0C9"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1C25711D" w14:textId="7711F99F" w:rsidR="00E40028" w:rsidRPr="008C4A8D" w:rsidRDefault="00E40028" w:rsidP="000E657F">
            <w:pPr>
              <w:spacing w:before="40" w:after="40"/>
              <w:rPr>
                <w:rFonts w:ascii="Aptos" w:hAnsi="Aptos"/>
                <w:szCs w:val="20"/>
              </w:rPr>
            </w:pPr>
            <w:r w:rsidRPr="008C4A8D">
              <w:rPr>
                <w:rFonts w:ascii="Aptos" w:hAnsi="Aptos"/>
                <w:color w:val="000000"/>
                <w:szCs w:val="20"/>
              </w:rPr>
              <w:t>Bulk Power Market Operator</w:t>
            </w:r>
          </w:p>
        </w:tc>
        <w:tc>
          <w:tcPr>
            <w:tcW w:w="6660" w:type="dxa"/>
            <w:tcBorders>
              <w:top w:val="nil"/>
              <w:left w:val="nil"/>
              <w:bottom w:val="single" w:sz="4" w:space="0" w:color="auto"/>
              <w:right w:val="single" w:sz="4" w:space="0" w:color="auto"/>
            </w:tcBorders>
            <w:shd w:val="clear" w:color="000000" w:fill="E7E6E6"/>
          </w:tcPr>
          <w:p w14:paraId="63712705" w14:textId="07A24A2B" w:rsidR="00E40028" w:rsidRPr="008C4A8D" w:rsidRDefault="00E40028" w:rsidP="000E657F">
            <w:pPr>
              <w:spacing w:before="40" w:after="40"/>
              <w:rPr>
                <w:rFonts w:ascii="Aptos" w:hAnsi="Aptos"/>
                <w:szCs w:val="20"/>
              </w:rPr>
            </w:pPr>
            <w:r w:rsidRPr="008C4A8D">
              <w:rPr>
                <w:rFonts w:ascii="Aptos" w:hAnsi="Aptos"/>
                <w:color w:val="000000"/>
                <w:szCs w:val="20"/>
              </w:rPr>
              <w:t>Entity responsible for implementation of an organized market</w:t>
            </w:r>
          </w:p>
        </w:tc>
      </w:tr>
      <w:tr w:rsidR="00E40028" w:rsidRPr="008C4A8D" w14:paraId="1520B00C" w14:textId="77777777" w:rsidTr="00E40028">
        <w:tc>
          <w:tcPr>
            <w:tcW w:w="2695" w:type="dxa"/>
            <w:tcBorders>
              <w:top w:val="nil"/>
              <w:left w:val="single" w:sz="4" w:space="0" w:color="auto"/>
              <w:bottom w:val="single" w:sz="4" w:space="0" w:color="auto"/>
              <w:right w:val="single" w:sz="4" w:space="0" w:color="auto"/>
            </w:tcBorders>
          </w:tcPr>
          <w:p w14:paraId="10E8466D" w14:textId="4BD0AFEE" w:rsidR="00E40028" w:rsidRPr="008C4A8D" w:rsidRDefault="00E40028" w:rsidP="000E657F">
            <w:pPr>
              <w:spacing w:before="40" w:after="40"/>
              <w:rPr>
                <w:rFonts w:ascii="Aptos" w:hAnsi="Aptos"/>
                <w:szCs w:val="20"/>
              </w:rPr>
            </w:pPr>
            <w:r w:rsidRPr="008C4A8D">
              <w:rPr>
                <w:rFonts w:ascii="Aptos" w:hAnsi="Aptos"/>
                <w:color w:val="000000"/>
                <w:szCs w:val="20"/>
              </w:rPr>
              <w:t>Electric Reliability Organization</w:t>
            </w:r>
          </w:p>
        </w:tc>
        <w:tc>
          <w:tcPr>
            <w:tcW w:w="6660" w:type="dxa"/>
            <w:tcBorders>
              <w:top w:val="nil"/>
              <w:left w:val="nil"/>
              <w:bottom w:val="single" w:sz="4" w:space="0" w:color="auto"/>
              <w:right w:val="single" w:sz="4" w:space="0" w:color="auto"/>
            </w:tcBorders>
          </w:tcPr>
          <w:p w14:paraId="39E27846" w14:textId="1FFA0DB6" w:rsidR="00E40028" w:rsidRPr="008C4A8D" w:rsidRDefault="00E40028" w:rsidP="000E657F">
            <w:pPr>
              <w:spacing w:before="40" w:after="40"/>
              <w:rPr>
                <w:rFonts w:ascii="Aptos" w:hAnsi="Aptos"/>
                <w:szCs w:val="20"/>
              </w:rPr>
            </w:pPr>
            <w:r w:rsidRPr="008C4A8D">
              <w:rPr>
                <w:rFonts w:ascii="Aptos" w:hAnsi="Aptos"/>
                <w:color w:val="000000"/>
                <w:szCs w:val="20"/>
              </w:rPr>
              <w:t>Entity certified by FERC to establish and enforce reliability standards for the bulk-power system (e.g., NERC)</w:t>
            </w:r>
          </w:p>
        </w:tc>
      </w:tr>
      <w:tr w:rsidR="00E40028" w:rsidRPr="008C4A8D" w14:paraId="4D33888F"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05DB1B94" w14:textId="54A2BF53" w:rsidR="00E40028" w:rsidRPr="008C4A8D" w:rsidRDefault="00E40028" w:rsidP="000E657F">
            <w:pPr>
              <w:spacing w:before="40" w:after="40"/>
              <w:rPr>
                <w:rFonts w:ascii="Aptos" w:hAnsi="Aptos"/>
                <w:szCs w:val="20"/>
              </w:rPr>
            </w:pPr>
            <w:r w:rsidRPr="008C4A8D">
              <w:rPr>
                <w:rFonts w:ascii="Aptos" w:hAnsi="Aptos"/>
                <w:color w:val="000000"/>
                <w:szCs w:val="20"/>
              </w:rPr>
              <w:t>Applicable Regulatory Authority</w:t>
            </w:r>
          </w:p>
        </w:tc>
        <w:tc>
          <w:tcPr>
            <w:tcW w:w="6660" w:type="dxa"/>
            <w:tcBorders>
              <w:top w:val="nil"/>
              <w:left w:val="nil"/>
              <w:bottom w:val="single" w:sz="4" w:space="0" w:color="auto"/>
              <w:right w:val="single" w:sz="4" w:space="0" w:color="auto"/>
            </w:tcBorders>
            <w:shd w:val="clear" w:color="000000" w:fill="E7E6E6"/>
          </w:tcPr>
          <w:p w14:paraId="41BD9DBC" w14:textId="0292BE27" w:rsidR="00E40028" w:rsidRPr="008C4A8D" w:rsidRDefault="00E40028" w:rsidP="000E657F">
            <w:pPr>
              <w:spacing w:before="40" w:after="40"/>
              <w:rPr>
                <w:rFonts w:ascii="Aptos" w:hAnsi="Aptos"/>
                <w:szCs w:val="20"/>
              </w:rPr>
            </w:pPr>
            <w:r w:rsidRPr="008C4A8D">
              <w:rPr>
                <w:rFonts w:ascii="Aptos" w:hAnsi="Aptos"/>
                <w:color w:val="000000"/>
                <w:szCs w:val="20"/>
              </w:rPr>
              <w:t xml:space="preserve">Local, state or federal regulator </w:t>
            </w:r>
          </w:p>
        </w:tc>
      </w:tr>
    </w:tbl>
    <w:p w14:paraId="3772CF85" w14:textId="194B8F1A" w:rsidR="00E1180D" w:rsidRDefault="00E1180D" w:rsidP="00AB4D3E">
      <w:pPr>
        <w:spacing w:before="120" w:after="120"/>
        <w:jc w:val="both"/>
        <w:rPr>
          <w:rFonts w:ascii="Aptos" w:hAnsi="Aptos"/>
          <w:szCs w:val="20"/>
        </w:rPr>
      </w:pPr>
      <w:r>
        <w:rPr>
          <w:rFonts w:ascii="Aptos" w:hAnsi="Aptos"/>
          <w:szCs w:val="20"/>
        </w:rPr>
        <w:t>The diagram below is an illustrative example of how the DER Entity Registry would interact with industry developed DER registries:</w:t>
      </w:r>
    </w:p>
    <w:p w14:paraId="35069E28" w14:textId="267E3151" w:rsidR="00E1180D" w:rsidRDefault="00E1180D" w:rsidP="00E1180D">
      <w:pPr>
        <w:spacing w:before="120" w:after="120"/>
        <w:jc w:val="center"/>
        <w:rPr>
          <w:rFonts w:ascii="Aptos" w:hAnsi="Aptos"/>
          <w:szCs w:val="20"/>
        </w:rPr>
      </w:pPr>
      <w:r>
        <w:rPr>
          <w:rFonts w:ascii="Aptos" w:hAnsi="Aptos"/>
          <w:noProof/>
          <w:szCs w:val="20"/>
        </w:rPr>
        <w:drawing>
          <wp:inline distT="0" distB="0" distL="0" distR="0" wp14:anchorId="5236B61C" wp14:editId="2FA36ADF">
            <wp:extent cx="4529102" cy="2547620"/>
            <wp:effectExtent l="0" t="0" r="5080" b="5080"/>
            <wp:docPr id="4490295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29588" name="Picture 4490295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43783" cy="2555878"/>
                    </a:xfrm>
                    <a:prstGeom prst="rect">
                      <a:avLst/>
                    </a:prstGeom>
                  </pic:spPr>
                </pic:pic>
              </a:graphicData>
            </a:graphic>
          </wp:inline>
        </w:drawing>
      </w:r>
    </w:p>
    <w:p w14:paraId="6EF43A1E" w14:textId="65110270" w:rsidR="00AB4D3E" w:rsidRDefault="00AB4D3E" w:rsidP="00AB4D3E">
      <w:pPr>
        <w:spacing w:before="120" w:after="120"/>
        <w:jc w:val="both"/>
        <w:rPr>
          <w:rFonts w:ascii="Aptos" w:hAnsi="Aptos"/>
          <w:szCs w:val="20"/>
        </w:rPr>
      </w:pPr>
      <w:r>
        <w:rPr>
          <w:rFonts w:ascii="Aptos" w:hAnsi="Aptos"/>
          <w:szCs w:val="20"/>
        </w:rPr>
        <w:lastRenderedPageBreak/>
        <w:t xml:space="preserve">B. Development of NAESB Business Practice Standards </w:t>
      </w:r>
      <w:r w:rsidR="00E1180D">
        <w:rPr>
          <w:rFonts w:ascii="Aptos" w:hAnsi="Aptos"/>
          <w:szCs w:val="20"/>
        </w:rPr>
        <w:t>to Facilitate</w:t>
      </w:r>
      <w:r>
        <w:rPr>
          <w:rFonts w:ascii="Aptos" w:hAnsi="Aptos"/>
          <w:szCs w:val="20"/>
        </w:rPr>
        <w:t xml:space="preserve"> </w:t>
      </w:r>
      <w:r w:rsidR="00196E70">
        <w:rPr>
          <w:rFonts w:ascii="Aptos" w:hAnsi="Aptos"/>
          <w:szCs w:val="20"/>
        </w:rPr>
        <w:t xml:space="preserve">Data </w:t>
      </w:r>
      <w:r>
        <w:rPr>
          <w:rFonts w:ascii="Aptos" w:hAnsi="Aptos"/>
          <w:szCs w:val="20"/>
        </w:rPr>
        <w:t>Interoperability</w:t>
      </w:r>
    </w:p>
    <w:p w14:paraId="3E2C19AE" w14:textId="724FCFF3" w:rsidR="00040420" w:rsidRDefault="00A16EF6" w:rsidP="00687DCA">
      <w:pPr>
        <w:spacing w:before="120" w:after="120"/>
        <w:jc w:val="both"/>
        <w:rPr>
          <w:rFonts w:ascii="Aptos" w:hAnsi="Aptos"/>
          <w:szCs w:val="20"/>
        </w:rPr>
      </w:pPr>
      <w:r>
        <w:rPr>
          <w:rFonts w:ascii="Aptos" w:hAnsi="Aptos"/>
          <w:szCs w:val="20"/>
        </w:rPr>
        <w:t xml:space="preserve">Additionally, </w:t>
      </w:r>
      <w:r w:rsidR="00432949">
        <w:rPr>
          <w:rFonts w:ascii="Aptos" w:hAnsi="Aptos"/>
          <w:szCs w:val="20"/>
        </w:rPr>
        <w:t>t</w:t>
      </w:r>
      <w:r w:rsidR="00E32900">
        <w:rPr>
          <w:rFonts w:ascii="Aptos" w:hAnsi="Aptos"/>
          <w:szCs w:val="20"/>
        </w:rPr>
        <w:t>he</w:t>
      </w:r>
      <w:r w:rsidR="00432949">
        <w:rPr>
          <w:rFonts w:ascii="Aptos" w:hAnsi="Aptos"/>
          <w:szCs w:val="20"/>
        </w:rPr>
        <w:t xml:space="preserve"> WEQ and RMQ BPS propose the development of</w:t>
      </w:r>
      <w:r w:rsidR="00AB4D3E" w:rsidRPr="008C4A8D">
        <w:rPr>
          <w:rFonts w:ascii="Aptos" w:hAnsi="Aptos"/>
          <w:szCs w:val="20"/>
        </w:rPr>
        <w:t xml:space="preserve"> </w:t>
      </w:r>
      <w:r w:rsidR="00AB4D3E">
        <w:rPr>
          <w:rFonts w:ascii="Aptos" w:hAnsi="Aptos"/>
          <w:szCs w:val="20"/>
        </w:rPr>
        <w:t xml:space="preserve">NAESB Business Practice Standards </w:t>
      </w:r>
      <w:r w:rsidR="00D04389">
        <w:rPr>
          <w:rFonts w:ascii="Aptos" w:hAnsi="Aptos"/>
          <w:szCs w:val="20"/>
        </w:rPr>
        <w:t>that</w:t>
      </w:r>
      <w:r w:rsidR="00A77D4C">
        <w:rPr>
          <w:rFonts w:ascii="Aptos" w:hAnsi="Aptos"/>
          <w:szCs w:val="20"/>
        </w:rPr>
        <w:t xml:space="preserve"> </w:t>
      </w:r>
      <w:r w:rsidR="00916132">
        <w:rPr>
          <w:rFonts w:ascii="Aptos" w:hAnsi="Aptos"/>
          <w:szCs w:val="20"/>
        </w:rPr>
        <w:t>will</w:t>
      </w:r>
      <w:r w:rsidR="00C11792">
        <w:rPr>
          <w:rFonts w:ascii="Aptos" w:hAnsi="Aptos"/>
          <w:szCs w:val="20"/>
        </w:rPr>
        <w:t xml:space="preserve"> </w:t>
      </w:r>
      <w:r w:rsidR="0046155A">
        <w:rPr>
          <w:rFonts w:ascii="Aptos" w:hAnsi="Aptos"/>
          <w:szCs w:val="20"/>
        </w:rPr>
        <w:t xml:space="preserve">work with existing industry processes to </w:t>
      </w:r>
      <w:r w:rsidR="000155B3">
        <w:rPr>
          <w:rFonts w:ascii="Aptos" w:hAnsi="Aptos"/>
          <w:szCs w:val="20"/>
        </w:rPr>
        <w:t xml:space="preserve">and related industry tools to </w:t>
      </w:r>
      <w:r w:rsidR="00C11792">
        <w:rPr>
          <w:rFonts w:ascii="Aptos" w:hAnsi="Aptos"/>
          <w:szCs w:val="20"/>
        </w:rPr>
        <w:t xml:space="preserve">create </w:t>
      </w:r>
      <w:r w:rsidR="00D530C7">
        <w:rPr>
          <w:rFonts w:ascii="Aptos" w:hAnsi="Aptos"/>
          <w:szCs w:val="20"/>
        </w:rPr>
        <w:t>a consistent approach for data compatibility between disparate systems that house DER and aggregation information.  The standards will</w:t>
      </w:r>
      <w:r w:rsidR="0046155A">
        <w:rPr>
          <w:rFonts w:ascii="Aptos" w:hAnsi="Aptos"/>
          <w:szCs w:val="20"/>
        </w:rPr>
        <w:t xml:space="preserve"> define processes and technical details that support consistency in </w:t>
      </w:r>
      <w:r w:rsidR="0046155A" w:rsidRPr="00C76F7D">
        <w:rPr>
          <w:rFonts w:ascii="Aptos" w:hAnsi="Aptos"/>
          <w:szCs w:val="20"/>
        </w:rPr>
        <w:t>data formatting, governance, and interface structures</w:t>
      </w:r>
      <w:r w:rsidR="0046155A">
        <w:rPr>
          <w:rFonts w:ascii="Aptos" w:hAnsi="Aptos"/>
          <w:szCs w:val="20"/>
        </w:rPr>
        <w:t xml:space="preserve"> </w:t>
      </w:r>
      <w:r w:rsidR="00AB616B">
        <w:rPr>
          <w:rFonts w:ascii="Aptos" w:hAnsi="Aptos"/>
          <w:szCs w:val="20"/>
        </w:rPr>
        <w:t>to establish a standardized framework</w:t>
      </w:r>
      <w:r w:rsidR="00916132">
        <w:rPr>
          <w:rFonts w:ascii="Aptos" w:hAnsi="Aptos"/>
          <w:szCs w:val="20"/>
        </w:rPr>
        <w:t xml:space="preserve"> </w:t>
      </w:r>
      <w:r w:rsidR="000155B3">
        <w:rPr>
          <w:rFonts w:ascii="Aptos" w:hAnsi="Aptos"/>
          <w:szCs w:val="20"/>
        </w:rPr>
        <w:t xml:space="preserve">and </w:t>
      </w:r>
      <w:r w:rsidR="00916132" w:rsidRPr="008C4A8D">
        <w:rPr>
          <w:rFonts w:ascii="Aptos" w:hAnsi="Aptos"/>
          <w:szCs w:val="20"/>
        </w:rPr>
        <w:t>support</w:t>
      </w:r>
      <w:r w:rsidR="000155B3">
        <w:rPr>
          <w:rFonts w:ascii="Aptos" w:hAnsi="Aptos"/>
          <w:szCs w:val="20"/>
        </w:rPr>
        <w:t xml:space="preserve"> interoperability</w:t>
      </w:r>
      <w:r w:rsidR="002D3743">
        <w:rPr>
          <w:rFonts w:ascii="Aptos" w:hAnsi="Aptos"/>
          <w:szCs w:val="20"/>
        </w:rPr>
        <w:t xml:space="preserve">.  </w:t>
      </w:r>
      <w:r w:rsidR="000155B3">
        <w:rPr>
          <w:rFonts w:ascii="Aptos" w:hAnsi="Aptos"/>
          <w:szCs w:val="20"/>
        </w:rPr>
        <w:t xml:space="preserve">As with other </w:t>
      </w:r>
      <w:r w:rsidR="002D3743">
        <w:rPr>
          <w:rFonts w:ascii="Aptos" w:hAnsi="Aptos"/>
          <w:szCs w:val="20"/>
        </w:rPr>
        <w:t>NAESB B</w:t>
      </w:r>
      <w:r w:rsidR="002D3743" w:rsidRPr="00916132">
        <w:rPr>
          <w:rFonts w:ascii="Aptos" w:hAnsi="Aptos"/>
          <w:szCs w:val="20"/>
        </w:rPr>
        <w:t xml:space="preserve">usiness </w:t>
      </w:r>
      <w:r w:rsidR="002D3743">
        <w:rPr>
          <w:rFonts w:ascii="Aptos" w:hAnsi="Aptos"/>
          <w:szCs w:val="20"/>
        </w:rPr>
        <w:t>P</w:t>
      </w:r>
      <w:r w:rsidR="002D3743" w:rsidRPr="00916132">
        <w:rPr>
          <w:rFonts w:ascii="Aptos" w:hAnsi="Aptos"/>
          <w:szCs w:val="20"/>
        </w:rPr>
        <w:t xml:space="preserve">ractice </w:t>
      </w:r>
      <w:r w:rsidR="002D3743">
        <w:rPr>
          <w:rFonts w:ascii="Aptos" w:hAnsi="Aptos"/>
          <w:szCs w:val="20"/>
        </w:rPr>
        <w:t>S</w:t>
      </w:r>
      <w:r w:rsidR="002D3743" w:rsidRPr="00916132">
        <w:rPr>
          <w:rFonts w:ascii="Aptos" w:hAnsi="Aptos"/>
          <w:szCs w:val="20"/>
        </w:rPr>
        <w:t>tandards</w:t>
      </w:r>
      <w:r w:rsidR="000155B3">
        <w:rPr>
          <w:rFonts w:ascii="Aptos" w:hAnsi="Aptos"/>
          <w:szCs w:val="20"/>
        </w:rPr>
        <w:t>, these standards can be developed to include</w:t>
      </w:r>
      <w:r w:rsidR="00916132">
        <w:rPr>
          <w:rFonts w:ascii="Aptos" w:hAnsi="Aptos"/>
          <w:szCs w:val="20"/>
        </w:rPr>
        <w:t xml:space="preserve"> the </w:t>
      </w:r>
      <w:r w:rsidR="0046155A">
        <w:rPr>
          <w:rFonts w:ascii="Aptos" w:hAnsi="Aptos"/>
          <w:szCs w:val="20"/>
        </w:rPr>
        <w:t xml:space="preserve">optionality </w:t>
      </w:r>
      <w:r w:rsidR="00196E70">
        <w:rPr>
          <w:rFonts w:ascii="Aptos" w:hAnsi="Aptos"/>
          <w:szCs w:val="20"/>
        </w:rPr>
        <w:t xml:space="preserve">needed by industry </w:t>
      </w:r>
      <w:r w:rsidR="00844873">
        <w:rPr>
          <w:rFonts w:ascii="Aptos" w:hAnsi="Aptos"/>
          <w:szCs w:val="20"/>
        </w:rPr>
        <w:t xml:space="preserve">to </w:t>
      </w:r>
      <w:r w:rsidR="00196E70">
        <w:rPr>
          <w:rFonts w:ascii="Aptos" w:hAnsi="Aptos"/>
          <w:szCs w:val="20"/>
        </w:rPr>
        <w:t xml:space="preserve">maintain </w:t>
      </w:r>
      <w:r w:rsidR="000155B3">
        <w:rPr>
          <w:rFonts w:ascii="Aptos" w:hAnsi="Aptos"/>
          <w:szCs w:val="20"/>
        </w:rPr>
        <w:t xml:space="preserve">current </w:t>
      </w:r>
      <w:r w:rsidR="00196E70">
        <w:rPr>
          <w:rFonts w:ascii="Aptos" w:hAnsi="Aptos"/>
          <w:szCs w:val="20"/>
        </w:rPr>
        <w:t>customiz</w:t>
      </w:r>
      <w:r w:rsidR="000155B3">
        <w:rPr>
          <w:rFonts w:ascii="Aptos" w:hAnsi="Aptos"/>
          <w:szCs w:val="20"/>
        </w:rPr>
        <w:t>ed</w:t>
      </w:r>
      <w:r w:rsidR="00196E70">
        <w:rPr>
          <w:rFonts w:ascii="Aptos" w:hAnsi="Aptos"/>
          <w:szCs w:val="20"/>
        </w:rPr>
        <w:t xml:space="preserve"> </w:t>
      </w:r>
      <w:r w:rsidR="00A47C98">
        <w:rPr>
          <w:rFonts w:ascii="Aptos" w:hAnsi="Aptos"/>
          <w:szCs w:val="20"/>
        </w:rPr>
        <w:t xml:space="preserve">databases, tools, and other </w:t>
      </w:r>
      <w:r w:rsidR="000155B3">
        <w:rPr>
          <w:rFonts w:ascii="Aptos" w:hAnsi="Aptos"/>
          <w:szCs w:val="20"/>
        </w:rPr>
        <w:t xml:space="preserve">processes </w:t>
      </w:r>
      <w:r w:rsidR="00196E70">
        <w:rPr>
          <w:rFonts w:ascii="Aptos" w:hAnsi="Aptos"/>
          <w:szCs w:val="20"/>
        </w:rPr>
        <w:t>tailored to specific entity, regional, or jurisdictional needs</w:t>
      </w:r>
      <w:r w:rsidR="00455A7C">
        <w:rPr>
          <w:rFonts w:ascii="Aptos" w:hAnsi="Aptos"/>
          <w:szCs w:val="20"/>
        </w:rPr>
        <w:t>,</w:t>
      </w:r>
      <w:r w:rsidR="000155B3">
        <w:rPr>
          <w:rFonts w:ascii="Aptos" w:hAnsi="Aptos"/>
          <w:szCs w:val="20"/>
        </w:rPr>
        <w:t xml:space="preserve"> while allowing</w:t>
      </w:r>
      <w:r w:rsidR="00844873">
        <w:rPr>
          <w:rFonts w:ascii="Aptos" w:hAnsi="Aptos"/>
          <w:szCs w:val="20"/>
        </w:rPr>
        <w:t xml:space="preserve"> for a</w:t>
      </w:r>
      <w:r w:rsidR="002D3743" w:rsidRPr="008C4A8D">
        <w:rPr>
          <w:rFonts w:ascii="Aptos" w:hAnsi="Aptos"/>
          <w:szCs w:val="20"/>
        </w:rPr>
        <w:t xml:space="preserve"> consistent approach </w:t>
      </w:r>
      <w:r w:rsidR="000155B3">
        <w:rPr>
          <w:rFonts w:ascii="Aptos" w:hAnsi="Aptos"/>
          <w:szCs w:val="20"/>
        </w:rPr>
        <w:t>to DER and DER aggregation information sharing.</w:t>
      </w:r>
      <w:r w:rsidR="002D3743" w:rsidRPr="008C4A8D">
        <w:rPr>
          <w:rFonts w:ascii="Aptos" w:hAnsi="Aptos"/>
          <w:szCs w:val="20"/>
        </w:rPr>
        <w:t xml:space="preserve"> </w:t>
      </w:r>
      <w:r w:rsidR="000155B3">
        <w:rPr>
          <w:rFonts w:ascii="Aptos" w:hAnsi="Aptos"/>
          <w:szCs w:val="20"/>
        </w:rPr>
        <w:t xml:space="preserve"> NAESB also provides a process that allows for updates to its standards that ensure the industry </w:t>
      </w:r>
      <w:r w:rsidR="002D3743" w:rsidRPr="008C4A8D">
        <w:rPr>
          <w:rFonts w:ascii="Aptos" w:hAnsi="Aptos"/>
          <w:szCs w:val="20"/>
        </w:rPr>
        <w:t>can evolve with the introduction of new dynamic resources or changing market structures</w:t>
      </w:r>
      <w:r w:rsidR="00844873">
        <w:rPr>
          <w:rFonts w:ascii="Aptos" w:hAnsi="Aptos"/>
          <w:szCs w:val="20"/>
        </w:rPr>
        <w:t>.</w:t>
      </w:r>
    </w:p>
    <w:p w14:paraId="1A4187FD" w14:textId="68048AE2" w:rsidR="00054D1D" w:rsidRPr="008C4A8D" w:rsidRDefault="00B87EC8" w:rsidP="00364401">
      <w:pPr>
        <w:keepNext/>
        <w:keepLines/>
        <w:widowControl w:val="0"/>
        <w:spacing w:before="120" w:after="120"/>
        <w:rPr>
          <w:rFonts w:ascii="Aptos" w:hAnsi="Aptos"/>
          <w:b/>
          <w:bCs/>
          <w:sz w:val="24"/>
          <w:szCs w:val="24"/>
        </w:rPr>
      </w:pPr>
      <w:r w:rsidRPr="008C4A8D">
        <w:rPr>
          <w:rFonts w:ascii="Aptos" w:hAnsi="Aptos"/>
          <w:b/>
          <w:bCs/>
          <w:sz w:val="24"/>
          <w:szCs w:val="24"/>
        </w:rPr>
        <w:t>V. Areas of Needed Industry Feedback</w:t>
      </w:r>
    </w:p>
    <w:p w14:paraId="25E3F397" w14:textId="77777777" w:rsidR="00912CB2" w:rsidRPr="008C4A8D" w:rsidRDefault="00912CB2" w:rsidP="00364401">
      <w:pPr>
        <w:keepNext/>
        <w:keepLines/>
        <w:widowControl w:val="0"/>
        <w:spacing w:before="120" w:after="120"/>
        <w:jc w:val="both"/>
        <w:rPr>
          <w:rFonts w:ascii="Aptos" w:hAnsi="Aptos"/>
          <w:szCs w:val="20"/>
        </w:rPr>
      </w:pPr>
      <w:r w:rsidRPr="008C4A8D">
        <w:rPr>
          <w:rFonts w:ascii="Aptos" w:hAnsi="Aptos"/>
          <w:szCs w:val="20"/>
        </w:rPr>
        <w:t>To inform next steps, the subcommittees are seeking responses to the following questions:</w:t>
      </w:r>
    </w:p>
    <w:p w14:paraId="164F2A8A" w14:textId="66E2A5EC" w:rsidR="002204B2" w:rsidRPr="008D5A72" w:rsidRDefault="002204B2" w:rsidP="00CF1605">
      <w:pPr>
        <w:pStyle w:val="ListParagraph"/>
        <w:numPr>
          <w:ilvl w:val="0"/>
          <w:numId w:val="1"/>
        </w:numPr>
        <w:spacing w:before="120" w:after="120"/>
        <w:contextualSpacing w:val="0"/>
        <w:jc w:val="both"/>
        <w:rPr>
          <w:rFonts w:ascii="Aptos" w:hAnsi="Aptos"/>
          <w:color w:val="0070C0"/>
          <w:szCs w:val="20"/>
        </w:rPr>
      </w:pPr>
      <w:r>
        <w:rPr>
          <w:rFonts w:ascii="Aptos" w:hAnsi="Aptos"/>
          <w:szCs w:val="20"/>
        </w:rPr>
        <w:t>Would a centralized DER Entity Registry to identify and authenticate parties be beneficial? Why or why not?</w:t>
      </w:r>
      <w:r w:rsidR="00D048AF">
        <w:rPr>
          <w:rFonts w:ascii="Aptos" w:hAnsi="Aptos"/>
          <w:szCs w:val="20"/>
        </w:rPr>
        <w:t xml:space="preserve">  </w:t>
      </w:r>
      <w:r w:rsidR="008D5A72">
        <w:rPr>
          <w:rFonts w:ascii="Aptos" w:hAnsi="Aptos"/>
          <w:color w:val="0070C0"/>
          <w:szCs w:val="20"/>
        </w:rPr>
        <w:t>MISO acknowledges the</w:t>
      </w:r>
      <w:r w:rsidR="00D048AF" w:rsidRPr="008D5A72">
        <w:rPr>
          <w:rFonts w:ascii="Aptos" w:hAnsi="Aptos"/>
          <w:color w:val="0070C0"/>
          <w:szCs w:val="20"/>
        </w:rPr>
        <w:t xml:space="preserve"> benefits to help streamline the enrollment process by having a common location to identify the parties that will need to be contacted before coming to the ISO.  Should the DER items be appended to the EIR registry? It seems duplicative to make the entities </w:t>
      </w:r>
      <w:r w:rsidR="008D5A72">
        <w:rPr>
          <w:rFonts w:ascii="Aptos" w:hAnsi="Aptos"/>
          <w:color w:val="0070C0"/>
          <w:szCs w:val="20"/>
        </w:rPr>
        <w:t>already</w:t>
      </w:r>
      <w:r w:rsidR="00D048AF" w:rsidRPr="008D5A72">
        <w:rPr>
          <w:rFonts w:ascii="Aptos" w:hAnsi="Aptos"/>
          <w:color w:val="0070C0"/>
          <w:szCs w:val="20"/>
        </w:rPr>
        <w:t xml:space="preserve"> registered in the EIR to register again.</w:t>
      </w:r>
    </w:p>
    <w:p w14:paraId="7A11BBE6" w14:textId="77777777" w:rsidR="002204B2" w:rsidRPr="008C4A8D" w:rsidRDefault="002204B2" w:rsidP="002204B2">
      <w:pPr>
        <w:pStyle w:val="ListParagraph"/>
        <w:numPr>
          <w:ilvl w:val="0"/>
          <w:numId w:val="1"/>
        </w:numPr>
        <w:spacing w:before="120" w:after="120"/>
        <w:contextualSpacing w:val="0"/>
        <w:jc w:val="both"/>
        <w:rPr>
          <w:rFonts w:ascii="Aptos" w:hAnsi="Aptos"/>
          <w:szCs w:val="20"/>
        </w:rPr>
      </w:pPr>
      <w:r w:rsidRPr="008C4A8D">
        <w:rPr>
          <w:rFonts w:ascii="Aptos" w:hAnsi="Aptos"/>
          <w:szCs w:val="20"/>
        </w:rPr>
        <w:t>Related to the DER Entity Registry specifically:</w:t>
      </w:r>
    </w:p>
    <w:p w14:paraId="15625C58" w14:textId="6B6FE9D5" w:rsidR="002204B2" w:rsidRPr="008C4A8D" w:rsidRDefault="002204B2" w:rsidP="002204B2">
      <w:pPr>
        <w:pStyle w:val="ListParagraph"/>
        <w:numPr>
          <w:ilvl w:val="1"/>
          <w:numId w:val="1"/>
        </w:numPr>
        <w:spacing w:before="120" w:after="120"/>
        <w:contextualSpacing w:val="0"/>
        <w:jc w:val="both"/>
        <w:rPr>
          <w:rFonts w:ascii="Aptos" w:hAnsi="Aptos"/>
          <w:szCs w:val="20"/>
        </w:rPr>
      </w:pPr>
      <w:r w:rsidRPr="008C4A8D">
        <w:rPr>
          <w:rFonts w:ascii="Aptos" w:hAnsi="Aptos"/>
          <w:szCs w:val="20"/>
        </w:rPr>
        <w:t>Are there any additional stakeholder registration categories that need to be supported? If so, please identify and provide an explanation.</w:t>
      </w:r>
      <w:r w:rsidR="00D048AF">
        <w:rPr>
          <w:rFonts w:ascii="Aptos" w:hAnsi="Aptos"/>
          <w:szCs w:val="20"/>
        </w:rPr>
        <w:t xml:space="preserve">  </w:t>
      </w:r>
      <w:r w:rsidR="00D048AF" w:rsidRPr="008D5A72">
        <w:rPr>
          <w:rFonts w:ascii="Aptos" w:hAnsi="Aptos"/>
          <w:color w:val="0070C0"/>
          <w:szCs w:val="20"/>
        </w:rPr>
        <w:t>No.</w:t>
      </w:r>
    </w:p>
    <w:p w14:paraId="797D641F" w14:textId="77777777" w:rsidR="002204B2" w:rsidRDefault="002204B2" w:rsidP="002204B2">
      <w:pPr>
        <w:pStyle w:val="ListParagraph"/>
        <w:numPr>
          <w:ilvl w:val="1"/>
          <w:numId w:val="1"/>
        </w:numPr>
        <w:spacing w:before="120" w:after="120"/>
        <w:contextualSpacing w:val="0"/>
        <w:jc w:val="both"/>
        <w:rPr>
          <w:rFonts w:ascii="Aptos" w:hAnsi="Aptos"/>
          <w:szCs w:val="20"/>
        </w:rPr>
      </w:pPr>
      <w:r w:rsidRPr="008C4A8D">
        <w:rPr>
          <w:rFonts w:ascii="Aptos" w:hAnsi="Aptos"/>
          <w:szCs w:val="20"/>
        </w:rPr>
        <w:t xml:space="preserve">Are there any identified stakeholder registration categories that are not needed? If so, please identify and provide an explanation. </w:t>
      </w:r>
    </w:p>
    <w:tbl>
      <w:tblPr>
        <w:tblStyle w:val="TableGrid"/>
        <w:tblW w:w="9355" w:type="dxa"/>
        <w:tblLook w:val="04A0" w:firstRow="1" w:lastRow="0" w:firstColumn="1" w:lastColumn="0" w:noHBand="0" w:noVBand="1"/>
      </w:tblPr>
      <w:tblGrid>
        <w:gridCol w:w="9355"/>
      </w:tblGrid>
      <w:tr w:rsidR="008D5A72" w:rsidRPr="008D5A72" w14:paraId="45506B12" w14:textId="77777777" w:rsidTr="00D048AF">
        <w:tc>
          <w:tcPr>
            <w:tcW w:w="9355" w:type="dxa"/>
            <w:tcBorders>
              <w:top w:val="nil"/>
              <w:left w:val="single" w:sz="4" w:space="0" w:color="auto"/>
              <w:bottom w:val="single" w:sz="4" w:space="0" w:color="auto"/>
              <w:right w:val="single" w:sz="4" w:space="0" w:color="auto"/>
            </w:tcBorders>
          </w:tcPr>
          <w:p w14:paraId="7D29BD4F" w14:textId="64E7A3B7" w:rsidR="00D048AF" w:rsidRPr="008D5A72" w:rsidRDefault="00D048AF" w:rsidP="006A7510">
            <w:pPr>
              <w:spacing w:before="40" w:after="40"/>
              <w:rPr>
                <w:rFonts w:ascii="Aptos" w:hAnsi="Aptos"/>
                <w:color w:val="0070C0"/>
                <w:szCs w:val="20"/>
              </w:rPr>
            </w:pPr>
            <w:r w:rsidRPr="008D5A72">
              <w:rPr>
                <w:rFonts w:ascii="Aptos" w:hAnsi="Aptos"/>
                <w:color w:val="0070C0"/>
                <w:szCs w:val="20"/>
              </w:rPr>
              <w:t>Scheduling Entity is needed by the relevant market operator.</w:t>
            </w:r>
          </w:p>
        </w:tc>
      </w:tr>
      <w:tr w:rsidR="008D5A72" w:rsidRPr="008D5A72" w14:paraId="605B6682" w14:textId="77777777" w:rsidTr="00D048AF">
        <w:tc>
          <w:tcPr>
            <w:tcW w:w="9355" w:type="dxa"/>
            <w:tcBorders>
              <w:top w:val="nil"/>
              <w:left w:val="single" w:sz="4" w:space="0" w:color="auto"/>
              <w:bottom w:val="single" w:sz="4" w:space="0" w:color="auto"/>
              <w:right w:val="single" w:sz="4" w:space="0" w:color="auto"/>
            </w:tcBorders>
            <w:shd w:val="clear" w:color="000000" w:fill="E7E6E6"/>
          </w:tcPr>
          <w:p w14:paraId="3928769E" w14:textId="5A0921A4" w:rsidR="00D048AF" w:rsidRPr="008D5A72" w:rsidRDefault="00D048AF" w:rsidP="006A7510">
            <w:pPr>
              <w:spacing w:before="40" w:after="40"/>
              <w:rPr>
                <w:rFonts w:ascii="Aptos" w:hAnsi="Aptos"/>
                <w:color w:val="0070C0"/>
                <w:szCs w:val="20"/>
              </w:rPr>
            </w:pPr>
            <w:r w:rsidRPr="008D5A72">
              <w:rPr>
                <w:rFonts w:ascii="Aptos" w:hAnsi="Aptos"/>
                <w:color w:val="0070C0"/>
                <w:szCs w:val="20"/>
              </w:rPr>
              <w:t>Bulk Power System Operator is already included in the E</w:t>
            </w:r>
            <w:r w:rsidR="00DA790A" w:rsidRPr="008D5A72">
              <w:rPr>
                <w:rFonts w:ascii="Aptos" w:hAnsi="Aptos"/>
                <w:color w:val="0070C0"/>
                <w:szCs w:val="20"/>
              </w:rPr>
              <w:t>lectric Industry Registry.</w:t>
            </w:r>
          </w:p>
        </w:tc>
      </w:tr>
      <w:tr w:rsidR="008D5A72" w:rsidRPr="008D5A72" w14:paraId="03851AEA" w14:textId="77777777" w:rsidTr="00D048AF">
        <w:tc>
          <w:tcPr>
            <w:tcW w:w="9355" w:type="dxa"/>
            <w:tcBorders>
              <w:top w:val="nil"/>
              <w:left w:val="single" w:sz="4" w:space="0" w:color="auto"/>
              <w:bottom w:val="single" w:sz="4" w:space="0" w:color="auto"/>
              <w:right w:val="single" w:sz="4" w:space="0" w:color="auto"/>
            </w:tcBorders>
          </w:tcPr>
          <w:p w14:paraId="2D7884A3" w14:textId="43D8D65C" w:rsidR="00D048AF" w:rsidRPr="008D5A72" w:rsidRDefault="00D048AF" w:rsidP="006A7510">
            <w:pPr>
              <w:spacing w:before="40" w:after="40"/>
              <w:rPr>
                <w:rFonts w:ascii="Aptos" w:hAnsi="Aptos"/>
                <w:color w:val="0070C0"/>
                <w:szCs w:val="20"/>
              </w:rPr>
            </w:pPr>
            <w:r w:rsidRPr="008D5A72">
              <w:rPr>
                <w:rFonts w:ascii="Aptos" w:hAnsi="Aptos"/>
                <w:color w:val="0070C0"/>
                <w:szCs w:val="20"/>
              </w:rPr>
              <w:t>Bulk Power Reliability Coordinator</w:t>
            </w:r>
            <w:r w:rsidR="00DA790A" w:rsidRPr="008D5A72">
              <w:rPr>
                <w:rFonts w:ascii="Aptos" w:hAnsi="Aptos"/>
                <w:color w:val="0070C0"/>
                <w:szCs w:val="20"/>
              </w:rPr>
              <w:t xml:space="preserve"> is already included in the Electric Industry Registry.</w:t>
            </w:r>
          </w:p>
        </w:tc>
      </w:tr>
      <w:tr w:rsidR="008D5A72" w:rsidRPr="008D5A72" w14:paraId="7F7BCDC5" w14:textId="77777777" w:rsidTr="00D048AF">
        <w:tc>
          <w:tcPr>
            <w:tcW w:w="9355" w:type="dxa"/>
            <w:tcBorders>
              <w:top w:val="nil"/>
              <w:left w:val="single" w:sz="4" w:space="0" w:color="auto"/>
              <w:bottom w:val="single" w:sz="4" w:space="0" w:color="auto"/>
              <w:right w:val="single" w:sz="4" w:space="0" w:color="auto"/>
            </w:tcBorders>
            <w:shd w:val="clear" w:color="000000" w:fill="E7E6E6"/>
          </w:tcPr>
          <w:p w14:paraId="2466313E" w14:textId="6DAFB373" w:rsidR="00D048AF" w:rsidRPr="008D5A72" w:rsidRDefault="00D048AF" w:rsidP="006A7510">
            <w:pPr>
              <w:spacing w:before="40" w:after="40"/>
              <w:rPr>
                <w:rFonts w:ascii="Aptos" w:hAnsi="Aptos"/>
                <w:color w:val="0070C0"/>
                <w:szCs w:val="20"/>
              </w:rPr>
            </w:pPr>
            <w:r w:rsidRPr="008D5A72">
              <w:rPr>
                <w:rFonts w:ascii="Aptos" w:hAnsi="Aptos"/>
                <w:color w:val="0070C0"/>
                <w:szCs w:val="20"/>
              </w:rPr>
              <w:t>Bulk Power Market Operator</w:t>
            </w:r>
            <w:r w:rsidR="00DA790A" w:rsidRPr="008D5A72">
              <w:rPr>
                <w:rFonts w:ascii="Aptos" w:hAnsi="Aptos"/>
                <w:color w:val="0070C0"/>
                <w:szCs w:val="20"/>
              </w:rPr>
              <w:t xml:space="preserve"> is already included in the Electric Industry Registry.</w:t>
            </w:r>
          </w:p>
        </w:tc>
      </w:tr>
      <w:tr w:rsidR="008D5A72" w:rsidRPr="008D5A72" w14:paraId="38133DE7" w14:textId="77777777" w:rsidTr="00D048AF">
        <w:tc>
          <w:tcPr>
            <w:tcW w:w="9355" w:type="dxa"/>
            <w:tcBorders>
              <w:top w:val="nil"/>
              <w:left w:val="single" w:sz="4" w:space="0" w:color="auto"/>
              <w:bottom w:val="single" w:sz="4" w:space="0" w:color="auto"/>
              <w:right w:val="single" w:sz="4" w:space="0" w:color="auto"/>
            </w:tcBorders>
          </w:tcPr>
          <w:p w14:paraId="4B91EBE3" w14:textId="516CD293" w:rsidR="00D048AF" w:rsidRPr="008D5A72" w:rsidRDefault="00D048AF" w:rsidP="006A7510">
            <w:pPr>
              <w:spacing w:before="40" w:after="40"/>
              <w:rPr>
                <w:rFonts w:ascii="Aptos" w:hAnsi="Aptos"/>
                <w:color w:val="0070C0"/>
                <w:szCs w:val="20"/>
              </w:rPr>
            </w:pPr>
            <w:r w:rsidRPr="008D5A72">
              <w:rPr>
                <w:rFonts w:ascii="Aptos" w:hAnsi="Aptos"/>
                <w:color w:val="0070C0"/>
                <w:szCs w:val="20"/>
              </w:rPr>
              <w:t>Electric Reliability Organization</w:t>
            </w:r>
            <w:r w:rsidR="00DA790A" w:rsidRPr="008D5A72">
              <w:rPr>
                <w:rFonts w:ascii="Aptos" w:hAnsi="Aptos"/>
                <w:color w:val="0070C0"/>
                <w:szCs w:val="20"/>
              </w:rPr>
              <w:t xml:space="preserve"> is already included in the Electric Industry Registry.</w:t>
            </w:r>
          </w:p>
        </w:tc>
      </w:tr>
    </w:tbl>
    <w:p w14:paraId="6000D0DF" w14:textId="77777777" w:rsidR="00D048AF" w:rsidRPr="008C4A8D" w:rsidRDefault="00D048AF" w:rsidP="00DA790A">
      <w:pPr>
        <w:pStyle w:val="ListParagraph"/>
        <w:spacing w:before="120" w:after="120"/>
        <w:ind w:left="1440"/>
        <w:contextualSpacing w:val="0"/>
        <w:jc w:val="both"/>
        <w:rPr>
          <w:rFonts w:ascii="Aptos" w:hAnsi="Aptos"/>
          <w:szCs w:val="20"/>
        </w:rPr>
      </w:pPr>
    </w:p>
    <w:p w14:paraId="645C698F" w14:textId="4AA52A56" w:rsidR="00C1036A" w:rsidRDefault="002204B2" w:rsidP="00CF1605">
      <w:pPr>
        <w:pStyle w:val="ListParagraph"/>
        <w:numPr>
          <w:ilvl w:val="0"/>
          <w:numId w:val="1"/>
        </w:numPr>
        <w:spacing w:before="120" w:after="120"/>
        <w:contextualSpacing w:val="0"/>
        <w:jc w:val="both"/>
        <w:rPr>
          <w:rFonts w:ascii="Aptos" w:hAnsi="Aptos"/>
          <w:szCs w:val="20"/>
        </w:rPr>
      </w:pPr>
      <w:r>
        <w:rPr>
          <w:rFonts w:ascii="Aptos" w:hAnsi="Aptos"/>
          <w:szCs w:val="20"/>
        </w:rPr>
        <w:t>Would</w:t>
      </w:r>
      <w:r w:rsidR="00C1036A" w:rsidRPr="008C4A8D">
        <w:rPr>
          <w:rFonts w:ascii="Aptos" w:hAnsi="Aptos"/>
          <w:szCs w:val="20"/>
        </w:rPr>
        <w:t xml:space="preserve"> </w:t>
      </w:r>
      <w:r w:rsidR="00364401">
        <w:rPr>
          <w:rFonts w:ascii="Aptos" w:hAnsi="Aptos"/>
          <w:szCs w:val="20"/>
        </w:rPr>
        <w:t>NA</w:t>
      </w:r>
      <w:r>
        <w:rPr>
          <w:rFonts w:ascii="Aptos" w:hAnsi="Aptos"/>
          <w:szCs w:val="20"/>
        </w:rPr>
        <w:t>E</w:t>
      </w:r>
      <w:r w:rsidR="00364401">
        <w:rPr>
          <w:rFonts w:ascii="Aptos" w:hAnsi="Aptos"/>
          <w:szCs w:val="20"/>
        </w:rPr>
        <w:t xml:space="preserve">SB </w:t>
      </w:r>
      <w:r w:rsidR="00633137">
        <w:rPr>
          <w:rFonts w:ascii="Aptos" w:hAnsi="Aptos"/>
          <w:szCs w:val="20"/>
        </w:rPr>
        <w:t>B</w:t>
      </w:r>
      <w:r w:rsidR="00121C12">
        <w:rPr>
          <w:rFonts w:ascii="Aptos" w:hAnsi="Aptos"/>
          <w:szCs w:val="20"/>
        </w:rPr>
        <w:t xml:space="preserve">usiness </w:t>
      </w:r>
      <w:r w:rsidR="00633137">
        <w:rPr>
          <w:rFonts w:ascii="Aptos" w:hAnsi="Aptos"/>
          <w:szCs w:val="20"/>
        </w:rPr>
        <w:t>P</w:t>
      </w:r>
      <w:r w:rsidR="00121C12">
        <w:rPr>
          <w:rFonts w:ascii="Aptos" w:hAnsi="Aptos"/>
          <w:szCs w:val="20"/>
        </w:rPr>
        <w:t xml:space="preserve">ractice </w:t>
      </w:r>
      <w:r w:rsidR="00633137">
        <w:rPr>
          <w:rFonts w:ascii="Aptos" w:hAnsi="Aptos"/>
          <w:szCs w:val="20"/>
        </w:rPr>
        <w:t>S</w:t>
      </w:r>
      <w:r w:rsidR="00121C12">
        <w:rPr>
          <w:rFonts w:ascii="Aptos" w:hAnsi="Aptos"/>
          <w:szCs w:val="20"/>
        </w:rPr>
        <w:t>tandards</w:t>
      </w:r>
      <w:r w:rsidR="00C1036A" w:rsidRPr="008C4A8D">
        <w:rPr>
          <w:rFonts w:ascii="Aptos" w:hAnsi="Aptos"/>
          <w:szCs w:val="20"/>
        </w:rPr>
        <w:t xml:space="preserve"> to </w:t>
      </w:r>
      <w:r w:rsidR="0012589D">
        <w:rPr>
          <w:rFonts w:ascii="Aptos" w:hAnsi="Aptos"/>
          <w:szCs w:val="20"/>
        </w:rPr>
        <w:t>facilitate</w:t>
      </w:r>
      <w:r w:rsidR="0012589D" w:rsidRPr="008C4A8D">
        <w:rPr>
          <w:rFonts w:ascii="Aptos" w:hAnsi="Aptos"/>
          <w:szCs w:val="20"/>
        </w:rPr>
        <w:t xml:space="preserve"> </w:t>
      </w:r>
      <w:r w:rsidR="00C1036A" w:rsidRPr="008C4A8D">
        <w:rPr>
          <w:rFonts w:ascii="Aptos" w:hAnsi="Aptos"/>
          <w:szCs w:val="20"/>
        </w:rPr>
        <w:t xml:space="preserve">interoperability between existing and future DER </w:t>
      </w:r>
      <w:r w:rsidR="00121C12">
        <w:rPr>
          <w:rFonts w:ascii="Aptos" w:hAnsi="Aptos"/>
          <w:szCs w:val="20"/>
        </w:rPr>
        <w:t>and aggregation</w:t>
      </w:r>
      <w:r w:rsidR="00C1036A" w:rsidRPr="008C4A8D">
        <w:rPr>
          <w:rFonts w:ascii="Aptos" w:hAnsi="Aptos"/>
          <w:szCs w:val="20"/>
        </w:rPr>
        <w:t xml:space="preserve"> registries and other industry tools</w:t>
      </w:r>
      <w:r>
        <w:rPr>
          <w:rFonts w:ascii="Aptos" w:hAnsi="Aptos"/>
          <w:szCs w:val="20"/>
        </w:rPr>
        <w:t xml:space="preserve"> be beneficial</w:t>
      </w:r>
      <w:r w:rsidR="009E0104" w:rsidRPr="008C4A8D">
        <w:rPr>
          <w:rFonts w:ascii="Aptos" w:hAnsi="Aptos"/>
          <w:szCs w:val="20"/>
        </w:rPr>
        <w:t>?</w:t>
      </w:r>
      <w:r w:rsidR="00C1036A" w:rsidRPr="008C4A8D">
        <w:rPr>
          <w:rFonts w:ascii="Aptos" w:hAnsi="Aptos"/>
          <w:szCs w:val="20"/>
        </w:rPr>
        <w:t xml:space="preserve"> </w:t>
      </w:r>
      <w:r w:rsidR="008C4A8D" w:rsidRPr="008C4A8D">
        <w:rPr>
          <w:rFonts w:ascii="Aptos" w:hAnsi="Aptos"/>
          <w:szCs w:val="20"/>
        </w:rPr>
        <w:t>Why or why not?</w:t>
      </w:r>
    </w:p>
    <w:p w14:paraId="16412B1B" w14:textId="515A64BB" w:rsidR="00DA790A" w:rsidRPr="008D5A72" w:rsidRDefault="00DA790A" w:rsidP="00DA790A">
      <w:pPr>
        <w:spacing w:before="120" w:after="120"/>
        <w:ind w:left="360"/>
        <w:jc w:val="both"/>
        <w:rPr>
          <w:rFonts w:ascii="Aptos" w:hAnsi="Aptos"/>
          <w:color w:val="0070C0"/>
          <w:szCs w:val="20"/>
        </w:rPr>
      </w:pPr>
      <w:r w:rsidRPr="008D5A72">
        <w:rPr>
          <w:rFonts w:ascii="Aptos" w:hAnsi="Aptos"/>
          <w:color w:val="0070C0"/>
          <w:szCs w:val="20"/>
        </w:rPr>
        <w:t xml:space="preserve">Yes, because some market participants or aggregators may participate in multiple ISOs.  The Market Participants or aggregators may select different vendors.  The standards would need to provide flexibility to align with the data that may be unique between the various ISOs.  </w:t>
      </w:r>
    </w:p>
    <w:p w14:paraId="51FA0A3D" w14:textId="2DA50A00" w:rsidR="00A77D4C" w:rsidRDefault="009E0104" w:rsidP="00CF1605">
      <w:pPr>
        <w:pStyle w:val="ListParagraph"/>
        <w:numPr>
          <w:ilvl w:val="0"/>
          <w:numId w:val="1"/>
        </w:numPr>
        <w:spacing w:before="120" w:after="120"/>
        <w:contextualSpacing w:val="0"/>
        <w:jc w:val="both"/>
        <w:rPr>
          <w:rFonts w:ascii="Aptos" w:hAnsi="Aptos"/>
          <w:szCs w:val="20"/>
        </w:rPr>
      </w:pPr>
      <w:r w:rsidRPr="008C4A8D">
        <w:rPr>
          <w:rFonts w:ascii="Aptos" w:hAnsi="Aptos"/>
          <w:szCs w:val="20"/>
        </w:rPr>
        <w:t xml:space="preserve">Would the </w:t>
      </w:r>
      <w:r w:rsidR="00121C12">
        <w:rPr>
          <w:rFonts w:ascii="Aptos" w:hAnsi="Aptos"/>
          <w:szCs w:val="20"/>
        </w:rPr>
        <w:t xml:space="preserve">creation of a </w:t>
      </w:r>
      <w:r w:rsidR="00CF1605" w:rsidRPr="008C4A8D">
        <w:rPr>
          <w:rFonts w:ascii="Aptos" w:hAnsi="Aptos"/>
          <w:szCs w:val="20"/>
        </w:rPr>
        <w:t xml:space="preserve">DER Entity Registry and </w:t>
      </w:r>
      <w:r w:rsidR="0054113A">
        <w:rPr>
          <w:rFonts w:ascii="Aptos" w:hAnsi="Aptos"/>
          <w:szCs w:val="20"/>
        </w:rPr>
        <w:t xml:space="preserve">the development of </w:t>
      </w:r>
      <w:r w:rsidR="00364401">
        <w:rPr>
          <w:rFonts w:ascii="Aptos" w:hAnsi="Aptos"/>
          <w:szCs w:val="20"/>
        </w:rPr>
        <w:t xml:space="preserve">NAESB </w:t>
      </w:r>
      <w:r w:rsidR="00633137">
        <w:rPr>
          <w:rFonts w:ascii="Aptos" w:hAnsi="Aptos"/>
          <w:szCs w:val="20"/>
        </w:rPr>
        <w:t>B</w:t>
      </w:r>
      <w:r w:rsidR="0054113A">
        <w:rPr>
          <w:rFonts w:ascii="Aptos" w:hAnsi="Aptos"/>
          <w:szCs w:val="20"/>
        </w:rPr>
        <w:t xml:space="preserve">usiness </w:t>
      </w:r>
      <w:r w:rsidR="00633137">
        <w:rPr>
          <w:rFonts w:ascii="Aptos" w:hAnsi="Aptos"/>
          <w:szCs w:val="20"/>
        </w:rPr>
        <w:t>P</w:t>
      </w:r>
      <w:r w:rsidR="0054113A">
        <w:rPr>
          <w:rFonts w:ascii="Aptos" w:hAnsi="Aptos"/>
          <w:szCs w:val="20"/>
        </w:rPr>
        <w:t xml:space="preserve">ractice </w:t>
      </w:r>
      <w:r w:rsidR="00633137">
        <w:rPr>
          <w:rFonts w:ascii="Aptos" w:hAnsi="Aptos"/>
          <w:szCs w:val="20"/>
        </w:rPr>
        <w:t>S</w:t>
      </w:r>
      <w:r w:rsidR="0054113A">
        <w:rPr>
          <w:rFonts w:ascii="Aptos" w:hAnsi="Aptos"/>
          <w:szCs w:val="20"/>
        </w:rPr>
        <w:t>tandards</w:t>
      </w:r>
      <w:r w:rsidR="00A77D4C">
        <w:rPr>
          <w:rFonts w:ascii="Aptos" w:hAnsi="Aptos"/>
          <w:szCs w:val="20"/>
        </w:rPr>
        <w:t xml:space="preserve"> </w:t>
      </w:r>
      <w:r w:rsidR="0012589D">
        <w:rPr>
          <w:rFonts w:ascii="Aptos" w:hAnsi="Aptos"/>
          <w:szCs w:val="20"/>
        </w:rPr>
        <w:t xml:space="preserve">to facilitate interoperability </w:t>
      </w:r>
      <w:r w:rsidR="00A77D4C">
        <w:rPr>
          <w:rFonts w:ascii="Aptos" w:hAnsi="Aptos"/>
          <w:szCs w:val="20"/>
        </w:rPr>
        <w:t>be beneficial to:</w:t>
      </w:r>
      <w:r w:rsidRPr="008C4A8D">
        <w:rPr>
          <w:rFonts w:ascii="Aptos" w:hAnsi="Aptos"/>
          <w:szCs w:val="20"/>
        </w:rPr>
        <w:t xml:space="preserve"> </w:t>
      </w:r>
    </w:p>
    <w:p w14:paraId="6BFB82B6" w14:textId="2F7D5C12" w:rsidR="00CF1605" w:rsidRDefault="00A77D4C" w:rsidP="00A77D4C">
      <w:pPr>
        <w:pStyle w:val="ListParagraph"/>
        <w:numPr>
          <w:ilvl w:val="1"/>
          <w:numId w:val="1"/>
        </w:numPr>
        <w:spacing w:before="120" w:after="120"/>
        <w:contextualSpacing w:val="0"/>
        <w:jc w:val="both"/>
        <w:rPr>
          <w:rFonts w:ascii="Aptos" w:hAnsi="Aptos"/>
          <w:szCs w:val="20"/>
        </w:rPr>
      </w:pPr>
      <w:r>
        <w:rPr>
          <w:rFonts w:ascii="Aptos" w:hAnsi="Aptos"/>
          <w:szCs w:val="20"/>
        </w:rPr>
        <w:t>S</w:t>
      </w:r>
      <w:r w:rsidR="00121C12">
        <w:rPr>
          <w:rFonts w:ascii="Aptos" w:hAnsi="Aptos"/>
          <w:szCs w:val="20"/>
        </w:rPr>
        <w:t xml:space="preserve">upport broader integration of DERs </w:t>
      </w:r>
      <w:r w:rsidR="0054113A">
        <w:rPr>
          <w:rFonts w:ascii="Aptos" w:hAnsi="Aptos"/>
          <w:szCs w:val="20"/>
        </w:rPr>
        <w:t xml:space="preserve">and aggregations </w:t>
      </w:r>
      <w:r w:rsidR="00121C12">
        <w:rPr>
          <w:rFonts w:ascii="Aptos" w:hAnsi="Aptos"/>
          <w:szCs w:val="20"/>
        </w:rPr>
        <w:t>by industry</w:t>
      </w:r>
      <w:r w:rsidR="009E0104" w:rsidRPr="008C4A8D">
        <w:rPr>
          <w:rFonts w:ascii="Aptos" w:hAnsi="Aptos"/>
          <w:szCs w:val="20"/>
        </w:rPr>
        <w:t>?</w:t>
      </w:r>
      <w:r w:rsidR="00CF1605" w:rsidRPr="008C4A8D">
        <w:rPr>
          <w:rFonts w:ascii="Aptos" w:hAnsi="Aptos"/>
          <w:szCs w:val="20"/>
        </w:rPr>
        <w:t xml:space="preserve"> Why or why not?</w:t>
      </w:r>
    </w:p>
    <w:p w14:paraId="43AA706D" w14:textId="604CA252" w:rsidR="00DA790A" w:rsidRPr="008D5A72" w:rsidRDefault="00DA790A" w:rsidP="00DA790A">
      <w:pPr>
        <w:spacing w:before="120" w:after="120"/>
        <w:ind w:left="1080"/>
        <w:jc w:val="both"/>
        <w:rPr>
          <w:rFonts w:ascii="Aptos" w:hAnsi="Aptos"/>
          <w:color w:val="0070C0"/>
          <w:szCs w:val="20"/>
        </w:rPr>
      </w:pPr>
      <w:r w:rsidRPr="008D5A72">
        <w:rPr>
          <w:rFonts w:ascii="Aptos" w:hAnsi="Aptos"/>
          <w:color w:val="0070C0"/>
          <w:szCs w:val="20"/>
        </w:rPr>
        <w:t>A DER entity registry and standards will lower the barrier to entry and will enable an entity to streamline their processes across the ISOs.</w:t>
      </w:r>
    </w:p>
    <w:p w14:paraId="69F1780D" w14:textId="5DF32757" w:rsidR="00A77D4C" w:rsidRPr="008C4A8D" w:rsidRDefault="00A77D4C" w:rsidP="00A77D4C">
      <w:pPr>
        <w:pStyle w:val="ListParagraph"/>
        <w:numPr>
          <w:ilvl w:val="1"/>
          <w:numId w:val="1"/>
        </w:numPr>
        <w:spacing w:before="120" w:after="120"/>
        <w:contextualSpacing w:val="0"/>
        <w:jc w:val="both"/>
        <w:rPr>
          <w:rFonts w:ascii="Aptos" w:hAnsi="Aptos"/>
          <w:szCs w:val="20"/>
        </w:rPr>
      </w:pPr>
      <w:r>
        <w:rPr>
          <w:rFonts w:ascii="Aptos" w:hAnsi="Aptos"/>
          <w:szCs w:val="20"/>
        </w:rPr>
        <w:t>Help industry respond to FERC Order No. 2222, FERC Order No. 901, and/or needs for DER data?  Why or why not?</w:t>
      </w:r>
    </w:p>
    <w:p w14:paraId="4F9AF0CA" w14:textId="2D57A5DB" w:rsidR="00912CB2" w:rsidRPr="008C4A8D" w:rsidRDefault="00A77D4C" w:rsidP="00442A84">
      <w:pPr>
        <w:pStyle w:val="ListParagraph"/>
        <w:numPr>
          <w:ilvl w:val="0"/>
          <w:numId w:val="1"/>
        </w:numPr>
        <w:spacing w:before="120" w:after="120"/>
        <w:contextualSpacing w:val="0"/>
        <w:jc w:val="both"/>
        <w:rPr>
          <w:rFonts w:ascii="Aptos" w:hAnsi="Aptos"/>
          <w:szCs w:val="20"/>
        </w:rPr>
      </w:pPr>
      <w:r>
        <w:rPr>
          <w:rFonts w:ascii="Aptos" w:hAnsi="Aptos"/>
          <w:szCs w:val="20"/>
        </w:rPr>
        <w:t>Please provide</w:t>
      </w:r>
      <w:r w:rsidRPr="008C4A8D">
        <w:rPr>
          <w:rFonts w:ascii="Aptos" w:hAnsi="Aptos"/>
          <w:szCs w:val="20"/>
        </w:rPr>
        <w:t xml:space="preserve"> </w:t>
      </w:r>
      <w:r w:rsidR="00912CB2" w:rsidRPr="008C4A8D">
        <w:rPr>
          <w:rFonts w:ascii="Aptos" w:hAnsi="Aptos"/>
          <w:szCs w:val="20"/>
        </w:rPr>
        <w:t xml:space="preserve">information about your organization’s role </w:t>
      </w:r>
      <w:r>
        <w:rPr>
          <w:rFonts w:ascii="Aptos" w:hAnsi="Aptos"/>
          <w:szCs w:val="20"/>
        </w:rPr>
        <w:t xml:space="preserve">in the electric industry </w:t>
      </w:r>
      <w:r w:rsidR="00912CB2" w:rsidRPr="008C4A8D">
        <w:rPr>
          <w:rFonts w:ascii="Aptos" w:hAnsi="Aptos"/>
          <w:szCs w:val="20"/>
        </w:rPr>
        <w:t xml:space="preserve">(e.g., market operator, distribution utility, etc.)? </w:t>
      </w:r>
      <w:r w:rsidR="00DA790A">
        <w:rPr>
          <w:rFonts w:ascii="Aptos" w:hAnsi="Aptos"/>
          <w:szCs w:val="20"/>
        </w:rPr>
        <w:t xml:space="preserve"> </w:t>
      </w:r>
      <w:r w:rsidR="008D5A72">
        <w:rPr>
          <w:rFonts w:ascii="Aptos" w:hAnsi="Aptos"/>
          <w:color w:val="0070C0"/>
          <w:szCs w:val="20"/>
        </w:rPr>
        <w:t>B</w:t>
      </w:r>
      <w:r w:rsidR="00DA790A" w:rsidRPr="008D5A72">
        <w:rPr>
          <w:rFonts w:ascii="Aptos" w:hAnsi="Aptos"/>
          <w:color w:val="0070C0"/>
          <w:szCs w:val="20"/>
        </w:rPr>
        <w:t xml:space="preserve">ulk </w:t>
      </w:r>
      <w:r w:rsidR="008D5A72">
        <w:rPr>
          <w:rFonts w:ascii="Aptos" w:hAnsi="Aptos"/>
          <w:color w:val="0070C0"/>
          <w:szCs w:val="20"/>
        </w:rPr>
        <w:t>P</w:t>
      </w:r>
      <w:r w:rsidR="00DA790A" w:rsidRPr="008D5A72">
        <w:rPr>
          <w:rFonts w:ascii="Aptos" w:hAnsi="Aptos"/>
          <w:color w:val="0070C0"/>
          <w:szCs w:val="20"/>
        </w:rPr>
        <w:t xml:space="preserve">ower </w:t>
      </w:r>
      <w:r w:rsidR="008D5A72">
        <w:rPr>
          <w:rFonts w:ascii="Aptos" w:hAnsi="Aptos"/>
          <w:color w:val="0070C0"/>
          <w:szCs w:val="20"/>
        </w:rPr>
        <w:t>M</w:t>
      </w:r>
      <w:r w:rsidR="00DA790A" w:rsidRPr="008D5A72">
        <w:rPr>
          <w:rFonts w:ascii="Aptos" w:hAnsi="Aptos"/>
          <w:color w:val="0070C0"/>
          <w:szCs w:val="20"/>
        </w:rPr>
        <w:t xml:space="preserve">arket </w:t>
      </w:r>
      <w:r w:rsidR="008D5A72">
        <w:rPr>
          <w:rFonts w:ascii="Aptos" w:hAnsi="Aptos"/>
          <w:color w:val="0070C0"/>
          <w:szCs w:val="20"/>
        </w:rPr>
        <w:t>O</w:t>
      </w:r>
      <w:r w:rsidR="00DA790A" w:rsidRPr="008D5A72">
        <w:rPr>
          <w:rFonts w:ascii="Aptos" w:hAnsi="Aptos"/>
          <w:color w:val="0070C0"/>
          <w:szCs w:val="20"/>
        </w:rPr>
        <w:t>perator</w:t>
      </w:r>
    </w:p>
    <w:p w14:paraId="11AC0B0C" w14:textId="3D120DAC" w:rsidR="00912CB2" w:rsidRDefault="00912CB2" w:rsidP="00442A84">
      <w:pPr>
        <w:pStyle w:val="ListParagraph"/>
        <w:numPr>
          <w:ilvl w:val="0"/>
          <w:numId w:val="1"/>
        </w:numPr>
        <w:spacing w:before="120" w:after="120"/>
        <w:contextualSpacing w:val="0"/>
        <w:jc w:val="both"/>
        <w:rPr>
          <w:rFonts w:ascii="Aptos" w:hAnsi="Aptos"/>
          <w:szCs w:val="20"/>
        </w:rPr>
      </w:pPr>
      <w:r w:rsidRPr="008C4A8D">
        <w:rPr>
          <w:rFonts w:ascii="Aptos" w:hAnsi="Aptos"/>
          <w:szCs w:val="20"/>
        </w:rPr>
        <w:lastRenderedPageBreak/>
        <w:t>Please provide any additional information, questions, or considerations that could provide guidance to the subcommittees in determining how to proceed.</w:t>
      </w:r>
    </w:p>
    <w:p w14:paraId="71BF0B11" w14:textId="7D940071" w:rsidR="00DA790A" w:rsidRPr="008D5A72" w:rsidRDefault="008D5A72" w:rsidP="00DA790A">
      <w:pPr>
        <w:spacing w:before="120" w:after="120"/>
        <w:ind w:left="360"/>
        <w:jc w:val="both"/>
        <w:rPr>
          <w:rFonts w:ascii="Aptos" w:hAnsi="Aptos"/>
          <w:color w:val="0070C0"/>
          <w:szCs w:val="20"/>
        </w:rPr>
      </w:pPr>
      <w:r w:rsidRPr="008D5A72">
        <w:rPr>
          <w:rFonts w:ascii="Aptos" w:hAnsi="Aptos"/>
          <w:color w:val="0070C0"/>
          <w:szCs w:val="20"/>
        </w:rPr>
        <w:t>MISO supports the development of</w:t>
      </w:r>
      <w:r w:rsidR="00DA790A" w:rsidRPr="008D5A72">
        <w:rPr>
          <w:rFonts w:ascii="Aptos" w:hAnsi="Aptos"/>
          <w:color w:val="0070C0"/>
          <w:szCs w:val="20"/>
        </w:rPr>
        <w:t xml:space="preserve"> business practice standards </w:t>
      </w:r>
      <w:r w:rsidRPr="008D5A72">
        <w:rPr>
          <w:rFonts w:ascii="Aptos" w:hAnsi="Aptos"/>
          <w:color w:val="0070C0"/>
          <w:szCs w:val="20"/>
        </w:rPr>
        <w:t xml:space="preserve">as it </w:t>
      </w:r>
      <w:r w:rsidR="00DA790A" w:rsidRPr="008D5A72">
        <w:rPr>
          <w:rFonts w:ascii="Aptos" w:hAnsi="Aptos"/>
          <w:color w:val="0070C0"/>
          <w:szCs w:val="20"/>
        </w:rPr>
        <w:t xml:space="preserve">may provide more immediate benefit to the industry in the </w:t>
      </w:r>
      <w:proofErr w:type="gramStart"/>
      <w:r w:rsidR="00DA790A" w:rsidRPr="008D5A72">
        <w:rPr>
          <w:rFonts w:ascii="Aptos" w:hAnsi="Aptos"/>
          <w:color w:val="0070C0"/>
          <w:szCs w:val="20"/>
        </w:rPr>
        <w:t>short-term</w:t>
      </w:r>
      <w:proofErr w:type="gramEnd"/>
      <w:r w:rsidR="00DA790A" w:rsidRPr="008D5A72">
        <w:rPr>
          <w:rFonts w:ascii="Aptos" w:hAnsi="Aptos"/>
          <w:color w:val="0070C0"/>
          <w:szCs w:val="20"/>
        </w:rPr>
        <w:t>.</w:t>
      </w:r>
    </w:p>
    <w:p w14:paraId="34E4921B" w14:textId="12321B1D" w:rsidR="008F72DF" w:rsidRPr="008C4A8D" w:rsidRDefault="008F72DF" w:rsidP="000D4E0D">
      <w:pPr>
        <w:spacing w:before="120" w:after="120"/>
        <w:rPr>
          <w:rFonts w:ascii="Aptos" w:hAnsi="Aptos"/>
          <w:szCs w:val="20"/>
        </w:rPr>
      </w:pPr>
    </w:p>
    <w:sectPr w:rsidR="008F72DF" w:rsidRPr="008C4A8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44D3C" w14:textId="77777777" w:rsidR="000B05E2" w:rsidRDefault="000B05E2" w:rsidP="00DF387C">
      <w:r>
        <w:separator/>
      </w:r>
    </w:p>
  </w:endnote>
  <w:endnote w:type="continuationSeparator" w:id="0">
    <w:p w14:paraId="0D6A4730" w14:textId="77777777" w:rsidR="000B05E2" w:rsidRDefault="000B05E2" w:rsidP="00DF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211B" w14:textId="2101F278" w:rsidR="00FA277C" w:rsidRPr="00397CB7" w:rsidRDefault="00397CB7" w:rsidP="00FA277C">
    <w:pPr>
      <w:pStyle w:val="Footer"/>
      <w:jc w:val="right"/>
      <w:rPr>
        <w:rFonts w:ascii="Aptos" w:hAnsi="Aptos"/>
        <w:noProof/>
        <w:sz w:val="16"/>
        <w:szCs w:val="16"/>
      </w:rPr>
    </w:pPr>
    <w:r>
      <w:rPr>
        <w:rFonts w:ascii="Aptos" w:hAnsi="Aptos"/>
        <w:sz w:val="16"/>
        <w:szCs w:val="16"/>
      </w:rPr>
      <w:t>P</w:t>
    </w:r>
    <w:r w:rsidR="00FA277C" w:rsidRPr="00397CB7">
      <w:rPr>
        <w:rFonts w:ascii="Aptos" w:hAnsi="Aptos"/>
        <w:sz w:val="16"/>
        <w:szCs w:val="16"/>
      </w:rPr>
      <w:t xml:space="preserve">age </w:t>
    </w:r>
    <w:sdt>
      <w:sdtPr>
        <w:rPr>
          <w:rFonts w:ascii="Aptos" w:hAnsi="Aptos"/>
          <w:sz w:val="16"/>
          <w:szCs w:val="16"/>
        </w:rPr>
        <w:id w:val="135308976"/>
        <w:docPartObj>
          <w:docPartGallery w:val="Page Numbers (Bottom of Page)"/>
          <w:docPartUnique/>
        </w:docPartObj>
      </w:sdtPr>
      <w:sdtEndPr>
        <w:rPr>
          <w:noProof/>
        </w:rPr>
      </w:sdtEndPr>
      <w:sdtContent>
        <w:r w:rsidR="00FA277C" w:rsidRPr="00397CB7">
          <w:rPr>
            <w:rFonts w:ascii="Aptos" w:hAnsi="Aptos"/>
            <w:sz w:val="16"/>
            <w:szCs w:val="16"/>
          </w:rPr>
          <w:fldChar w:fldCharType="begin"/>
        </w:r>
        <w:r w:rsidR="00FA277C" w:rsidRPr="00397CB7">
          <w:rPr>
            <w:rFonts w:ascii="Aptos" w:hAnsi="Aptos"/>
            <w:sz w:val="16"/>
            <w:szCs w:val="16"/>
          </w:rPr>
          <w:instrText xml:space="preserve"> PAGE   \* MERGEFORMAT </w:instrText>
        </w:r>
        <w:r w:rsidR="00FA277C" w:rsidRPr="00397CB7">
          <w:rPr>
            <w:rFonts w:ascii="Aptos" w:hAnsi="Aptos"/>
            <w:sz w:val="16"/>
            <w:szCs w:val="16"/>
          </w:rPr>
          <w:fldChar w:fldCharType="separate"/>
        </w:r>
        <w:r w:rsidR="00FA277C" w:rsidRPr="00397CB7">
          <w:rPr>
            <w:rFonts w:ascii="Aptos" w:hAnsi="Aptos"/>
            <w:noProof/>
            <w:sz w:val="16"/>
            <w:szCs w:val="16"/>
          </w:rPr>
          <w:t>2</w:t>
        </w:r>
        <w:r w:rsidR="00FA277C" w:rsidRPr="00397CB7">
          <w:rPr>
            <w:rFonts w:ascii="Aptos" w:hAnsi="Aptos"/>
            <w:noProof/>
            <w:sz w:val="16"/>
            <w:szCs w:val="16"/>
          </w:rPr>
          <w:fldChar w:fldCharType="end"/>
        </w:r>
      </w:sdtContent>
    </w:sdt>
  </w:p>
  <w:p w14:paraId="62ECAD48" w14:textId="77777777" w:rsidR="00FA277C" w:rsidRDefault="00FA277C" w:rsidP="00FA2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0FF79" w14:textId="77777777" w:rsidR="000B05E2" w:rsidRDefault="000B05E2" w:rsidP="00DF387C">
      <w:r>
        <w:separator/>
      </w:r>
    </w:p>
  </w:footnote>
  <w:footnote w:type="continuationSeparator" w:id="0">
    <w:p w14:paraId="7B5424FE" w14:textId="77777777" w:rsidR="000B05E2" w:rsidRDefault="000B05E2" w:rsidP="00DF387C">
      <w:r>
        <w:continuationSeparator/>
      </w:r>
    </w:p>
  </w:footnote>
  <w:footnote w:id="1">
    <w:p w14:paraId="4720E541" w14:textId="437C506D" w:rsidR="00FF1A20" w:rsidRPr="0049124E" w:rsidRDefault="00FF1A20" w:rsidP="00FA277C">
      <w:pPr>
        <w:pStyle w:val="FootnoteText"/>
        <w:jc w:val="both"/>
        <w:rPr>
          <w:rFonts w:ascii="Aptos" w:hAnsi="Aptos"/>
        </w:rPr>
      </w:pPr>
      <w:r w:rsidRPr="0049124E">
        <w:rPr>
          <w:rStyle w:val="FootnoteReference"/>
          <w:rFonts w:ascii="Aptos" w:hAnsi="Aptos"/>
        </w:rPr>
        <w:footnoteRef/>
      </w:r>
      <w:r w:rsidRPr="0049124E">
        <w:rPr>
          <w:rFonts w:ascii="Aptos" w:hAnsi="Aptos"/>
        </w:rPr>
        <w:t xml:space="preserve"> Specific material discussed by the WEQ and RMQ BPS included the </w:t>
      </w:r>
      <w:hyperlink r:id="rId1" w:history="1">
        <w:r w:rsidRPr="00FA277C">
          <w:rPr>
            <w:rStyle w:val="Hyperlink"/>
            <w:rFonts w:ascii="Aptos" w:hAnsi="Aptos"/>
          </w:rPr>
          <w:t>NERC Transmission and Distribution Coordination Strategies White Paper</w:t>
        </w:r>
      </w:hyperlink>
      <w:r w:rsidRPr="0049124E">
        <w:rPr>
          <w:rFonts w:ascii="Aptos" w:hAnsi="Aptos"/>
        </w:rPr>
        <w:t xml:space="preserve"> that identified DER registries as one mechanism to enable uniform formatting requirements for users to aid industry’s ability to obtain needed information and facilitate collaboration between electric participants.  Participants also reviewed </w:t>
      </w:r>
      <w:hyperlink r:id="rId2" w:history="1">
        <w:r w:rsidRPr="00FA277C">
          <w:rPr>
            <w:rStyle w:val="Hyperlink"/>
            <w:rFonts w:ascii="Aptos" w:hAnsi="Aptos"/>
          </w:rPr>
          <w:t xml:space="preserve">the </w:t>
        </w:r>
        <w:r w:rsidR="00FB55E6" w:rsidRPr="00FA277C">
          <w:rPr>
            <w:rStyle w:val="Hyperlink"/>
            <w:rFonts w:ascii="Aptos" w:hAnsi="Aptos"/>
          </w:rPr>
          <w:t>NERC Reducing DER Variability and Uncertainty Impacts on the Bulk Power System White Paper</w:t>
        </w:r>
      </w:hyperlink>
      <w:r w:rsidR="00FB55E6" w:rsidRPr="0049124E">
        <w:rPr>
          <w:rFonts w:ascii="Aptos" w:hAnsi="Aptos"/>
        </w:rPr>
        <w:t xml:space="preserve"> </w:t>
      </w:r>
      <w:r w:rsidR="00FA277C">
        <w:rPr>
          <w:rFonts w:ascii="Aptos" w:hAnsi="Aptos"/>
        </w:rPr>
        <w:t xml:space="preserve">that </w:t>
      </w:r>
      <w:r w:rsidR="00FB55E6" w:rsidRPr="0049124E">
        <w:rPr>
          <w:rFonts w:ascii="Aptos" w:hAnsi="Aptos"/>
        </w:rPr>
        <w:t>recognized the “breadth of stakeholders</w:t>
      </w:r>
      <w:r w:rsidR="00091294">
        <w:rPr>
          <w:rFonts w:ascii="Aptos" w:hAnsi="Aptos"/>
        </w:rPr>
        <w:t>,</w:t>
      </w:r>
      <w:r w:rsidR="00FB55E6" w:rsidRPr="0049124E">
        <w:rPr>
          <w:rFonts w:ascii="Aptos" w:hAnsi="Aptos"/>
        </w:rPr>
        <w:t>”</w:t>
      </w:r>
      <w:r w:rsidR="00091294">
        <w:rPr>
          <w:rFonts w:ascii="Aptos" w:hAnsi="Aptos"/>
        </w:rPr>
        <w:t xml:space="preserve"> </w:t>
      </w:r>
      <w:r w:rsidR="00FB55E6" w:rsidRPr="0049124E">
        <w:rPr>
          <w:rFonts w:ascii="Aptos" w:hAnsi="Aptos"/>
        </w:rPr>
        <w:t>outlined methods to improve DER data collection and sharing</w:t>
      </w:r>
      <w:r w:rsidR="00091294">
        <w:rPr>
          <w:rFonts w:ascii="Aptos" w:hAnsi="Aptos"/>
        </w:rPr>
        <w:t>,</w:t>
      </w:r>
      <w:r w:rsidR="00FB55E6" w:rsidRPr="0049124E">
        <w:rPr>
          <w:rFonts w:ascii="Aptos" w:hAnsi="Aptos"/>
        </w:rPr>
        <w:t xml:space="preserve"> and expanded on recommendations related to the use of DER registries and a common information model for information exchanges.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E20E6"/>
    <w:multiLevelType w:val="hybridMultilevel"/>
    <w:tmpl w:val="4A563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5C6444"/>
    <w:multiLevelType w:val="hybridMultilevel"/>
    <w:tmpl w:val="C30C4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164182">
    <w:abstractNumId w:val="0"/>
  </w:num>
  <w:num w:numId="2" w16cid:durableId="545414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0D"/>
    <w:rsid w:val="00010ABC"/>
    <w:rsid w:val="000155B3"/>
    <w:rsid w:val="0002637B"/>
    <w:rsid w:val="00027520"/>
    <w:rsid w:val="00027C24"/>
    <w:rsid w:val="00040420"/>
    <w:rsid w:val="00050808"/>
    <w:rsid w:val="00054D1D"/>
    <w:rsid w:val="000630F2"/>
    <w:rsid w:val="00082A71"/>
    <w:rsid w:val="00091294"/>
    <w:rsid w:val="000A33BD"/>
    <w:rsid w:val="000B05E2"/>
    <w:rsid w:val="000B78FC"/>
    <w:rsid w:val="000C425F"/>
    <w:rsid w:val="000D2D38"/>
    <w:rsid w:val="000D4E0D"/>
    <w:rsid w:val="000D5FC6"/>
    <w:rsid w:val="000E657F"/>
    <w:rsid w:val="00103121"/>
    <w:rsid w:val="00121C12"/>
    <w:rsid w:val="0012589D"/>
    <w:rsid w:val="001335CA"/>
    <w:rsid w:val="00134910"/>
    <w:rsid w:val="001466F3"/>
    <w:rsid w:val="00164DD2"/>
    <w:rsid w:val="00170C41"/>
    <w:rsid w:val="00173849"/>
    <w:rsid w:val="00196E70"/>
    <w:rsid w:val="001B3CF1"/>
    <w:rsid w:val="001C3FDB"/>
    <w:rsid w:val="001D2C15"/>
    <w:rsid w:val="001D74C7"/>
    <w:rsid w:val="00202F6D"/>
    <w:rsid w:val="00205ECC"/>
    <w:rsid w:val="002204B2"/>
    <w:rsid w:val="00230562"/>
    <w:rsid w:val="002339EA"/>
    <w:rsid w:val="00244E15"/>
    <w:rsid w:val="00261B28"/>
    <w:rsid w:val="00262F4C"/>
    <w:rsid w:val="00292BAE"/>
    <w:rsid w:val="00297539"/>
    <w:rsid w:val="00297588"/>
    <w:rsid w:val="002A07F8"/>
    <w:rsid w:val="002A53FA"/>
    <w:rsid w:val="002A554A"/>
    <w:rsid w:val="002B45F3"/>
    <w:rsid w:val="002C4E6C"/>
    <w:rsid w:val="002C57C5"/>
    <w:rsid w:val="002D3743"/>
    <w:rsid w:val="002D4719"/>
    <w:rsid w:val="002E0F33"/>
    <w:rsid w:val="002E27A3"/>
    <w:rsid w:val="002E6223"/>
    <w:rsid w:val="003312E0"/>
    <w:rsid w:val="00331A5F"/>
    <w:rsid w:val="00346D82"/>
    <w:rsid w:val="0036032A"/>
    <w:rsid w:val="003634AD"/>
    <w:rsid w:val="00364253"/>
    <w:rsid w:val="00364401"/>
    <w:rsid w:val="00370ABA"/>
    <w:rsid w:val="00385FBD"/>
    <w:rsid w:val="00397CB7"/>
    <w:rsid w:val="003B1A8A"/>
    <w:rsid w:val="00401CC8"/>
    <w:rsid w:val="0041196E"/>
    <w:rsid w:val="00426DFE"/>
    <w:rsid w:val="0042793A"/>
    <w:rsid w:val="00432949"/>
    <w:rsid w:val="00442A84"/>
    <w:rsid w:val="00455A7C"/>
    <w:rsid w:val="0046155A"/>
    <w:rsid w:val="004854D4"/>
    <w:rsid w:val="00487EF0"/>
    <w:rsid w:val="0049124E"/>
    <w:rsid w:val="0049649A"/>
    <w:rsid w:val="004A4FC7"/>
    <w:rsid w:val="004D3869"/>
    <w:rsid w:val="004E3032"/>
    <w:rsid w:val="004F3E5C"/>
    <w:rsid w:val="004F41EB"/>
    <w:rsid w:val="005069E8"/>
    <w:rsid w:val="00533DB1"/>
    <w:rsid w:val="00537749"/>
    <w:rsid w:val="0054113A"/>
    <w:rsid w:val="00561B79"/>
    <w:rsid w:val="0056683F"/>
    <w:rsid w:val="00591B28"/>
    <w:rsid w:val="005D0308"/>
    <w:rsid w:val="005D6DF9"/>
    <w:rsid w:val="005D7F08"/>
    <w:rsid w:val="005E7781"/>
    <w:rsid w:val="00612CAD"/>
    <w:rsid w:val="00621D4B"/>
    <w:rsid w:val="00633137"/>
    <w:rsid w:val="006403EA"/>
    <w:rsid w:val="00650E3A"/>
    <w:rsid w:val="006714CC"/>
    <w:rsid w:val="00684723"/>
    <w:rsid w:val="00687DCA"/>
    <w:rsid w:val="00690EAB"/>
    <w:rsid w:val="006A2354"/>
    <w:rsid w:val="006B17F0"/>
    <w:rsid w:val="006B3B68"/>
    <w:rsid w:val="006D1C0F"/>
    <w:rsid w:val="006D525D"/>
    <w:rsid w:val="006E5D1A"/>
    <w:rsid w:val="006F0D0C"/>
    <w:rsid w:val="007046D0"/>
    <w:rsid w:val="007319E7"/>
    <w:rsid w:val="00751E8A"/>
    <w:rsid w:val="00767019"/>
    <w:rsid w:val="007771DB"/>
    <w:rsid w:val="00781A2C"/>
    <w:rsid w:val="00786019"/>
    <w:rsid w:val="007918CC"/>
    <w:rsid w:val="007A4168"/>
    <w:rsid w:val="007A51BB"/>
    <w:rsid w:val="007A54CE"/>
    <w:rsid w:val="007D5C67"/>
    <w:rsid w:val="0081045C"/>
    <w:rsid w:val="00811550"/>
    <w:rsid w:val="00824F5F"/>
    <w:rsid w:val="00832A22"/>
    <w:rsid w:val="00840193"/>
    <w:rsid w:val="00844873"/>
    <w:rsid w:val="00845CAA"/>
    <w:rsid w:val="00851960"/>
    <w:rsid w:val="00860547"/>
    <w:rsid w:val="0087058E"/>
    <w:rsid w:val="00897500"/>
    <w:rsid w:val="008A507F"/>
    <w:rsid w:val="008C4A8D"/>
    <w:rsid w:val="008D4628"/>
    <w:rsid w:val="008D5A72"/>
    <w:rsid w:val="008F72DF"/>
    <w:rsid w:val="00910FB3"/>
    <w:rsid w:val="00912CB2"/>
    <w:rsid w:val="00912EB3"/>
    <w:rsid w:val="00916132"/>
    <w:rsid w:val="00922E29"/>
    <w:rsid w:val="00932E3F"/>
    <w:rsid w:val="009338D5"/>
    <w:rsid w:val="00957632"/>
    <w:rsid w:val="0096305A"/>
    <w:rsid w:val="00980278"/>
    <w:rsid w:val="00985ED7"/>
    <w:rsid w:val="00992218"/>
    <w:rsid w:val="00994360"/>
    <w:rsid w:val="0099566F"/>
    <w:rsid w:val="009A2DD3"/>
    <w:rsid w:val="009D06BB"/>
    <w:rsid w:val="009D2643"/>
    <w:rsid w:val="009D2C15"/>
    <w:rsid w:val="009E0104"/>
    <w:rsid w:val="009F07C6"/>
    <w:rsid w:val="009F4FFD"/>
    <w:rsid w:val="00A11E24"/>
    <w:rsid w:val="00A16EF6"/>
    <w:rsid w:val="00A21A6C"/>
    <w:rsid w:val="00A30E89"/>
    <w:rsid w:val="00A4570A"/>
    <w:rsid w:val="00A47C98"/>
    <w:rsid w:val="00A60C8A"/>
    <w:rsid w:val="00A61FB4"/>
    <w:rsid w:val="00A77D4C"/>
    <w:rsid w:val="00A854EB"/>
    <w:rsid w:val="00A96E98"/>
    <w:rsid w:val="00A97A4D"/>
    <w:rsid w:val="00AA331A"/>
    <w:rsid w:val="00AA4727"/>
    <w:rsid w:val="00AB449B"/>
    <w:rsid w:val="00AB4D3E"/>
    <w:rsid w:val="00AB616B"/>
    <w:rsid w:val="00B02DC5"/>
    <w:rsid w:val="00B232AB"/>
    <w:rsid w:val="00B24D81"/>
    <w:rsid w:val="00B25768"/>
    <w:rsid w:val="00B34319"/>
    <w:rsid w:val="00B522FD"/>
    <w:rsid w:val="00B635E8"/>
    <w:rsid w:val="00B87EC8"/>
    <w:rsid w:val="00B92460"/>
    <w:rsid w:val="00BA0396"/>
    <w:rsid w:val="00BD5AAF"/>
    <w:rsid w:val="00BE42CE"/>
    <w:rsid w:val="00BE72F0"/>
    <w:rsid w:val="00BF24BB"/>
    <w:rsid w:val="00C1036A"/>
    <w:rsid w:val="00C11792"/>
    <w:rsid w:val="00C156EB"/>
    <w:rsid w:val="00C22C69"/>
    <w:rsid w:val="00C2709A"/>
    <w:rsid w:val="00C40704"/>
    <w:rsid w:val="00C439F5"/>
    <w:rsid w:val="00C5404B"/>
    <w:rsid w:val="00C57CBA"/>
    <w:rsid w:val="00C7236E"/>
    <w:rsid w:val="00C76B67"/>
    <w:rsid w:val="00C76F7D"/>
    <w:rsid w:val="00C806E2"/>
    <w:rsid w:val="00C84451"/>
    <w:rsid w:val="00C90AA0"/>
    <w:rsid w:val="00C92351"/>
    <w:rsid w:val="00CA1AEC"/>
    <w:rsid w:val="00CB56BF"/>
    <w:rsid w:val="00CD7A6C"/>
    <w:rsid w:val="00CF1605"/>
    <w:rsid w:val="00D02873"/>
    <w:rsid w:val="00D04389"/>
    <w:rsid w:val="00D048AF"/>
    <w:rsid w:val="00D11595"/>
    <w:rsid w:val="00D124BC"/>
    <w:rsid w:val="00D26610"/>
    <w:rsid w:val="00D3628C"/>
    <w:rsid w:val="00D4603F"/>
    <w:rsid w:val="00D530C7"/>
    <w:rsid w:val="00D80508"/>
    <w:rsid w:val="00D853DD"/>
    <w:rsid w:val="00DA07C4"/>
    <w:rsid w:val="00DA790A"/>
    <w:rsid w:val="00DD74F6"/>
    <w:rsid w:val="00DE25E7"/>
    <w:rsid w:val="00DE4AA6"/>
    <w:rsid w:val="00DE781F"/>
    <w:rsid w:val="00DF387C"/>
    <w:rsid w:val="00E025E9"/>
    <w:rsid w:val="00E04862"/>
    <w:rsid w:val="00E04A91"/>
    <w:rsid w:val="00E04C48"/>
    <w:rsid w:val="00E1180D"/>
    <w:rsid w:val="00E2472D"/>
    <w:rsid w:val="00E314DA"/>
    <w:rsid w:val="00E32900"/>
    <w:rsid w:val="00E40028"/>
    <w:rsid w:val="00E44AD8"/>
    <w:rsid w:val="00E45761"/>
    <w:rsid w:val="00E54EFE"/>
    <w:rsid w:val="00E7306A"/>
    <w:rsid w:val="00E973E4"/>
    <w:rsid w:val="00E97C3D"/>
    <w:rsid w:val="00ED6579"/>
    <w:rsid w:val="00EF083F"/>
    <w:rsid w:val="00F032B5"/>
    <w:rsid w:val="00F0641D"/>
    <w:rsid w:val="00F251A0"/>
    <w:rsid w:val="00F37233"/>
    <w:rsid w:val="00F5147B"/>
    <w:rsid w:val="00F6619B"/>
    <w:rsid w:val="00F82363"/>
    <w:rsid w:val="00F909AF"/>
    <w:rsid w:val="00FA277C"/>
    <w:rsid w:val="00FA3274"/>
    <w:rsid w:val="00FB494C"/>
    <w:rsid w:val="00FB55E6"/>
    <w:rsid w:val="00FC4276"/>
    <w:rsid w:val="00FD05C3"/>
    <w:rsid w:val="00FE44E2"/>
    <w:rsid w:val="00FF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3867"/>
  <w15:chartTrackingRefBased/>
  <w15:docId w15:val="{4E5CAF74-2765-4F3E-99D0-C003BE93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E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4E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4E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4E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4E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4E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4E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4E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4E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E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4E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4E0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4E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4E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4E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4E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4E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4E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4E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E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E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4E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4E0D"/>
    <w:rPr>
      <w:i/>
      <w:iCs/>
      <w:color w:val="404040" w:themeColor="text1" w:themeTint="BF"/>
    </w:rPr>
  </w:style>
  <w:style w:type="paragraph" w:styleId="ListParagraph">
    <w:name w:val="List Paragraph"/>
    <w:basedOn w:val="Normal"/>
    <w:uiPriority w:val="34"/>
    <w:qFormat/>
    <w:rsid w:val="000D4E0D"/>
    <w:pPr>
      <w:ind w:left="720"/>
      <w:contextualSpacing/>
    </w:pPr>
  </w:style>
  <w:style w:type="character" w:styleId="IntenseEmphasis">
    <w:name w:val="Intense Emphasis"/>
    <w:basedOn w:val="DefaultParagraphFont"/>
    <w:uiPriority w:val="21"/>
    <w:qFormat/>
    <w:rsid w:val="000D4E0D"/>
    <w:rPr>
      <w:i/>
      <w:iCs/>
      <w:color w:val="2F5496" w:themeColor="accent1" w:themeShade="BF"/>
    </w:rPr>
  </w:style>
  <w:style w:type="paragraph" w:styleId="IntenseQuote">
    <w:name w:val="Intense Quote"/>
    <w:basedOn w:val="Normal"/>
    <w:next w:val="Normal"/>
    <w:link w:val="IntenseQuoteChar"/>
    <w:uiPriority w:val="30"/>
    <w:qFormat/>
    <w:rsid w:val="000D4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4E0D"/>
    <w:rPr>
      <w:i/>
      <w:iCs/>
      <w:color w:val="2F5496" w:themeColor="accent1" w:themeShade="BF"/>
    </w:rPr>
  </w:style>
  <w:style w:type="character" w:styleId="IntenseReference">
    <w:name w:val="Intense Reference"/>
    <w:basedOn w:val="DefaultParagraphFont"/>
    <w:uiPriority w:val="32"/>
    <w:qFormat/>
    <w:rsid w:val="000D4E0D"/>
    <w:rPr>
      <w:b/>
      <w:bCs/>
      <w:smallCaps/>
      <w:color w:val="2F5496" w:themeColor="accent1" w:themeShade="BF"/>
      <w:spacing w:val="5"/>
    </w:rPr>
  </w:style>
  <w:style w:type="paragraph" w:styleId="FootnoteText">
    <w:name w:val="footnote text"/>
    <w:basedOn w:val="Normal"/>
    <w:link w:val="FootnoteTextChar"/>
    <w:uiPriority w:val="99"/>
    <w:semiHidden/>
    <w:unhideWhenUsed/>
    <w:rsid w:val="00DF387C"/>
    <w:rPr>
      <w:szCs w:val="20"/>
    </w:rPr>
  </w:style>
  <w:style w:type="character" w:customStyle="1" w:styleId="FootnoteTextChar">
    <w:name w:val="Footnote Text Char"/>
    <w:basedOn w:val="DefaultParagraphFont"/>
    <w:link w:val="FootnoteText"/>
    <w:uiPriority w:val="99"/>
    <w:semiHidden/>
    <w:rsid w:val="00DF387C"/>
    <w:rPr>
      <w:szCs w:val="20"/>
    </w:rPr>
  </w:style>
  <w:style w:type="character" w:styleId="FootnoteReference">
    <w:name w:val="footnote reference"/>
    <w:basedOn w:val="DefaultParagraphFont"/>
    <w:uiPriority w:val="99"/>
    <w:semiHidden/>
    <w:unhideWhenUsed/>
    <w:rsid w:val="00DF387C"/>
    <w:rPr>
      <w:vertAlign w:val="superscript"/>
    </w:rPr>
  </w:style>
  <w:style w:type="table" w:styleId="TableGrid">
    <w:name w:val="Table Grid"/>
    <w:basedOn w:val="TableNormal"/>
    <w:uiPriority w:val="39"/>
    <w:rsid w:val="00C43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277C"/>
    <w:pPr>
      <w:tabs>
        <w:tab w:val="center" w:pos="4680"/>
        <w:tab w:val="right" w:pos="9360"/>
      </w:tabs>
    </w:pPr>
  </w:style>
  <w:style w:type="character" w:customStyle="1" w:styleId="HeaderChar">
    <w:name w:val="Header Char"/>
    <w:basedOn w:val="DefaultParagraphFont"/>
    <w:link w:val="Header"/>
    <w:uiPriority w:val="99"/>
    <w:rsid w:val="00FA277C"/>
  </w:style>
  <w:style w:type="paragraph" w:styleId="Footer">
    <w:name w:val="footer"/>
    <w:basedOn w:val="Normal"/>
    <w:link w:val="FooterChar"/>
    <w:uiPriority w:val="99"/>
    <w:unhideWhenUsed/>
    <w:rsid w:val="00FA277C"/>
    <w:pPr>
      <w:tabs>
        <w:tab w:val="center" w:pos="4680"/>
        <w:tab w:val="right" w:pos="9360"/>
      </w:tabs>
    </w:pPr>
  </w:style>
  <w:style w:type="character" w:customStyle="1" w:styleId="FooterChar">
    <w:name w:val="Footer Char"/>
    <w:basedOn w:val="DefaultParagraphFont"/>
    <w:link w:val="Footer"/>
    <w:uiPriority w:val="99"/>
    <w:rsid w:val="00FA277C"/>
  </w:style>
  <w:style w:type="character" w:styleId="Hyperlink">
    <w:name w:val="Hyperlink"/>
    <w:basedOn w:val="DefaultParagraphFont"/>
    <w:uiPriority w:val="99"/>
    <w:unhideWhenUsed/>
    <w:rsid w:val="00FA277C"/>
    <w:rPr>
      <w:color w:val="0563C1" w:themeColor="hyperlink"/>
      <w:u w:val="single"/>
    </w:rPr>
  </w:style>
  <w:style w:type="character" w:styleId="UnresolvedMention">
    <w:name w:val="Unresolved Mention"/>
    <w:basedOn w:val="DefaultParagraphFont"/>
    <w:uiPriority w:val="99"/>
    <w:semiHidden/>
    <w:unhideWhenUsed/>
    <w:rsid w:val="00FA277C"/>
    <w:rPr>
      <w:color w:val="605E5C"/>
      <w:shd w:val="clear" w:color="auto" w:fill="E1DFDD"/>
    </w:rPr>
  </w:style>
  <w:style w:type="character" w:styleId="CommentReference">
    <w:name w:val="annotation reference"/>
    <w:basedOn w:val="DefaultParagraphFont"/>
    <w:uiPriority w:val="99"/>
    <w:semiHidden/>
    <w:unhideWhenUsed/>
    <w:rsid w:val="002339EA"/>
    <w:rPr>
      <w:sz w:val="16"/>
      <w:szCs w:val="16"/>
    </w:rPr>
  </w:style>
  <w:style w:type="paragraph" w:styleId="CommentText">
    <w:name w:val="annotation text"/>
    <w:basedOn w:val="Normal"/>
    <w:link w:val="CommentTextChar"/>
    <w:uiPriority w:val="99"/>
    <w:semiHidden/>
    <w:unhideWhenUsed/>
    <w:rsid w:val="002339EA"/>
    <w:rPr>
      <w:szCs w:val="20"/>
    </w:rPr>
  </w:style>
  <w:style w:type="character" w:customStyle="1" w:styleId="CommentTextChar">
    <w:name w:val="Comment Text Char"/>
    <w:basedOn w:val="DefaultParagraphFont"/>
    <w:link w:val="CommentText"/>
    <w:uiPriority w:val="99"/>
    <w:semiHidden/>
    <w:rsid w:val="002339EA"/>
    <w:rPr>
      <w:szCs w:val="20"/>
    </w:rPr>
  </w:style>
  <w:style w:type="paragraph" w:styleId="CommentSubject">
    <w:name w:val="annotation subject"/>
    <w:basedOn w:val="CommentText"/>
    <w:next w:val="CommentText"/>
    <w:link w:val="CommentSubjectChar"/>
    <w:uiPriority w:val="99"/>
    <w:semiHidden/>
    <w:unhideWhenUsed/>
    <w:rsid w:val="002339EA"/>
    <w:rPr>
      <w:b/>
      <w:bCs/>
    </w:rPr>
  </w:style>
  <w:style w:type="character" w:customStyle="1" w:styleId="CommentSubjectChar">
    <w:name w:val="Comment Subject Char"/>
    <w:basedOn w:val="CommentTextChar"/>
    <w:link w:val="CommentSubject"/>
    <w:uiPriority w:val="99"/>
    <w:semiHidden/>
    <w:rsid w:val="002339EA"/>
    <w:rPr>
      <w:b/>
      <w:bCs/>
      <w:szCs w:val="20"/>
    </w:rPr>
  </w:style>
  <w:style w:type="paragraph" w:styleId="Revision">
    <w:name w:val="Revision"/>
    <w:hidden/>
    <w:uiPriority w:val="99"/>
    <w:semiHidden/>
    <w:rsid w:val="002339EA"/>
  </w:style>
  <w:style w:type="character" w:styleId="FollowedHyperlink">
    <w:name w:val="FollowedHyperlink"/>
    <w:basedOn w:val="DefaultParagraphFont"/>
    <w:uiPriority w:val="99"/>
    <w:semiHidden/>
    <w:unhideWhenUsed/>
    <w:rsid w:val="001466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naesb.org/pdf4/weq_rmq_bps080825w7.pdf" TargetMode="External"/><Relationship Id="rId1" Type="http://schemas.openxmlformats.org/officeDocument/2006/relationships/hyperlink" Target="https://naesb.org/pdf4/weq_rmq_bps080825w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EA987-19F7-41B2-AC0B-B76BCBC8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2108</Words>
  <Characters>12016</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Kirsten Rowley</cp:lastModifiedBy>
  <cp:revision>2</cp:revision>
  <dcterms:created xsi:type="dcterms:W3CDTF">2026-02-26T19:49:00Z</dcterms:created>
  <dcterms:modified xsi:type="dcterms:W3CDTF">2026-02-26T19:49:00Z</dcterms:modified>
</cp:coreProperties>
</file>