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94B06" w14:textId="08A5D842" w:rsidR="00C27483" w:rsidRPr="00D322B4" w:rsidRDefault="00C27483" w:rsidP="00C27483">
      <w:pPr>
        <w:spacing w:after="0" w:line="240" w:lineRule="auto"/>
        <w:rPr>
          <w:rFonts w:ascii="Avenir Next Condensed" w:hAnsi="Avenir Next Condensed"/>
          <w:sz w:val="20"/>
          <w:szCs w:val="20"/>
        </w:rPr>
      </w:pPr>
      <w:r w:rsidRPr="00D322B4">
        <w:rPr>
          <w:rFonts w:ascii="Avenir Next Condensed" w:hAnsi="Avenir Next Condensed"/>
          <w:sz w:val="20"/>
          <w:szCs w:val="20"/>
        </w:rPr>
        <w:t xml:space="preserve">I commend Joshua Phillips and Debbie McKeever for their leadership in bringing the Wholesale and Retail Markets together to tackle the DER opportunity.  I also commend the subcommittee for volunteering your time and talents </w:t>
      </w:r>
      <w:r w:rsidR="00D322B4" w:rsidRPr="00D322B4">
        <w:rPr>
          <w:rFonts w:ascii="Avenir Next Condensed" w:hAnsi="Avenir Next Condensed"/>
          <w:sz w:val="20"/>
          <w:szCs w:val="20"/>
        </w:rPr>
        <w:t>in</w:t>
      </w:r>
      <w:r w:rsidRPr="00D322B4">
        <w:rPr>
          <w:rFonts w:ascii="Avenir Next Condensed" w:hAnsi="Avenir Next Condensed"/>
          <w:sz w:val="20"/>
          <w:szCs w:val="20"/>
        </w:rPr>
        <w:t xml:space="preserve"> creating the NAESB Concept Paper.</w:t>
      </w:r>
    </w:p>
    <w:p w14:paraId="7EE26B29" w14:textId="77777777" w:rsidR="00C27483" w:rsidRPr="00D322B4" w:rsidRDefault="00C27483" w:rsidP="00C27483">
      <w:pPr>
        <w:spacing w:after="0" w:line="240" w:lineRule="auto"/>
        <w:rPr>
          <w:rFonts w:ascii="Avenir Next Condensed" w:hAnsi="Avenir Next Condensed"/>
          <w:sz w:val="20"/>
          <w:szCs w:val="20"/>
        </w:rPr>
      </w:pPr>
    </w:p>
    <w:p w14:paraId="11F81C5F" w14:textId="01679C43" w:rsidR="00C27483" w:rsidRPr="00D322B4" w:rsidRDefault="00C27483" w:rsidP="00C27483">
      <w:pPr>
        <w:spacing w:after="0" w:line="240" w:lineRule="auto"/>
        <w:rPr>
          <w:rFonts w:ascii="Avenir Next Condensed" w:hAnsi="Avenir Next Condensed"/>
          <w:sz w:val="20"/>
          <w:szCs w:val="20"/>
        </w:rPr>
      </w:pPr>
      <w:r w:rsidRPr="00D322B4">
        <w:rPr>
          <w:rFonts w:ascii="Avenir Next Condensed" w:hAnsi="Avenir Next Condensed"/>
          <w:sz w:val="20"/>
          <w:szCs w:val="20"/>
        </w:rPr>
        <w:t>I strongly support the NAESB Concept Paper's proposal for a centralized DER Entity Registry and accompanying Business Practice Standards to facilitate interoperability among DER and aggregation data systems. Positioning NAESB as the keeper of a federated DER registry aligns seamlessly with its established role in fostering industry-wide standards, ensuring neutral governance that promotes equitable access and reduces fragmentation across the electric sector. This approach would enable efficient data sharing while accommodating regional variations, directly addressing the challenges outlined in the paper, such as inconsistencies in DER data quality and availability. By leveraging NAESB's expertise in standards development, the registry can evolve dynamically to incorporate emerging technologies and regulatory changes, providing a robust foundation for broader DER integration.</w:t>
      </w:r>
    </w:p>
    <w:p w14:paraId="7665244D" w14:textId="77777777" w:rsidR="00C27483" w:rsidRPr="00D322B4" w:rsidRDefault="00C27483" w:rsidP="00C27483">
      <w:pPr>
        <w:spacing w:after="0" w:line="240" w:lineRule="auto"/>
        <w:rPr>
          <w:rFonts w:ascii="Avenir Next Condensed" w:hAnsi="Avenir Next Condensed"/>
          <w:sz w:val="20"/>
          <w:szCs w:val="20"/>
        </w:rPr>
      </w:pPr>
    </w:p>
    <w:p w14:paraId="2AD45B1D" w14:textId="77777777" w:rsidR="00C27483" w:rsidRPr="00D322B4" w:rsidRDefault="00C27483" w:rsidP="00C27483">
      <w:pPr>
        <w:spacing w:after="0" w:line="240" w:lineRule="auto"/>
        <w:rPr>
          <w:rFonts w:ascii="Avenir Next Condensed" w:hAnsi="Avenir Next Condensed"/>
          <w:sz w:val="20"/>
          <w:szCs w:val="20"/>
        </w:rPr>
      </w:pPr>
      <w:r w:rsidRPr="00D322B4">
        <w:rPr>
          <w:rFonts w:ascii="Avenir Next Condensed" w:hAnsi="Avenir Next Condensed"/>
          <w:sz w:val="20"/>
          <w:szCs w:val="20"/>
        </w:rPr>
        <w:t>The proposed framework also offers significant advantages through collaboration with industry initiatives like ESIG's national DER integration efforts, CUS's non-profit registry model, and OATI's DER management systems. ESIG's vision for a high-DER electricity system would be supported by NAESB's standardized data governance, allowing for comprehensive visibility into DER locations, capacities, and performance characteristics to mitigate bulk power system variability, as noted in NERC SPIDERWG's guidance on reducing uncertainty. CUS's collaborative approach could federate seamlessly under NAESB's umbrella, enhancing data equity for utilities and aggregators, while OATI's operational tools could interface via defined APIs, promoting innovation without proprietary silos. This alignment fosters a cohesive ecosystem that amplifies the reliability-focused insights from NERC SPIDERWG, ensuring DER data supports planning and operational horizons across entities.</w:t>
      </w:r>
    </w:p>
    <w:p w14:paraId="580AA121" w14:textId="77777777" w:rsidR="00C27483" w:rsidRPr="00D322B4" w:rsidRDefault="00C27483" w:rsidP="00C27483">
      <w:pPr>
        <w:spacing w:after="0" w:line="240" w:lineRule="auto"/>
        <w:rPr>
          <w:rFonts w:ascii="Avenir Next Condensed" w:hAnsi="Avenir Next Condensed"/>
          <w:sz w:val="20"/>
          <w:szCs w:val="20"/>
        </w:rPr>
      </w:pPr>
    </w:p>
    <w:p w14:paraId="212E9C3B" w14:textId="2B948A80" w:rsidR="00C27483" w:rsidRPr="00D322B4" w:rsidRDefault="00C27483" w:rsidP="00C27483">
      <w:pPr>
        <w:spacing w:after="0" w:line="240" w:lineRule="auto"/>
        <w:rPr>
          <w:rFonts w:ascii="Avenir Next Condensed" w:hAnsi="Avenir Next Condensed"/>
          <w:sz w:val="20"/>
          <w:szCs w:val="20"/>
        </w:rPr>
      </w:pPr>
      <w:r w:rsidRPr="00D322B4">
        <w:rPr>
          <w:rFonts w:ascii="Avenir Next Condensed" w:hAnsi="Avenir Next Condensed"/>
          <w:sz w:val="20"/>
          <w:szCs w:val="20"/>
        </w:rPr>
        <w:t>One key benefit of NAESB's stewardship is enhanced alignment with State/Province governments and ISO/RTOs, which often require granular DER data for permitting, planning, and market operations. For instance, states and provinces can utilize the federated structure to verify compliance with local interconnection rules and incentives, while ISO/RTOs can access standardized data formats to fulfill FERC Order 2222 requirements for DER aggregations in wholesale markets. This interoperability would streamline reporting and reduce administrative burdens, as evidenced by the coordination strategies highlighted in NERC SPIDERWG white papers on transmission-distribution interfaces. Furthermore, integration with FERC mandates, including Orders 2222-A and 2222-B, would facilitate tariff compliance and barrier removal, enabling more effective participation of DERs in capacity, energy, and ancillary services.</w:t>
      </w:r>
      <w:r w:rsidR="00D322B4" w:rsidRPr="00D322B4">
        <w:rPr>
          <w:rFonts w:ascii="Avenir Next Condensed" w:hAnsi="Avenir Next Condensed"/>
          <w:sz w:val="20"/>
          <w:szCs w:val="20"/>
        </w:rPr>
        <w:t xml:space="preserve"> </w:t>
      </w:r>
      <w:r w:rsidR="00D322B4">
        <w:rPr>
          <w:rFonts w:ascii="Avenir Next Condensed" w:hAnsi="Avenir Next Condensed"/>
          <w:sz w:val="20"/>
          <w:szCs w:val="20"/>
        </w:rPr>
        <w:t xml:space="preserve"> </w:t>
      </w:r>
      <w:r w:rsidR="00D322B4" w:rsidRPr="00D322B4">
        <w:rPr>
          <w:rFonts w:ascii="Avenir Next Condensed" w:hAnsi="Avenir Next Condensed"/>
          <w:sz w:val="20"/>
          <w:szCs w:val="20"/>
        </w:rPr>
        <w:t xml:space="preserve"> </w:t>
      </w:r>
      <w:r w:rsidR="00D322B4" w:rsidRPr="00D322B4">
        <w:rPr>
          <w:rFonts w:ascii="Avenir Next Condensed" w:hAnsi="Avenir Next Condensed" w:cs="Helvetica"/>
          <w:kern w:val="0"/>
          <w:sz w:val="20"/>
          <w:szCs w:val="20"/>
        </w:rPr>
        <w:t>Further, revisions to NERC MOD-032 Data for Power System Modeling and Analysis proposed by NERC to address FERC Order No. 901 will require jurisdictional entities to incorporate certain DER-related information as part of transmission planning processes to support reliability. A DER Entity Registry can help jurisdictional bulk electric entities identify and authenticate appropriate parties to obtain this information, such as aggregators who are not subject to NERC requirements. Given the existing wide variances in the availability and quality of DER-related information, NAESB Business Practice Standards can create a consistent approach for data compatibility that can increase the consistency and uniformity of data, helping to improve the accuracy of the transmission planning processes that use this information</w:t>
      </w:r>
    </w:p>
    <w:p w14:paraId="7B46BF18" w14:textId="77777777" w:rsidR="00C27483" w:rsidRPr="00D322B4" w:rsidRDefault="00C27483" w:rsidP="00C27483">
      <w:pPr>
        <w:spacing w:after="0" w:line="240" w:lineRule="auto"/>
        <w:rPr>
          <w:rFonts w:ascii="Avenir Next Condensed" w:hAnsi="Avenir Next Condensed"/>
          <w:sz w:val="20"/>
          <w:szCs w:val="20"/>
        </w:rPr>
      </w:pPr>
    </w:p>
    <w:p w14:paraId="626F8AA8" w14:textId="48C46409" w:rsidR="00F00D41" w:rsidRPr="00D322B4" w:rsidRDefault="00C27483" w:rsidP="00C27483">
      <w:pPr>
        <w:spacing w:after="0" w:line="240" w:lineRule="auto"/>
        <w:rPr>
          <w:rFonts w:ascii="Avenir Next Condensed" w:hAnsi="Avenir Next Condensed"/>
          <w:sz w:val="20"/>
          <w:szCs w:val="20"/>
        </w:rPr>
      </w:pPr>
      <w:r w:rsidRPr="00D322B4">
        <w:rPr>
          <w:rFonts w:ascii="Avenir Next Condensed" w:hAnsi="Avenir Next Condensed"/>
          <w:sz w:val="20"/>
          <w:szCs w:val="20"/>
        </w:rPr>
        <w:t>Additionally, NAESB's role would bolster compliance with US Treasury tax guidelines, such as those in IRS Notice 2026-15, by incorporating fields for prohibited foreign entity (PFE) attestations and material assistance cost ratios (MACR), enabling taxpayers to substantiate eligibility for energy credits under sections 45X, 45Y, and 48E. This integration would prevent credit disqualifications for DER projects involving foreign-sourced components, adding economic value to the registry. Moreover, embedding NIST cybersecurity frameworks would safeguard sensitive data exchanges, aligning with FERC's emphasis on resilience in Order 901 for inverter-based resources. Overall, these alignments would create a secure, scalable platform that not only meets regulatory demands but also accelerates the transition to a distributed energy future.</w:t>
      </w:r>
    </w:p>
    <w:p w14:paraId="449EA831" w14:textId="77777777" w:rsidR="00C27483" w:rsidRPr="00D322B4" w:rsidRDefault="00C27483" w:rsidP="00C27483">
      <w:pPr>
        <w:spacing w:after="0" w:line="240" w:lineRule="auto"/>
        <w:rPr>
          <w:rFonts w:ascii="Avenir Next Condensed" w:hAnsi="Avenir Next Condensed"/>
          <w:sz w:val="20"/>
          <w:szCs w:val="20"/>
        </w:rPr>
      </w:pPr>
    </w:p>
    <w:p w14:paraId="4B9A5768" w14:textId="3CEA0456" w:rsidR="00C27483" w:rsidRPr="00D322B4" w:rsidRDefault="00C27483" w:rsidP="00C27483">
      <w:pPr>
        <w:spacing w:after="0" w:line="240" w:lineRule="auto"/>
        <w:rPr>
          <w:rFonts w:ascii="Avenir Next Condensed" w:hAnsi="Avenir Next Condensed"/>
          <w:sz w:val="20"/>
          <w:szCs w:val="20"/>
        </w:rPr>
      </w:pPr>
      <w:r w:rsidRPr="00D322B4">
        <w:rPr>
          <w:rFonts w:ascii="Avenir Next Condensed" w:hAnsi="Avenir Next Condensed"/>
          <w:sz w:val="20"/>
          <w:szCs w:val="20"/>
        </w:rPr>
        <w:t>Respectively submitted by</w:t>
      </w:r>
    </w:p>
    <w:p w14:paraId="57FDFD42" w14:textId="30A968A1" w:rsidR="00C27483" w:rsidRPr="00D322B4" w:rsidRDefault="00C27483" w:rsidP="00C27483">
      <w:pPr>
        <w:spacing w:after="0" w:line="240" w:lineRule="auto"/>
        <w:rPr>
          <w:rFonts w:ascii="Avenir Next Condensed" w:hAnsi="Avenir Next Condensed"/>
          <w:sz w:val="20"/>
          <w:szCs w:val="20"/>
        </w:rPr>
      </w:pPr>
      <w:r w:rsidRPr="00D322B4">
        <w:rPr>
          <w:rFonts w:ascii="Avenir Next Condensed" w:hAnsi="Avenir Next Condensed"/>
          <w:sz w:val="20"/>
          <w:szCs w:val="20"/>
        </w:rPr>
        <w:t>Cade Burks</w:t>
      </w:r>
    </w:p>
    <w:p w14:paraId="0A786AEF" w14:textId="45E67DC5" w:rsidR="00D322B4" w:rsidRPr="00D322B4" w:rsidRDefault="00D322B4" w:rsidP="00C27483">
      <w:pPr>
        <w:spacing w:after="0" w:line="240" w:lineRule="auto"/>
        <w:rPr>
          <w:rFonts w:ascii="Avenir Next Condensed" w:hAnsi="Avenir Next Condensed"/>
          <w:sz w:val="20"/>
          <w:szCs w:val="20"/>
        </w:rPr>
      </w:pPr>
      <w:r w:rsidRPr="00D322B4">
        <w:rPr>
          <w:rFonts w:ascii="Avenir Next Condensed" w:hAnsi="Avenir Next Condensed"/>
          <w:color w:val="212121"/>
          <w:sz w:val="20"/>
          <w:szCs w:val="20"/>
        </w:rPr>
        <w:t>Board of Directors Vice Chair of the</w:t>
      </w:r>
      <w:r w:rsidRPr="00D322B4">
        <w:rPr>
          <w:rFonts w:ascii="Avenir Next Condensed" w:hAnsi="Avenir Next Condensed"/>
          <w:color w:val="212121"/>
          <w:sz w:val="20"/>
          <w:szCs w:val="20"/>
        </w:rPr>
        <w:t xml:space="preserve"> </w:t>
      </w:r>
      <w:r w:rsidR="00C27483" w:rsidRPr="00D322B4">
        <w:rPr>
          <w:rFonts w:ascii="Avenir Next Condensed" w:hAnsi="Avenir Next Condensed"/>
          <w:sz w:val="20"/>
          <w:szCs w:val="20"/>
        </w:rPr>
        <w:t>Retail Market Quadr</w:t>
      </w:r>
      <w:r w:rsidR="00755BB3" w:rsidRPr="00D322B4">
        <w:rPr>
          <w:rFonts w:ascii="Avenir Next Condensed" w:hAnsi="Avenir Next Condensed"/>
          <w:sz w:val="20"/>
          <w:szCs w:val="20"/>
        </w:rPr>
        <w:t>ant</w:t>
      </w:r>
    </w:p>
    <w:sectPr w:rsidR="00D322B4" w:rsidRPr="00D322B4" w:rsidSect="00C416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venir Next Condensed">
    <w:panose1 w:val="020B0506020202020204"/>
    <w:charset w:val="00"/>
    <w:family w:val="swiss"/>
    <w:pitch w:val="variable"/>
    <w:sig w:usb0="8000002F" w:usb1="5000204A" w:usb2="00000000" w:usb3="00000000" w:csb0="0000009B"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483"/>
    <w:rsid w:val="000217F0"/>
    <w:rsid w:val="000259A7"/>
    <w:rsid w:val="001B4F93"/>
    <w:rsid w:val="00270109"/>
    <w:rsid w:val="0032641A"/>
    <w:rsid w:val="003B70A7"/>
    <w:rsid w:val="003E41D0"/>
    <w:rsid w:val="00401040"/>
    <w:rsid w:val="00490DA5"/>
    <w:rsid w:val="005755E5"/>
    <w:rsid w:val="005C7ADF"/>
    <w:rsid w:val="005F3E66"/>
    <w:rsid w:val="00711180"/>
    <w:rsid w:val="007347C9"/>
    <w:rsid w:val="00755BB3"/>
    <w:rsid w:val="0078358E"/>
    <w:rsid w:val="0080307E"/>
    <w:rsid w:val="008A5ED6"/>
    <w:rsid w:val="008C0ABE"/>
    <w:rsid w:val="0094567E"/>
    <w:rsid w:val="009963F5"/>
    <w:rsid w:val="00A204B4"/>
    <w:rsid w:val="00C27483"/>
    <w:rsid w:val="00C416E9"/>
    <w:rsid w:val="00CA2E1D"/>
    <w:rsid w:val="00D322B4"/>
    <w:rsid w:val="00DC0DD2"/>
    <w:rsid w:val="00DD3109"/>
    <w:rsid w:val="00F00D41"/>
    <w:rsid w:val="00F07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E247F"/>
  <w14:defaultImageDpi w14:val="32767"/>
  <w15:chartTrackingRefBased/>
  <w15:docId w15:val="{DCC3C920-ADE8-1B48-8BAC-35B3E6AB2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74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74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74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74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74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74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74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74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74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4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74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74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74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74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74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74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74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7483"/>
    <w:rPr>
      <w:rFonts w:eastAsiaTheme="majorEastAsia" w:cstheme="majorBidi"/>
      <w:color w:val="272727" w:themeColor="text1" w:themeTint="D8"/>
    </w:rPr>
  </w:style>
  <w:style w:type="paragraph" w:styleId="Title">
    <w:name w:val="Title"/>
    <w:basedOn w:val="Normal"/>
    <w:next w:val="Normal"/>
    <w:link w:val="TitleChar"/>
    <w:uiPriority w:val="10"/>
    <w:qFormat/>
    <w:rsid w:val="00C274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74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74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74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7483"/>
    <w:pPr>
      <w:spacing w:before="160"/>
      <w:jc w:val="center"/>
    </w:pPr>
    <w:rPr>
      <w:i/>
      <w:iCs/>
      <w:color w:val="404040" w:themeColor="text1" w:themeTint="BF"/>
    </w:rPr>
  </w:style>
  <w:style w:type="character" w:customStyle="1" w:styleId="QuoteChar">
    <w:name w:val="Quote Char"/>
    <w:basedOn w:val="DefaultParagraphFont"/>
    <w:link w:val="Quote"/>
    <w:uiPriority w:val="29"/>
    <w:rsid w:val="00C27483"/>
    <w:rPr>
      <w:i/>
      <w:iCs/>
      <w:color w:val="404040" w:themeColor="text1" w:themeTint="BF"/>
    </w:rPr>
  </w:style>
  <w:style w:type="paragraph" w:styleId="ListParagraph">
    <w:name w:val="List Paragraph"/>
    <w:basedOn w:val="Normal"/>
    <w:uiPriority w:val="34"/>
    <w:qFormat/>
    <w:rsid w:val="00C27483"/>
    <w:pPr>
      <w:ind w:left="720"/>
      <w:contextualSpacing/>
    </w:pPr>
  </w:style>
  <w:style w:type="character" w:styleId="IntenseEmphasis">
    <w:name w:val="Intense Emphasis"/>
    <w:basedOn w:val="DefaultParagraphFont"/>
    <w:uiPriority w:val="21"/>
    <w:qFormat/>
    <w:rsid w:val="00C27483"/>
    <w:rPr>
      <w:i/>
      <w:iCs/>
      <w:color w:val="0F4761" w:themeColor="accent1" w:themeShade="BF"/>
    </w:rPr>
  </w:style>
  <w:style w:type="paragraph" w:styleId="IntenseQuote">
    <w:name w:val="Intense Quote"/>
    <w:basedOn w:val="Normal"/>
    <w:next w:val="Normal"/>
    <w:link w:val="IntenseQuoteChar"/>
    <w:uiPriority w:val="30"/>
    <w:qFormat/>
    <w:rsid w:val="00C274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7483"/>
    <w:rPr>
      <w:i/>
      <w:iCs/>
      <w:color w:val="0F4761" w:themeColor="accent1" w:themeShade="BF"/>
    </w:rPr>
  </w:style>
  <w:style w:type="character" w:styleId="IntenseReference">
    <w:name w:val="Intense Reference"/>
    <w:basedOn w:val="DefaultParagraphFont"/>
    <w:uiPriority w:val="32"/>
    <w:qFormat/>
    <w:rsid w:val="00C27483"/>
    <w:rPr>
      <w:b/>
      <w:bCs/>
      <w:smallCaps/>
      <w:color w:val="0F4761" w:themeColor="accent1" w:themeShade="BF"/>
      <w:spacing w:val="5"/>
    </w:rPr>
  </w:style>
  <w:style w:type="character" w:styleId="CommentReference">
    <w:name w:val="annotation reference"/>
    <w:basedOn w:val="DefaultParagraphFont"/>
    <w:uiPriority w:val="99"/>
    <w:semiHidden/>
    <w:unhideWhenUsed/>
    <w:rsid w:val="00CA2E1D"/>
    <w:rPr>
      <w:sz w:val="16"/>
      <w:szCs w:val="16"/>
    </w:rPr>
  </w:style>
  <w:style w:type="paragraph" w:styleId="CommentText">
    <w:name w:val="annotation text"/>
    <w:basedOn w:val="Normal"/>
    <w:link w:val="CommentTextChar"/>
    <w:uiPriority w:val="99"/>
    <w:semiHidden/>
    <w:unhideWhenUsed/>
    <w:rsid w:val="00CA2E1D"/>
    <w:pPr>
      <w:spacing w:line="240" w:lineRule="auto"/>
    </w:pPr>
    <w:rPr>
      <w:sz w:val="20"/>
      <w:szCs w:val="20"/>
    </w:rPr>
  </w:style>
  <w:style w:type="character" w:customStyle="1" w:styleId="CommentTextChar">
    <w:name w:val="Comment Text Char"/>
    <w:basedOn w:val="DefaultParagraphFont"/>
    <w:link w:val="CommentText"/>
    <w:uiPriority w:val="99"/>
    <w:semiHidden/>
    <w:rsid w:val="00CA2E1D"/>
    <w:rPr>
      <w:sz w:val="20"/>
      <w:szCs w:val="20"/>
    </w:rPr>
  </w:style>
  <w:style w:type="paragraph" w:styleId="CommentSubject">
    <w:name w:val="annotation subject"/>
    <w:basedOn w:val="CommentText"/>
    <w:next w:val="CommentText"/>
    <w:link w:val="CommentSubjectChar"/>
    <w:uiPriority w:val="99"/>
    <w:semiHidden/>
    <w:unhideWhenUsed/>
    <w:rsid w:val="00CA2E1D"/>
    <w:rPr>
      <w:b/>
      <w:bCs/>
    </w:rPr>
  </w:style>
  <w:style w:type="character" w:customStyle="1" w:styleId="CommentSubjectChar">
    <w:name w:val="Comment Subject Char"/>
    <w:basedOn w:val="CommentTextChar"/>
    <w:link w:val="CommentSubject"/>
    <w:uiPriority w:val="99"/>
    <w:semiHidden/>
    <w:rsid w:val="00CA2E1D"/>
    <w:rPr>
      <w:b/>
      <w:bCs/>
      <w:sz w:val="20"/>
      <w:szCs w:val="20"/>
    </w:rPr>
  </w:style>
  <w:style w:type="paragraph" w:styleId="Revision">
    <w:name w:val="Revision"/>
    <w:hidden/>
    <w:uiPriority w:val="99"/>
    <w:semiHidden/>
    <w:rsid w:val="00CA2E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05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Big Data Energy Services</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Cade Burks</dc:creator>
  <cp:keywords/>
  <dc:description/>
  <cp:lastModifiedBy>Cade Burks</cp:lastModifiedBy>
  <cp:revision>3</cp:revision>
  <dcterms:created xsi:type="dcterms:W3CDTF">2026-02-26T21:17:00Z</dcterms:created>
  <dcterms:modified xsi:type="dcterms:W3CDTF">2026-02-26T21:23:00Z</dcterms:modified>
</cp:coreProperties>
</file>