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6B9C" w14:textId="2075B5CB" w:rsidR="00952D60" w:rsidRDefault="002B35B7">
      <w:pPr>
        <w:rPr>
          <w:sz w:val="20"/>
          <w:szCs w:val="20"/>
        </w:rPr>
      </w:pPr>
      <w:r>
        <w:rPr>
          <w:sz w:val="20"/>
          <w:szCs w:val="20"/>
        </w:rPr>
        <w:t xml:space="preserve">This summary lists the </w:t>
      </w:r>
      <w:r w:rsidR="009E2AAD">
        <w:rPr>
          <w:sz w:val="20"/>
          <w:szCs w:val="20"/>
        </w:rPr>
        <w:t xml:space="preserve">suggested </w:t>
      </w:r>
      <w:r>
        <w:rPr>
          <w:sz w:val="20"/>
          <w:szCs w:val="20"/>
        </w:rPr>
        <w:t xml:space="preserve">edits and comments </w:t>
      </w:r>
      <w:r w:rsidR="002A1B71">
        <w:rPr>
          <w:sz w:val="20"/>
          <w:szCs w:val="20"/>
        </w:rPr>
        <w:t xml:space="preserve">proposed </w:t>
      </w:r>
      <w:r>
        <w:rPr>
          <w:sz w:val="20"/>
          <w:szCs w:val="20"/>
        </w:rPr>
        <w:t>by Keith Sappenfield (WEQ End-User segment) during the industry review period ending August 8, 2022</w:t>
      </w:r>
      <w:r w:rsidR="002A1B71">
        <w:rPr>
          <w:sz w:val="20"/>
          <w:szCs w:val="20"/>
        </w:rPr>
        <w:t>.</w:t>
      </w:r>
    </w:p>
    <w:p w14:paraId="41100577" w14:textId="50AD082C" w:rsidR="002B35B7" w:rsidRPr="002A1B71" w:rsidRDefault="002A1B71" w:rsidP="002A1B71">
      <w:pPr>
        <w:spacing w:after="120" w:line="240" w:lineRule="auto"/>
        <w:contextualSpacing/>
        <w:rPr>
          <w:sz w:val="20"/>
          <w:szCs w:val="20"/>
          <w:u w:val="single"/>
        </w:rPr>
      </w:pPr>
      <w:r w:rsidRPr="002A1B71">
        <w:rPr>
          <w:sz w:val="20"/>
          <w:szCs w:val="20"/>
          <w:u w:val="single"/>
        </w:rPr>
        <w:t>Attachment A</w:t>
      </w:r>
      <w:r>
        <w:rPr>
          <w:sz w:val="20"/>
          <w:szCs w:val="20"/>
          <w:u w:val="single"/>
        </w:rPr>
        <w:t xml:space="preserve"> (General Information</w:t>
      </w:r>
      <w:r w:rsidR="008909DE">
        <w:rPr>
          <w:sz w:val="20"/>
          <w:szCs w:val="20"/>
          <w:u w:val="single"/>
        </w:rPr>
        <w:t xml:space="preserve"> and FAQs</w:t>
      </w:r>
      <w:r>
        <w:rPr>
          <w:sz w:val="20"/>
          <w:szCs w:val="20"/>
          <w:u w:val="single"/>
        </w:rPr>
        <w:t>)</w:t>
      </w:r>
    </w:p>
    <w:p w14:paraId="406F82B5" w14:textId="6EC89F00" w:rsidR="002A1B71" w:rsidRDefault="002A1B71" w:rsidP="002A1B7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Section 4 – revised text to </w:t>
      </w:r>
      <w:r w:rsidR="006C60C8">
        <w:rPr>
          <w:sz w:val="20"/>
          <w:szCs w:val="20"/>
        </w:rPr>
        <w:t xml:space="preserve">clarify manner to modify contract and correct terminology to be consistent with REC Base Contract’s use of “Special Provisions” to REC Base Contract and “Special Conditions” to REC Transaction Confirmations.  </w:t>
      </w:r>
    </w:p>
    <w:p w14:paraId="049225CD" w14:textId="755C3E22" w:rsidR="002A1B71" w:rsidRDefault="006C60C8" w:rsidP="002A1B7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Section 7 – same comment as Section 4.</w:t>
      </w:r>
    </w:p>
    <w:p w14:paraId="47D38CF2" w14:textId="29DCEBDF" w:rsidR="002A1B71" w:rsidRDefault="006C60C8" w:rsidP="002A1B7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Section 10 – revised text to clarify intent.</w:t>
      </w:r>
    </w:p>
    <w:p w14:paraId="1B519937" w14:textId="2188BE8F" w:rsidR="006C60C8" w:rsidRDefault="006C60C8" w:rsidP="002A1B7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Section 11 – same comment as Section 4.</w:t>
      </w:r>
    </w:p>
    <w:p w14:paraId="161BA3FA" w14:textId="10CCB61E" w:rsidR="006C60C8" w:rsidRDefault="006C60C8" w:rsidP="006C60C8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Section 12 – revise text for minor clarifications.  Revised last sentence for clarification of notice. </w:t>
      </w:r>
    </w:p>
    <w:p w14:paraId="18735971" w14:textId="79FF3642" w:rsidR="006C60C8" w:rsidRDefault="006C60C8" w:rsidP="006C60C8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Section 13 – </w:t>
      </w:r>
      <w:r w:rsidR="00377048">
        <w:rPr>
          <w:sz w:val="20"/>
          <w:szCs w:val="20"/>
        </w:rPr>
        <w:t>revised last sentence to be consistent with last sentence in section 12.</w:t>
      </w:r>
    </w:p>
    <w:p w14:paraId="4ED16A6D" w14:textId="4C92BA0C" w:rsidR="00377048" w:rsidRDefault="00377048" w:rsidP="006C60C8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Section 15 – revised text to insert cross-reference to Section 12.  </w:t>
      </w:r>
    </w:p>
    <w:p w14:paraId="33F83C8C" w14:textId="48F2E204" w:rsidR="0008231B" w:rsidRDefault="0008231B" w:rsidP="006C60C8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All sections – inserted double spaces between sentences to be consistent with NAESB document preparation practices</w:t>
      </w:r>
    </w:p>
    <w:p w14:paraId="7F36A162" w14:textId="08457A5B" w:rsidR="00377048" w:rsidRDefault="00377048" w:rsidP="006C60C8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8231B">
        <w:rPr>
          <w:sz w:val="20"/>
          <w:szCs w:val="20"/>
          <w:u w:val="single"/>
        </w:rPr>
        <w:t>ELECTRONIC VERSIONING OF THE NAESB BASE CONTRACT</w:t>
      </w:r>
      <w:r>
        <w:rPr>
          <w:sz w:val="20"/>
          <w:szCs w:val="20"/>
        </w:rPr>
        <w:t xml:space="preserve"> (new sections)</w:t>
      </w:r>
    </w:p>
    <w:p w14:paraId="6C73A144" w14:textId="478F08E9" w:rsidR="00377048" w:rsidRDefault="00377048" w:rsidP="00377048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Added section numbering to be consistent with “General Information” </w:t>
      </w:r>
      <w:r w:rsidR="009E2AAD">
        <w:rPr>
          <w:sz w:val="20"/>
          <w:szCs w:val="20"/>
        </w:rPr>
        <w:t>section numbering</w:t>
      </w:r>
    </w:p>
    <w:p w14:paraId="544B14D4" w14:textId="5555AD02" w:rsidR="00377048" w:rsidRDefault="00377048" w:rsidP="00377048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Section 1. – revised text for ease of reading and clarify</w:t>
      </w:r>
      <w:r w:rsidR="00726F62">
        <w:rPr>
          <w:sz w:val="20"/>
          <w:szCs w:val="20"/>
        </w:rPr>
        <w:t xml:space="preserve"> provision.  Added acronyms for ease of reading throughout new section.</w:t>
      </w:r>
    </w:p>
    <w:p w14:paraId="6AB02C2A" w14:textId="1F1FE8B9" w:rsidR="00726F62" w:rsidRDefault="00726F62" w:rsidP="00377048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Section 2 – replaces “and” after 4</w:t>
      </w:r>
      <w:r w:rsidRPr="00726F6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bullet with “and/or” to clarify that not all bullet points are applicable to sentence.</w:t>
      </w:r>
    </w:p>
    <w:p w14:paraId="262FB403" w14:textId="40CC453E" w:rsidR="00726F62" w:rsidRDefault="00726F62" w:rsidP="00377048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Section 3 – revised text for REC Transaction Confirmation Dataset acronym. </w:t>
      </w:r>
    </w:p>
    <w:p w14:paraId="21433796" w14:textId="77893762" w:rsidR="00726F62" w:rsidRDefault="00726F62" w:rsidP="00377048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Section 4 – revised text for REC Contract Dataset acronym. </w:t>
      </w:r>
    </w:p>
    <w:p w14:paraId="661E9EF7" w14:textId="0B8B4697" w:rsidR="00726F62" w:rsidRDefault="00726F62" w:rsidP="00377048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Section 5 - revised text for REC Contract Dataset acronym.</w:t>
      </w:r>
    </w:p>
    <w:p w14:paraId="791FC600" w14:textId="259E7F9F" w:rsidR="00726F62" w:rsidRPr="006C60C8" w:rsidRDefault="00726F62" w:rsidP="00377048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 sections – inserted double spaces between sentences to be consistent with NAESB </w:t>
      </w:r>
      <w:r w:rsidR="0008231B">
        <w:rPr>
          <w:sz w:val="20"/>
          <w:szCs w:val="20"/>
        </w:rPr>
        <w:t xml:space="preserve">document preparation </w:t>
      </w:r>
      <w:r>
        <w:rPr>
          <w:sz w:val="20"/>
          <w:szCs w:val="20"/>
        </w:rPr>
        <w:t>practic</w:t>
      </w:r>
      <w:r w:rsidR="0008231B">
        <w:rPr>
          <w:sz w:val="20"/>
          <w:szCs w:val="20"/>
        </w:rPr>
        <w:t>es</w:t>
      </w:r>
      <w:r>
        <w:rPr>
          <w:sz w:val="20"/>
          <w:szCs w:val="20"/>
        </w:rPr>
        <w:t xml:space="preserve">. </w:t>
      </w:r>
    </w:p>
    <w:p w14:paraId="29C8EC0A" w14:textId="658404D1" w:rsidR="002A1B71" w:rsidRPr="002A1B71" w:rsidRDefault="002A1B71" w:rsidP="002A1B71">
      <w:pPr>
        <w:spacing w:after="120" w:line="240" w:lineRule="auto"/>
        <w:contextualSpacing/>
        <w:rPr>
          <w:sz w:val="20"/>
          <w:szCs w:val="20"/>
          <w:u w:val="single"/>
        </w:rPr>
      </w:pPr>
      <w:r w:rsidRPr="002A1B71">
        <w:rPr>
          <w:sz w:val="20"/>
          <w:szCs w:val="20"/>
          <w:u w:val="single"/>
        </w:rPr>
        <w:t>Attachment B</w:t>
      </w:r>
      <w:r w:rsidR="00732372">
        <w:rPr>
          <w:sz w:val="20"/>
          <w:szCs w:val="20"/>
          <w:u w:val="single"/>
        </w:rPr>
        <w:t xml:space="preserve"> (Business Practice Standards)</w:t>
      </w:r>
    </w:p>
    <w:p w14:paraId="241E0312" w14:textId="61C08CB8" w:rsidR="001E238A" w:rsidRDefault="001E238A" w:rsidP="002A1B71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All sections – inserted double spaces between sentences to be consistent with NAESB document preparation practices.</w:t>
      </w:r>
    </w:p>
    <w:p w14:paraId="10BF6941" w14:textId="172C935D" w:rsidR="002A1B71" w:rsidRDefault="00732372" w:rsidP="002A1B71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Replace small “x” with capital “X” in dataset identification numbering to be consistent with other documents (see green highlighted </w:t>
      </w:r>
      <w:r w:rsidR="00737768">
        <w:rPr>
          <w:sz w:val="20"/>
          <w:szCs w:val="20"/>
        </w:rPr>
        <w:t xml:space="preserve">for </w:t>
      </w:r>
      <w:r>
        <w:rPr>
          <w:sz w:val="20"/>
          <w:szCs w:val="20"/>
        </w:rPr>
        <w:t>locations of edits).</w:t>
      </w:r>
    </w:p>
    <w:p w14:paraId="451D948B" w14:textId="7D745721" w:rsidR="002A1B71" w:rsidRPr="002A1B71" w:rsidRDefault="002A1B71" w:rsidP="002A1B71">
      <w:pPr>
        <w:spacing w:after="120" w:line="240" w:lineRule="auto"/>
        <w:contextualSpacing/>
        <w:rPr>
          <w:sz w:val="20"/>
          <w:szCs w:val="20"/>
          <w:u w:val="single"/>
        </w:rPr>
      </w:pPr>
      <w:r w:rsidRPr="002A1B71">
        <w:rPr>
          <w:sz w:val="20"/>
          <w:szCs w:val="20"/>
          <w:u w:val="single"/>
        </w:rPr>
        <w:t>Attachment C</w:t>
      </w:r>
      <w:r w:rsidR="00D567DD">
        <w:rPr>
          <w:sz w:val="20"/>
          <w:szCs w:val="20"/>
          <w:u w:val="single"/>
        </w:rPr>
        <w:t xml:space="preserve"> (REC Contract Dataset)</w:t>
      </w:r>
    </w:p>
    <w:p w14:paraId="225148E5" w14:textId="2E688A6E" w:rsidR="002A1B71" w:rsidRDefault="004332A7" w:rsidP="002A1B71">
      <w:pPr>
        <w:pStyle w:val="ListParagraph"/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All sections – inserted double spaces between sentences to be consistent with NAESB document preparation practices</w:t>
      </w:r>
      <w:r w:rsidR="00EB443C">
        <w:rPr>
          <w:sz w:val="20"/>
          <w:szCs w:val="20"/>
        </w:rPr>
        <w:t>.</w:t>
      </w:r>
    </w:p>
    <w:p w14:paraId="236639DB" w14:textId="06357F6B" w:rsidR="002A1B71" w:rsidRDefault="00BB7C2E" w:rsidP="002A1B71">
      <w:pPr>
        <w:pStyle w:val="ListParagraph"/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Replace small “x” with capital “X” in dataset identification numbering to be consistent with other documents (see black font </w:t>
      </w:r>
      <w:r w:rsidR="00737768">
        <w:rPr>
          <w:sz w:val="20"/>
          <w:szCs w:val="20"/>
        </w:rPr>
        <w:t xml:space="preserve">for </w:t>
      </w:r>
      <w:r>
        <w:rPr>
          <w:sz w:val="20"/>
          <w:szCs w:val="20"/>
        </w:rPr>
        <w:t>locations of edits).</w:t>
      </w:r>
    </w:p>
    <w:p w14:paraId="23EC07E9" w14:textId="35574F6B" w:rsidR="00B7608B" w:rsidRPr="00495F5A" w:rsidRDefault="00B24EF4" w:rsidP="00495F5A">
      <w:pPr>
        <w:pStyle w:val="ListParagraph"/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DATA DICTIONARY</w:t>
      </w:r>
    </w:p>
    <w:p w14:paraId="040609A7" w14:textId="45DB19F2" w:rsidR="00492811" w:rsidRDefault="007F42E6" w:rsidP="00B24EF4">
      <w:pPr>
        <w:pStyle w:val="ListParagraph"/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Page 32 </w:t>
      </w:r>
      <w:r w:rsidR="004241A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241A9">
        <w:rPr>
          <w:sz w:val="20"/>
          <w:szCs w:val="20"/>
        </w:rPr>
        <w:t>Confirmation Transaction Procedure.  Comment</w:t>
      </w:r>
      <w:r w:rsidR="00495F5A">
        <w:rPr>
          <w:sz w:val="20"/>
          <w:szCs w:val="20"/>
        </w:rPr>
        <w:t xml:space="preserve"> under “Condition/</w:t>
      </w:r>
      <w:r w:rsidR="000F72E3">
        <w:rPr>
          <w:sz w:val="20"/>
          <w:szCs w:val="20"/>
        </w:rPr>
        <w:t>R</w:t>
      </w:r>
      <w:r w:rsidR="00495F5A">
        <w:rPr>
          <w:sz w:val="20"/>
          <w:szCs w:val="20"/>
        </w:rPr>
        <w:t>eference column”</w:t>
      </w:r>
      <w:r w:rsidR="004241A9">
        <w:rPr>
          <w:sz w:val="20"/>
          <w:szCs w:val="20"/>
        </w:rPr>
        <w:t xml:space="preserve">. Confirm that the default value is </w:t>
      </w:r>
      <w:r w:rsidR="000F72E3">
        <w:rPr>
          <w:sz w:val="20"/>
          <w:szCs w:val="20"/>
        </w:rPr>
        <w:t>“</w:t>
      </w:r>
      <w:r w:rsidR="004241A9">
        <w:rPr>
          <w:sz w:val="20"/>
          <w:szCs w:val="20"/>
        </w:rPr>
        <w:t xml:space="preserve">ORAL”.  It was my understanding </w:t>
      </w:r>
      <w:r w:rsidR="00492811">
        <w:rPr>
          <w:sz w:val="20"/>
          <w:szCs w:val="20"/>
        </w:rPr>
        <w:t xml:space="preserve">the BPS discussions on best practice was </w:t>
      </w:r>
      <w:r w:rsidR="004241A9">
        <w:rPr>
          <w:sz w:val="20"/>
          <w:szCs w:val="20"/>
        </w:rPr>
        <w:t xml:space="preserve">that to be binding </w:t>
      </w:r>
      <w:r w:rsidR="00FF60A1">
        <w:rPr>
          <w:sz w:val="20"/>
          <w:szCs w:val="20"/>
        </w:rPr>
        <w:t>the default was “WRITTEN”.  The purpose of default values is when traders for Seller/Buyers do not</w:t>
      </w:r>
      <w:r w:rsidR="009E2AAD">
        <w:rPr>
          <w:sz w:val="20"/>
          <w:szCs w:val="20"/>
        </w:rPr>
        <w:t xml:space="preserve"> complete</w:t>
      </w:r>
      <w:r w:rsidR="00E5226E">
        <w:rPr>
          <w:sz w:val="20"/>
          <w:szCs w:val="20"/>
        </w:rPr>
        <w:t xml:space="preserve"> a transaction element, the group consensus</w:t>
      </w:r>
      <w:r w:rsidR="00E24E6C">
        <w:rPr>
          <w:sz w:val="20"/>
          <w:szCs w:val="20"/>
        </w:rPr>
        <w:t xml:space="preserve"> on the best practice</w:t>
      </w:r>
      <w:r w:rsidR="00E5226E">
        <w:rPr>
          <w:sz w:val="20"/>
          <w:szCs w:val="20"/>
        </w:rPr>
        <w:t xml:space="preserve"> is the default.</w:t>
      </w:r>
    </w:p>
    <w:p w14:paraId="7FFE68FA" w14:textId="1F4A8B95" w:rsidR="00B24EF4" w:rsidRDefault="000F72E3" w:rsidP="00B24EF4">
      <w:pPr>
        <w:pStyle w:val="ListParagraph"/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Page 33 – Other Agreement Setoffs   Comment under “Condition/Reference column”. Confirm that the default value is “YES”.  It was my understanding the BPS discussions on best practice was </w:t>
      </w:r>
      <w:r w:rsidR="00E24E6C">
        <w:rPr>
          <w:sz w:val="20"/>
          <w:szCs w:val="20"/>
        </w:rPr>
        <w:t>“NO</w:t>
      </w:r>
      <w:r>
        <w:rPr>
          <w:sz w:val="20"/>
          <w:szCs w:val="20"/>
        </w:rPr>
        <w:t xml:space="preserve">”.  The purpose of default values is when traders for Seller/Buyers do not </w:t>
      </w:r>
      <w:r w:rsidR="009E2AAD">
        <w:rPr>
          <w:sz w:val="20"/>
          <w:szCs w:val="20"/>
        </w:rPr>
        <w:t>complete</w:t>
      </w:r>
      <w:r>
        <w:rPr>
          <w:sz w:val="20"/>
          <w:szCs w:val="20"/>
        </w:rPr>
        <w:t xml:space="preserve"> a transaction element, the group consensus</w:t>
      </w:r>
      <w:r w:rsidR="00E24E6C">
        <w:rPr>
          <w:sz w:val="20"/>
          <w:szCs w:val="20"/>
        </w:rPr>
        <w:t xml:space="preserve"> on a best practice</w:t>
      </w:r>
      <w:r>
        <w:rPr>
          <w:sz w:val="20"/>
          <w:szCs w:val="20"/>
        </w:rPr>
        <w:t xml:space="preserve"> is the default</w:t>
      </w:r>
      <w:r w:rsidR="00E24E6C">
        <w:rPr>
          <w:sz w:val="20"/>
          <w:szCs w:val="20"/>
        </w:rPr>
        <w:t xml:space="preserve"> value. </w:t>
      </w:r>
    </w:p>
    <w:p w14:paraId="560340C0" w14:textId="77777777" w:rsidR="001E238A" w:rsidRDefault="001E238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7522D6E8" w14:textId="32E35366" w:rsidR="002A1B71" w:rsidRPr="002A1B71" w:rsidRDefault="002A1B71" w:rsidP="002A1B71">
      <w:pPr>
        <w:spacing w:after="120" w:line="240" w:lineRule="auto"/>
        <w:contextualSpacing/>
        <w:rPr>
          <w:sz w:val="20"/>
          <w:szCs w:val="20"/>
          <w:u w:val="single"/>
        </w:rPr>
      </w:pPr>
      <w:r w:rsidRPr="002A1B71">
        <w:rPr>
          <w:sz w:val="20"/>
          <w:szCs w:val="20"/>
          <w:u w:val="single"/>
        </w:rPr>
        <w:lastRenderedPageBreak/>
        <w:t>Attachment D</w:t>
      </w:r>
      <w:r w:rsidR="00304EA8">
        <w:rPr>
          <w:sz w:val="20"/>
          <w:szCs w:val="20"/>
          <w:u w:val="single"/>
        </w:rPr>
        <w:t xml:space="preserve"> (REC Transaction Confirmation Dataset)</w:t>
      </w:r>
    </w:p>
    <w:p w14:paraId="15F05C34" w14:textId="09111AB0" w:rsidR="002A1B71" w:rsidRDefault="00EB443C" w:rsidP="002A1B71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All sections – inserted double spaces between sentences to be consistent with NAESB document preparation practices.</w:t>
      </w:r>
    </w:p>
    <w:p w14:paraId="410DF575" w14:textId="51D67FB9" w:rsidR="002A1B71" w:rsidRDefault="00EB443C" w:rsidP="002A1B71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Replace small “x” with capital “X” in dataset identification numbering to be consistent with other documents (see black font for locations of edits</w:t>
      </w:r>
    </w:p>
    <w:p w14:paraId="2A8BE536" w14:textId="77777777" w:rsidR="00C03142" w:rsidRPr="00495F5A" w:rsidRDefault="00C03142" w:rsidP="00C03142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DATA DICTIONARY</w:t>
      </w:r>
    </w:p>
    <w:p w14:paraId="4F8E56AE" w14:textId="4456484C" w:rsidR="002A1B71" w:rsidRPr="007D67D3" w:rsidRDefault="00C03142" w:rsidP="00C03142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 w:rsidRPr="007D67D3">
        <w:rPr>
          <w:sz w:val="20"/>
          <w:szCs w:val="20"/>
        </w:rPr>
        <w:t xml:space="preserve">Page 21 – </w:t>
      </w:r>
      <w:r w:rsidR="00C95A2C" w:rsidRPr="007D67D3">
        <w:rPr>
          <w:sz w:val="20"/>
          <w:szCs w:val="20"/>
        </w:rPr>
        <w:t>Contract Price – Transaction Currency</w:t>
      </w:r>
      <w:r w:rsidRPr="007D67D3">
        <w:rPr>
          <w:sz w:val="20"/>
          <w:szCs w:val="20"/>
        </w:rPr>
        <w:t xml:space="preserve">.  Comment under “Condition/Reference column”. </w:t>
      </w:r>
      <w:r w:rsidR="00C95A2C" w:rsidRPr="007D67D3">
        <w:rPr>
          <w:sz w:val="20"/>
          <w:szCs w:val="20"/>
        </w:rPr>
        <w:t xml:space="preserve"> </w:t>
      </w:r>
      <w:r w:rsidR="004E5A6D" w:rsidRPr="007D67D3">
        <w:rPr>
          <w:sz w:val="20"/>
          <w:szCs w:val="20"/>
        </w:rPr>
        <w:t>Replace</w:t>
      </w:r>
      <w:r w:rsidR="00AD1884" w:rsidRPr="007D67D3">
        <w:rPr>
          <w:sz w:val="20"/>
          <w:szCs w:val="20"/>
        </w:rPr>
        <w:t xml:space="preserve"> default reference of “</w:t>
      </w:r>
      <w:r w:rsidR="004E5A6D" w:rsidRPr="007D67D3">
        <w:rPr>
          <w:sz w:val="20"/>
          <w:szCs w:val="20"/>
        </w:rPr>
        <w:t>US</w:t>
      </w:r>
      <w:r w:rsidR="00AD1884" w:rsidRPr="007D67D3">
        <w:rPr>
          <w:sz w:val="20"/>
          <w:szCs w:val="20"/>
        </w:rPr>
        <w:t xml:space="preserve"> Dollars per MW” with</w:t>
      </w:r>
      <w:r w:rsidR="006C4D19" w:rsidRPr="007D67D3">
        <w:rPr>
          <w:sz w:val="20"/>
          <w:szCs w:val="20"/>
        </w:rPr>
        <w:t xml:space="preserve"> </w:t>
      </w:r>
      <w:r w:rsidR="004E5A6D" w:rsidRPr="007D67D3">
        <w:rPr>
          <w:sz w:val="20"/>
          <w:szCs w:val="20"/>
        </w:rPr>
        <w:t xml:space="preserve">“US Dollars </w:t>
      </w:r>
      <w:r w:rsidR="009E2AAD">
        <w:rPr>
          <w:sz w:val="20"/>
          <w:szCs w:val="20"/>
        </w:rPr>
        <w:t>per</w:t>
      </w:r>
      <w:r w:rsidR="004E5A6D" w:rsidRPr="007D67D3">
        <w:rPr>
          <w:sz w:val="20"/>
          <w:szCs w:val="20"/>
        </w:rPr>
        <w:t xml:space="preserve"> </w:t>
      </w:r>
      <w:r w:rsidR="0013635E" w:rsidRPr="007D67D3">
        <w:rPr>
          <w:sz w:val="20"/>
          <w:szCs w:val="20"/>
        </w:rPr>
        <w:t>Unit of Measure</w:t>
      </w:r>
      <w:r w:rsidR="004E5A6D" w:rsidRPr="007D67D3">
        <w:rPr>
          <w:sz w:val="20"/>
          <w:szCs w:val="20"/>
        </w:rPr>
        <w:t>”</w:t>
      </w:r>
      <w:r w:rsidR="006C4D19" w:rsidRPr="007D67D3">
        <w:rPr>
          <w:sz w:val="20"/>
          <w:szCs w:val="20"/>
        </w:rPr>
        <w:t xml:space="preserve"> since unit of measure can be either</w:t>
      </w:r>
      <w:r w:rsidR="0095517F" w:rsidRPr="007D67D3">
        <w:rPr>
          <w:sz w:val="20"/>
          <w:szCs w:val="20"/>
        </w:rPr>
        <w:t xml:space="preserve"> “REC”</w:t>
      </w:r>
      <w:r w:rsidR="007D67D3" w:rsidRPr="007D67D3">
        <w:rPr>
          <w:sz w:val="20"/>
          <w:szCs w:val="20"/>
        </w:rPr>
        <w:t xml:space="preserve">, </w:t>
      </w:r>
      <w:r w:rsidR="007D67D3">
        <w:rPr>
          <w:sz w:val="20"/>
          <w:szCs w:val="20"/>
        </w:rPr>
        <w:t>“</w:t>
      </w:r>
      <w:proofErr w:type="spellStart"/>
      <w:r w:rsidR="006C4D19" w:rsidRPr="007D67D3">
        <w:rPr>
          <w:sz w:val="20"/>
          <w:szCs w:val="20"/>
        </w:rPr>
        <w:t>MwH</w:t>
      </w:r>
      <w:proofErr w:type="spellEnd"/>
      <w:r w:rsidR="007D67D3">
        <w:rPr>
          <w:sz w:val="20"/>
          <w:szCs w:val="20"/>
        </w:rPr>
        <w:t>”, “</w:t>
      </w:r>
      <w:proofErr w:type="spellStart"/>
      <w:r w:rsidR="006C4D19" w:rsidRPr="007D67D3">
        <w:rPr>
          <w:sz w:val="20"/>
          <w:szCs w:val="20"/>
        </w:rPr>
        <w:t>KwH</w:t>
      </w:r>
      <w:proofErr w:type="spellEnd"/>
      <w:r w:rsidR="007D67D3">
        <w:rPr>
          <w:sz w:val="20"/>
          <w:szCs w:val="20"/>
        </w:rPr>
        <w:t>”, or “Other”</w:t>
      </w:r>
      <w:r w:rsidR="006C4D19" w:rsidRPr="007D67D3">
        <w:rPr>
          <w:sz w:val="20"/>
          <w:szCs w:val="20"/>
        </w:rPr>
        <w:t xml:space="preserve">.  </w:t>
      </w:r>
    </w:p>
    <w:p w14:paraId="5582C2FE" w14:textId="3CA772DD" w:rsidR="00BA65E7" w:rsidRPr="00495F5A" w:rsidRDefault="00BA65E7" w:rsidP="00BA65E7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CODE VALVES DICTIONARY</w:t>
      </w:r>
    </w:p>
    <w:p w14:paraId="147F714E" w14:textId="072876A1" w:rsidR="00BA65E7" w:rsidRDefault="00BA65E7" w:rsidP="00BA65E7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Page 32 – </w:t>
      </w:r>
      <w:r w:rsidR="00D34DFC">
        <w:rPr>
          <w:sz w:val="20"/>
          <w:szCs w:val="20"/>
        </w:rPr>
        <w:t xml:space="preserve">Contract Price – Transaction Currency.  Comment under </w:t>
      </w:r>
      <w:r w:rsidR="00F54736">
        <w:rPr>
          <w:sz w:val="20"/>
          <w:szCs w:val="20"/>
        </w:rPr>
        <w:t>“</w:t>
      </w:r>
      <w:r w:rsidR="00B545E8">
        <w:rPr>
          <w:sz w:val="20"/>
          <w:szCs w:val="20"/>
        </w:rPr>
        <w:t>Code Value Description (Abbreviation)</w:t>
      </w:r>
      <w:r w:rsidR="00F54736">
        <w:rPr>
          <w:sz w:val="20"/>
          <w:szCs w:val="20"/>
        </w:rPr>
        <w:t xml:space="preserve">” </w:t>
      </w:r>
      <w:r>
        <w:rPr>
          <w:sz w:val="20"/>
          <w:szCs w:val="20"/>
        </w:rPr>
        <w:t xml:space="preserve">column.  </w:t>
      </w:r>
      <w:r w:rsidR="00BD2B7E">
        <w:rPr>
          <w:sz w:val="20"/>
          <w:szCs w:val="20"/>
        </w:rPr>
        <w:t xml:space="preserve">Unit of Measure on page </w:t>
      </w:r>
      <w:r w:rsidR="001B2315">
        <w:rPr>
          <w:sz w:val="20"/>
          <w:szCs w:val="20"/>
        </w:rPr>
        <w:t>34 indicates either “REC</w:t>
      </w:r>
      <w:r w:rsidR="00325D16">
        <w:rPr>
          <w:sz w:val="20"/>
          <w:szCs w:val="20"/>
        </w:rPr>
        <w:t xml:space="preserve">”, </w:t>
      </w:r>
      <w:r w:rsidR="001B2315">
        <w:rPr>
          <w:sz w:val="20"/>
          <w:szCs w:val="20"/>
        </w:rPr>
        <w:t>“</w:t>
      </w:r>
      <w:proofErr w:type="spellStart"/>
      <w:r w:rsidR="001B2315">
        <w:rPr>
          <w:sz w:val="20"/>
          <w:szCs w:val="20"/>
        </w:rPr>
        <w:t>MwH</w:t>
      </w:r>
      <w:proofErr w:type="spellEnd"/>
      <w:r w:rsidR="001B2315">
        <w:rPr>
          <w:sz w:val="20"/>
          <w:szCs w:val="20"/>
        </w:rPr>
        <w:t>”</w:t>
      </w:r>
      <w:r w:rsidR="00EE79B3">
        <w:rPr>
          <w:sz w:val="20"/>
          <w:szCs w:val="20"/>
        </w:rPr>
        <w:t xml:space="preserve">, </w:t>
      </w:r>
      <w:r w:rsidR="001B2315">
        <w:rPr>
          <w:sz w:val="20"/>
          <w:szCs w:val="20"/>
        </w:rPr>
        <w:t>“</w:t>
      </w:r>
      <w:proofErr w:type="spellStart"/>
      <w:r w:rsidR="001B2315">
        <w:rPr>
          <w:sz w:val="20"/>
          <w:szCs w:val="20"/>
        </w:rPr>
        <w:t>KwH</w:t>
      </w:r>
      <w:proofErr w:type="spellEnd"/>
      <w:r w:rsidR="001B2315">
        <w:rPr>
          <w:sz w:val="20"/>
          <w:szCs w:val="20"/>
        </w:rPr>
        <w:t>”</w:t>
      </w:r>
      <w:r w:rsidR="00EE79B3">
        <w:rPr>
          <w:sz w:val="20"/>
          <w:szCs w:val="20"/>
        </w:rPr>
        <w:t>, or “Other”,</w:t>
      </w:r>
      <w:r w:rsidR="001B2315">
        <w:rPr>
          <w:sz w:val="20"/>
          <w:szCs w:val="20"/>
        </w:rPr>
        <w:t xml:space="preserve"> as the </w:t>
      </w:r>
      <w:r w:rsidR="00325D16">
        <w:rPr>
          <w:sz w:val="20"/>
          <w:szCs w:val="20"/>
        </w:rPr>
        <w:t>Unit of Measure for a REC.  Suggest r</w:t>
      </w:r>
      <w:r>
        <w:rPr>
          <w:sz w:val="20"/>
          <w:szCs w:val="20"/>
        </w:rPr>
        <w:t>eplac</w:t>
      </w:r>
      <w:r w:rsidR="00EE79B3">
        <w:rPr>
          <w:sz w:val="20"/>
          <w:szCs w:val="20"/>
        </w:rPr>
        <w:t xml:space="preserve">ing </w:t>
      </w:r>
      <w:r>
        <w:rPr>
          <w:sz w:val="20"/>
          <w:szCs w:val="20"/>
        </w:rPr>
        <w:t>“US Dollars per MW</w:t>
      </w:r>
      <w:r w:rsidR="004F68E5">
        <w:rPr>
          <w:sz w:val="20"/>
          <w:szCs w:val="20"/>
        </w:rPr>
        <w:t xml:space="preserve"> (USD MW)</w:t>
      </w:r>
      <w:r>
        <w:rPr>
          <w:sz w:val="20"/>
          <w:szCs w:val="20"/>
        </w:rPr>
        <w:t>” with “US Dollars</w:t>
      </w:r>
      <w:r w:rsidR="00AF32A6">
        <w:rPr>
          <w:sz w:val="20"/>
          <w:szCs w:val="20"/>
        </w:rPr>
        <w:t xml:space="preserve"> Per</w:t>
      </w:r>
      <w:r>
        <w:rPr>
          <w:sz w:val="20"/>
          <w:szCs w:val="20"/>
        </w:rPr>
        <w:t xml:space="preserve"> Unit of Measure</w:t>
      </w:r>
      <w:r w:rsidR="004F68E5">
        <w:rPr>
          <w:sz w:val="20"/>
          <w:szCs w:val="20"/>
        </w:rPr>
        <w:t xml:space="preserve"> </w:t>
      </w:r>
      <w:r w:rsidR="00AF32A6">
        <w:rPr>
          <w:sz w:val="20"/>
          <w:szCs w:val="20"/>
        </w:rPr>
        <w:t>(USD U</w:t>
      </w:r>
      <w:r w:rsidR="00733308">
        <w:rPr>
          <w:sz w:val="20"/>
          <w:szCs w:val="20"/>
        </w:rPr>
        <w:t>O</w:t>
      </w:r>
      <w:r w:rsidR="00AF32A6">
        <w:rPr>
          <w:sz w:val="20"/>
          <w:szCs w:val="20"/>
        </w:rPr>
        <w:t>M)”</w:t>
      </w:r>
      <w:r>
        <w:rPr>
          <w:sz w:val="20"/>
          <w:szCs w:val="20"/>
        </w:rPr>
        <w:t xml:space="preserve"> </w:t>
      </w:r>
      <w:r w:rsidR="00AF32A6">
        <w:rPr>
          <w:sz w:val="20"/>
          <w:szCs w:val="20"/>
        </w:rPr>
        <w:t xml:space="preserve">for consistency. </w:t>
      </w:r>
    </w:p>
    <w:p w14:paraId="687B9F8B" w14:textId="47CF2124" w:rsidR="00D71CC4" w:rsidRPr="009D4E98" w:rsidRDefault="00A93752" w:rsidP="00C3211F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 w:rsidRPr="009D4E98">
        <w:rPr>
          <w:sz w:val="20"/>
          <w:szCs w:val="20"/>
        </w:rPr>
        <w:t>Page 35 – Unit of Measure.  Comment is to suggest adding “Other” as a Unit of Measure</w:t>
      </w:r>
      <w:r w:rsidR="00C3211F" w:rsidRPr="009D4E98">
        <w:rPr>
          <w:sz w:val="20"/>
          <w:szCs w:val="20"/>
        </w:rPr>
        <w:t xml:space="preserve">.  This is a suggestion and </w:t>
      </w:r>
      <w:r w:rsidR="00BA3A7E" w:rsidRPr="009D4E98">
        <w:rPr>
          <w:sz w:val="20"/>
          <w:szCs w:val="20"/>
        </w:rPr>
        <w:t xml:space="preserve">is intended to accommodate </w:t>
      </w:r>
      <w:r w:rsidR="00C3211F" w:rsidRPr="009D4E98">
        <w:rPr>
          <w:sz w:val="20"/>
          <w:szCs w:val="20"/>
        </w:rPr>
        <w:t xml:space="preserve">future development for measurement of REC. </w:t>
      </w:r>
      <w:r w:rsidR="00BA3A7E" w:rsidRPr="009D4E98">
        <w:rPr>
          <w:sz w:val="20"/>
          <w:szCs w:val="20"/>
        </w:rPr>
        <w:t xml:space="preserve">  This suggestion may be rejected if the group believes the current Unit of Measure</w:t>
      </w:r>
      <w:r w:rsidR="009E2AAD">
        <w:rPr>
          <w:sz w:val="20"/>
          <w:szCs w:val="20"/>
        </w:rPr>
        <w:t>s are</w:t>
      </w:r>
      <w:r w:rsidR="00BA3A7E" w:rsidRPr="009D4E98">
        <w:rPr>
          <w:sz w:val="20"/>
          <w:szCs w:val="20"/>
        </w:rPr>
        <w:t xml:space="preserve"> suffi</w:t>
      </w:r>
      <w:r w:rsidR="009D4E98" w:rsidRPr="009D4E98">
        <w:rPr>
          <w:sz w:val="20"/>
          <w:szCs w:val="20"/>
        </w:rPr>
        <w:t xml:space="preserve">cient and likely to cover any future developments. </w:t>
      </w:r>
    </w:p>
    <w:p w14:paraId="2431F637" w14:textId="55C0B283" w:rsidR="002A1B71" w:rsidRPr="002A1B71" w:rsidRDefault="002A1B71" w:rsidP="002A1B71">
      <w:pPr>
        <w:spacing w:after="120" w:line="240" w:lineRule="auto"/>
        <w:contextualSpacing/>
        <w:rPr>
          <w:sz w:val="20"/>
          <w:szCs w:val="20"/>
          <w:u w:val="single"/>
        </w:rPr>
      </w:pPr>
      <w:r w:rsidRPr="002A1B71">
        <w:rPr>
          <w:sz w:val="20"/>
          <w:szCs w:val="20"/>
          <w:u w:val="single"/>
        </w:rPr>
        <w:t>Attachment E</w:t>
      </w:r>
      <w:r w:rsidR="00D07902">
        <w:rPr>
          <w:sz w:val="20"/>
          <w:szCs w:val="20"/>
          <w:u w:val="single"/>
        </w:rPr>
        <w:t xml:space="preserve"> </w:t>
      </w:r>
      <w:r w:rsidR="007F4508">
        <w:rPr>
          <w:sz w:val="20"/>
          <w:szCs w:val="20"/>
          <w:u w:val="single"/>
        </w:rPr>
        <w:t>(</w:t>
      </w:r>
      <w:r w:rsidR="00D07902">
        <w:rPr>
          <w:sz w:val="20"/>
          <w:szCs w:val="20"/>
          <w:u w:val="single"/>
        </w:rPr>
        <w:t>REC Invoice Dataset)</w:t>
      </w:r>
    </w:p>
    <w:p w14:paraId="30904136" w14:textId="42FBED92" w:rsidR="002A1B71" w:rsidRDefault="00734848" w:rsidP="002A1B71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All sections – inserted double spaces between sentences to be consistent with NAESB document preparation practices</w:t>
      </w:r>
      <w:r w:rsidR="000C7D68">
        <w:rPr>
          <w:sz w:val="20"/>
          <w:szCs w:val="20"/>
        </w:rPr>
        <w:t>.</w:t>
      </w:r>
    </w:p>
    <w:p w14:paraId="29227B5A" w14:textId="55D5E077" w:rsidR="002A1B71" w:rsidRDefault="00734848" w:rsidP="002A1B71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Replace small “x” with capital “X” in dataset identification numbering to be consistent with other documents (see black font for locations of edits</w:t>
      </w:r>
      <w:r w:rsidR="000C7D68">
        <w:rPr>
          <w:sz w:val="20"/>
          <w:szCs w:val="20"/>
        </w:rPr>
        <w:t>.</w:t>
      </w:r>
    </w:p>
    <w:p w14:paraId="2AE2F128" w14:textId="66171F98" w:rsidR="002A1B71" w:rsidRDefault="000838CC" w:rsidP="002A1B71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REC Sample Paper Invoice</w:t>
      </w:r>
    </w:p>
    <w:p w14:paraId="7BD60328" w14:textId="4B936DAB" w:rsidR="00AB7226" w:rsidRDefault="00AB7226" w:rsidP="00AB7226">
      <w:pPr>
        <w:pStyle w:val="ListParagraph"/>
        <w:numPr>
          <w:ilvl w:val="1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Revise table font to </w:t>
      </w:r>
      <w:r w:rsidR="00173649">
        <w:rPr>
          <w:sz w:val="20"/>
          <w:szCs w:val="20"/>
        </w:rPr>
        <w:t>Calibri</w:t>
      </w:r>
      <w:r>
        <w:rPr>
          <w:sz w:val="20"/>
          <w:szCs w:val="20"/>
        </w:rPr>
        <w:t xml:space="preserve"> for ease of reading/printing.  </w:t>
      </w:r>
      <w:r w:rsidR="001400C6">
        <w:rPr>
          <w:sz w:val="20"/>
          <w:szCs w:val="20"/>
        </w:rPr>
        <w:t xml:space="preserve">Prior </w:t>
      </w:r>
      <w:r w:rsidR="00D370C9">
        <w:rPr>
          <w:sz w:val="20"/>
          <w:szCs w:val="20"/>
        </w:rPr>
        <w:t xml:space="preserve">table </w:t>
      </w:r>
      <w:r w:rsidR="001400C6">
        <w:rPr>
          <w:sz w:val="20"/>
          <w:szCs w:val="20"/>
        </w:rPr>
        <w:t xml:space="preserve">font was mix of Ariel and Times Roman.  </w:t>
      </w:r>
    </w:p>
    <w:p w14:paraId="7CA31276" w14:textId="1539404A" w:rsidR="001400C6" w:rsidRDefault="00805921" w:rsidP="00AB7226">
      <w:pPr>
        <w:pStyle w:val="ListParagraph"/>
        <w:numPr>
          <w:ilvl w:val="1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Revised Unit of Measure to “</w:t>
      </w:r>
      <w:proofErr w:type="spellStart"/>
      <w:r>
        <w:rPr>
          <w:sz w:val="20"/>
          <w:szCs w:val="20"/>
        </w:rPr>
        <w:t>MwH</w:t>
      </w:r>
      <w:proofErr w:type="spellEnd"/>
      <w:r>
        <w:rPr>
          <w:sz w:val="20"/>
          <w:szCs w:val="20"/>
        </w:rPr>
        <w:t>” to be consiste</w:t>
      </w:r>
      <w:r w:rsidR="007F3292">
        <w:rPr>
          <w:sz w:val="20"/>
          <w:szCs w:val="20"/>
        </w:rPr>
        <w:t>nt with Code Value</w:t>
      </w:r>
      <w:r w:rsidR="00411CC4">
        <w:rPr>
          <w:sz w:val="20"/>
          <w:szCs w:val="20"/>
        </w:rPr>
        <w:t>s Dictionary</w:t>
      </w:r>
      <w:r w:rsidR="007F3292">
        <w:rPr>
          <w:sz w:val="20"/>
          <w:szCs w:val="20"/>
        </w:rPr>
        <w:t xml:space="preserve">. </w:t>
      </w:r>
    </w:p>
    <w:p w14:paraId="49D45EBE" w14:textId="460A7700" w:rsidR="003104D6" w:rsidRPr="006D6546" w:rsidRDefault="003104D6" w:rsidP="006D6546">
      <w:pPr>
        <w:pStyle w:val="ListParagraph"/>
        <w:numPr>
          <w:ilvl w:val="1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No other suggested revisions</w:t>
      </w:r>
    </w:p>
    <w:p w14:paraId="13BB0780" w14:textId="3F12AC1F" w:rsidR="002A1B71" w:rsidRPr="002A1B71" w:rsidRDefault="002A1B71" w:rsidP="002A1B71">
      <w:pPr>
        <w:spacing w:after="120" w:line="240" w:lineRule="auto"/>
        <w:contextualSpacing/>
        <w:rPr>
          <w:sz w:val="20"/>
          <w:szCs w:val="20"/>
          <w:u w:val="single"/>
        </w:rPr>
      </w:pPr>
      <w:r w:rsidRPr="002A1B71">
        <w:rPr>
          <w:sz w:val="20"/>
          <w:szCs w:val="20"/>
          <w:u w:val="single"/>
        </w:rPr>
        <w:t>Attachment F</w:t>
      </w:r>
      <w:r w:rsidR="007F4508">
        <w:rPr>
          <w:sz w:val="20"/>
          <w:szCs w:val="20"/>
          <w:u w:val="single"/>
        </w:rPr>
        <w:t xml:space="preserve"> (REC Invoice Response Dataset)</w:t>
      </w:r>
    </w:p>
    <w:p w14:paraId="22A009E6" w14:textId="5FE8F0EC" w:rsidR="002A1B71" w:rsidRDefault="00B849E8" w:rsidP="002A1B71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All sections – inserted double spaces between sentences to be consistent with NAESB document preparation practices</w:t>
      </w:r>
      <w:r w:rsidR="002A1B71">
        <w:rPr>
          <w:sz w:val="20"/>
          <w:szCs w:val="20"/>
        </w:rPr>
        <w:t>.</w:t>
      </w:r>
    </w:p>
    <w:p w14:paraId="0B62979D" w14:textId="4717627C" w:rsidR="002A1B71" w:rsidRPr="002A1B71" w:rsidRDefault="00727920" w:rsidP="002A1B71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 other comments/edits. </w:t>
      </w:r>
    </w:p>
    <w:p w14:paraId="62773165" w14:textId="77777777" w:rsidR="002A1B71" w:rsidRPr="002B35B7" w:rsidRDefault="002A1B71" w:rsidP="002A1B71">
      <w:pPr>
        <w:spacing w:after="120" w:line="240" w:lineRule="auto"/>
        <w:contextualSpacing/>
        <w:rPr>
          <w:sz w:val="20"/>
          <w:szCs w:val="20"/>
        </w:rPr>
      </w:pPr>
    </w:p>
    <w:sectPr w:rsidR="002A1B71" w:rsidRPr="002B35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9298" w14:textId="77777777" w:rsidR="0070490A" w:rsidRDefault="0070490A" w:rsidP="002B35B7">
      <w:pPr>
        <w:spacing w:after="0" w:line="240" w:lineRule="auto"/>
      </w:pPr>
      <w:r>
        <w:separator/>
      </w:r>
    </w:p>
  </w:endnote>
  <w:endnote w:type="continuationSeparator" w:id="0">
    <w:p w14:paraId="75E60CF1" w14:textId="77777777" w:rsidR="0070490A" w:rsidRDefault="0070490A" w:rsidP="002B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E31F" w14:textId="25FEAD06" w:rsidR="002B35B7" w:rsidRDefault="002B35B7">
    <w:pPr>
      <w:pStyle w:val="Footer"/>
    </w:pPr>
    <w:r>
      <w:t xml:space="preserve">July 25, </w:t>
    </w:r>
    <w:proofErr w:type="gramStart"/>
    <w:r>
      <w:t>2022</w:t>
    </w:r>
    <w:proofErr w:type="gramEnd"/>
    <w:r w:rsidR="00732372">
      <w:tab/>
      <w:t xml:space="preserve">Page </w:t>
    </w:r>
    <w:r w:rsidR="00732372">
      <w:rPr>
        <w:b/>
        <w:bCs/>
      </w:rPr>
      <w:fldChar w:fldCharType="begin"/>
    </w:r>
    <w:r w:rsidR="00732372">
      <w:rPr>
        <w:b/>
        <w:bCs/>
      </w:rPr>
      <w:instrText xml:space="preserve"> PAGE  \* Arabic  \* MERGEFORMAT </w:instrText>
    </w:r>
    <w:r w:rsidR="00732372">
      <w:rPr>
        <w:b/>
        <w:bCs/>
      </w:rPr>
      <w:fldChar w:fldCharType="separate"/>
    </w:r>
    <w:r w:rsidR="00732372">
      <w:rPr>
        <w:b/>
        <w:bCs/>
        <w:noProof/>
      </w:rPr>
      <w:t>1</w:t>
    </w:r>
    <w:r w:rsidR="00732372">
      <w:rPr>
        <w:b/>
        <w:bCs/>
      </w:rPr>
      <w:fldChar w:fldCharType="end"/>
    </w:r>
    <w:r w:rsidR="00732372">
      <w:t xml:space="preserve"> of </w:t>
    </w:r>
    <w:r w:rsidR="00732372">
      <w:rPr>
        <w:b/>
        <w:bCs/>
      </w:rPr>
      <w:fldChar w:fldCharType="begin"/>
    </w:r>
    <w:r w:rsidR="00732372">
      <w:rPr>
        <w:b/>
        <w:bCs/>
      </w:rPr>
      <w:instrText xml:space="preserve"> NUMPAGES  \* Arabic  \* MERGEFORMAT </w:instrText>
    </w:r>
    <w:r w:rsidR="00732372">
      <w:rPr>
        <w:b/>
        <w:bCs/>
      </w:rPr>
      <w:fldChar w:fldCharType="separate"/>
    </w:r>
    <w:r w:rsidR="00732372">
      <w:rPr>
        <w:b/>
        <w:bCs/>
        <w:noProof/>
      </w:rPr>
      <w:t>2</w:t>
    </w:r>
    <w:r w:rsidR="0073237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265F" w14:textId="77777777" w:rsidR="0070490A" w:rsidRDefault="0070490A" w:rsidP="002B35B7">
      <w:pPr>
        <w:spacing w:after="0" w:line="240" w:lineRule="auto"/>
      </w:pPr>
      <w:r>
        <w:separator/>
      </w:r>
    </w:p>
  </w:footnote>
  <w:footnote w:type="continuationSeparator" w:id="0">
    <w:p w14:paraId="7EBED8DA" w14:textId="77777777" w:rsidR="0070490A" w:rsidRDefault="0070490A" w:rsidP="002B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E6FA" w14:textId="77777777" w:rsidR="002B35B7" w:rsidRDefault="002B35B7" w:rsidP="002B35B7">
    <w:pPr>
      <w:pStyle w:val="Header"/>
      <w:jc w:val="center"/>
      <w:rPr>
        <w:b/>
        <w:bCs/>
      </w:rPr>
    </w:pPr>
    <w:r>
      <w:rPr>
        <w:b/>
        <w:bCs/>
      </w:rPr>
      <w:t xml:space="preserve">NAESB </w:t>
    </w:r>
    <w:r w:rsidRPr="002B35B7">
      <w:rPr>
        <w:b/>
        <w:bCs/>
      </w:rPr>
      <w:t>WEQ-RMQ</w:t>
    </w:r>
    <w:r>
      <w:rPr>
        <w:b/>
        <w:bCs/>
      </w:rPr>
      <w:t xml:space="preserve"> BPS</w:t>
    </w:r>
  </w:p>
  <w:p w14:paraId="3710B080" w14:textId="43F4C119" w:rsidR="002B35B7" w:rsidRPr="002B35B7" w:rsidRDefault="002B35B7" w:rsidP="002B35B7">
    <w:pPr>
      <w:pStyle w:val="Header"/>
      <w:jc w:val="center"/>
      <w:rPr>
        <w:b/>
        <w:bCs/>
      </w:rPr>
    </w:pPr>
    <w:r w:rsidRPr="002B35B7">
      <w:rPr>
        <w:b/>
        <w:bCs/>
      </w:rPr>
      <w:t>2022 WEQ Annual Plan Item 5.b.i and 2022 RMQ Annual Plan Item 2.a</w:t>
    </w:r>
  </w:p>
  <w:p w14:paraId="6DC5CEAD" w14:textId="55888C8C" w:rsidR="002B35B7" w:rsidRPr="002A1B71" w:rsidRDefault="002B35B7" w:rsidP="002B35B7">
    <w:pPr>
      <w:pStyle w:val="Header"/>
      <w:jc w:val="center"/>
      <w:rPr>
        <w:b/>
        <w:bCs/>
        <w:u w:val="single"/>
      </w:rPr>
    </w:pPr>
    <w:r w:rsidRPr="002A1B71">
      <w:rPr>
        <w:b/>
        <w:bCs/>
        <w:u w:val="single"/>
      </w:rPr>
      <w:t>Summary of Edits and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6D2A"/>
    <w:multiLevelType w:val="hybridMultilevel"/>
    <w:tmpl w:val="5F5CC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7C1B"/>
    <w:multiLevelType w:val="hybridMultilevel"/>
    <w:tmpl w:val="5F5CC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51773"/>
    <w:multiLevelType w:val="hybridMultilevel"/>
    <w:tmpl w:val="5720FC96"/>
    <w:lvl w:ilvl="0" w:tplc="B9B04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9365A"/>
    <w:multiLevelType w:val="hybridMultilevel"/>
    <w:tmpl w:val="5F5CCE06"/>
    <w:lvl w:ilvl="0" w:tplc="9D58C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B5864"/>
    <w:multiLevelType w:val="hybridMultilevel"/>
    <w:tmpl w:val="5F5CC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94DDD"/>
    <w:multiLevelType w:val="hybridMultilevel"/>
    <w:tmpl w:val="5F5CC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B7"/>
    <w:rsid w:val="0008231B"/>
    <w:rsid w:val="000838CC"/>
    <w:rsid w:val="000C7D68"/>
    <w:rsid w:val="000F72E3"/>
    <w:rsid w:val="0013635E"/>
    <w:rsid w:val="001400C6"/>
    <w:rsid w:val="00173649"/>
    <w:rsid w:val="001B2315"/>
    <w:rsid w:val="001E238A"/>
    <w:rsid w:val="002274E1"/>
    <w:rsid w:val="002A1B71"/>
    <w:rsid w:val="002B35B7"/>
    <w:rsid w:val="00304EA8"/>
    <w:rsid w:val="003104D6"/>
    <w:rsid w:val="00325D16"/>
    <w:rsid w:val="00377048"/>
    <w:rsid w:val="00411CC4"/>
    <w:rsid w:val="004241A9"/>
    <w:rsid w:val="004332A7"/>
    <w:rsid w:val="00492811"/>
    <w:rsid w:val="00495F5A"/>
    <w:rsid w:val="004E5A6D"/>
    <w:rsid w:val="004F68E5"/>
    <w:rsid w:val="006034C8"/>
    <w:rsid w:val="006C4D19"/>
    <w:rsid w:val="006C60C8"/>
    <w:rsid w:val="006D6546"/>
    <w:rsid w:val="006F60F3"/>
    <w:rsid w:val="0070490A"/>
    <w:rsid w:val="00726F62"/>
    <w:rsid w:val="00727920"/>
    <w:rsid w:val="00732372"/>
    <w:rsid w:val="00733308"/>
    <w:rsid w:val="00734848"/>
    <w:rsid w:val="00737768"/>
    <w:rsid w:val="007D67D3"/>
    <w:rsid w:val="007F3292"/>
    <w:rsid w:val="007F42E6"/>
    <w:rsid w:val="007F4508"/>
    <w:rsid w:val="00805921"/>
    <w:rsid w:val="008909DE"/>
    <w:rsid w:val="009406C6"/>
    <w:rsid w:val="00952D60"/>
    <w:rsid w:val="0095517F"/>
    <w:rsid w:val="009B0506"/>
    <w:rsid w:val="009D4E98"/>
    <w:rsid w:val="009E2AAD"/>
    <w:rsid w:val="00A816A9"/>
    <w:rsid w:val="00A93752"/>
    <w:rsid w:val="00AA5B93"/>
    <w:rsid w:val="00AB7226"/>
    <w:rsid w:val="00AD1884"/>
    <w:rsid w:val="00AF32A6"/>
    <w:rsid w:val="00B24EF4"/>
    <w:rsid w:val="00B545E8"/>
    <w:rsid w:val="00B7608B"/>
    <w:rsid w:val="00B849E8"/>
    <w:rsid w:val="00BA3A7E"/>
    <w:rsid w:val="00BA65E7"/>
    <w:rsid w:val="00BB7C2E"/>
    <w:rsid w:val="00BD2B7E"/>
    <w:rsid w:val="00C03142"/>
    <w:rsid w:val="00C3211F"/>
    <w:rsid w:val="00C95A2C"/>
    <w:rsid w:val="00D07902"/>
    <w:rsid w:val="00D34DFC"/>
    <w:rsid w:val="00D370C9"/>
    <w:rsid w:val="00D567DD"/>
    <w:rsid w:val="00D71CC4"/>
    <w:rsid w:val="00E24E6C"/>
    <w:rsid w:val="00E5226E"/>
    <w:rsid w:val="00EB443C"/>
    <w:rsid w:val="00EE79B3"/>
    <w:rsid w:val="00F5473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C147"/>
  <w15:chartTrackingRefBased/>
  <w15:docId w15:val="{D6BA42DB-243D-4135-8549-9D8499A5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B7"/>
  </w:style>
  <w:style w:type="paragraph" w:styleId="Footer">
    <w:name w:val="footer"/>
    <w:basedOn w:val="Normal"/>
    <w:link w:val="FooterChar"/>
    <w:uiPriority w:val="99"/>
    <w:unhideWhenUsed/>
    <w:rsid w:val="002B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B7"/>
  </w:style>
  <w:style w:type="paragraph" w:styleId="ListParagraph">
    <w:name w:val="List Paragraph"/>
    <w:basedOn w:val="Normal"/>
    <w:uiPriority w:val="34"/>
    <w:qFormat/>
    <w:rsid w:val="002A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Sappenfield</dc:creator>
  <cp:keywords/>
  <dc:description/>
  <cp:lastModifiedBy>Keith Sappenfield</cp:lastModifiedBy>
  <cp:revision>69</cp:revision>
  <dcterms:created xsi:type="dcterms:W3CDTF">2022-07-24T12:13:00Z</dcterms:created>
  <dcterms:modified xsi:type="dcterms:W3CDTF">2022-07-25T12:43:00Z</dcterms:modified>
</cp:coreProperties>
</file>