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bookmarkStart w:id="0" w:name="_GoBack"/>
      <w:bookmarkEnd w:id="0"/>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Instructions:</w:t>
      </w: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1.</w:t>
      </w:r>
      <w:r>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2.</w:t>
      </w:r>
      <w:r>
        <w:rPr>
          <w:b/>
          <w:sz w:val="22"/>
        </w:rPr>
        <w:tab/>
        <w:t>Attach any information you believe is related to the request.  The more complete your request is, the less time is required to review it.</w:t>
      </w: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t>3.</w:t>
      </w:r>
      <w:r>
        <w:rPr>
          <w:b/>
          <w:sz w:val="22"/>
        </w:rPr>
        <w:tab/>
        <w:t>Once completed, send your request to:</w:t>
      </w: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r>
      <w:smartTag w:uri="urn:schemas-microsoft-com:office:smarttags" w:element="PersonName">
        <w:r>
          <w:rPr>
            <w:b/>
            <w:sz w:val="22"/>
          </w:rPr>
          <w:t>Rae McQuade</w:t>
        </w:r>
      </w:smartTag>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NAESB, President</w:t>
      </w: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b/>
                  <w:sz w:val="22"/>
                </w:rPr>
                <w:t>Suite</w:t>
              </w:r>
            </w:smartTag>
          </w:smartTag>
          <w:r>
            <w:rPr>
              <w:b/>
              <w:sz w:val="22"/>
            </w:rPr>
            <w:t xml:space="preserve"> 1675</w:t>
          </w:r>
        </w:smartTag>
      </w:smartTag>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r>
      <w:smartTag w:uri="urn:schemas-microsoft-com:office:smarttags" w:element="City">
        <w:smartTag w:uri="urn:schemas-microsoft-com:office:smarttags" w:element="place">
          <w:r>
            <w:rPr>
              <w:b/>
              <w:sz w:val="22"/>
            </w:rPr>
            <w:t>Houston</w:t>
          </w:r>
        </w:smartTag>
        <w:r>
          <w:rPr>
            <w:b/>
            <w:sz w:val="22"/>
          </w:rPr>
          <w:t xml:space="preserve">, </w:t>
        </w:r>
        <w:smartTag w:uri="urn:schemas-microsoft-com:office:smarttags" w:element="PostalCode">
          <w:smartTag w:uri="urn:schemas-microsoft-com:office:smarttags" w:element="State">
            <w:r>
              <w:rPr>
                <w:b/>
                <w:sz w:val="22"/>
              </w:rPr>
              <w:t>TX</w:t>
            </w:r>
          </w:smartTag>
        </w:smartTag>
        <w:r>
          <w:rPr>
            <w:b/>
            <w:sz w:val="22"/>
          </w:rPr>
          <w:t xml:space="preserve">  </w:t>
        </w:r>
        <w:smartTag w:uri="urn:schemas-microsoft-com:office:smarttags" w:element="PostalCode">
          <w:r>
            <w:rPr>
              <w:b/>
              <w:sz w:val="22"/>
            </w:rPr>
            <w:t>77002</w:t>
          </w:r>
        </w:smartTag>
      </w:smartTag>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b/>
      </w:r>
      <w:r>
        <w:rPr>
          <w:b/>
          <w:sz w:val="22"/>
        </w:rPr>
        <w:tab/>
      </w:r>
      <w:r>
        <w:rPr>
          <w:b/>
          <w:sz w:val="22"/>
        </w:rPr>
        <w:tab/>
        <w:t>Phone:  713</w:t>
      </w:r>
      <w:r>
        <w:rPr>
          <w:b/>
          <w:sz w:val="22"/>
        </w:rPr>
        <w:noBreakHyphen/>
        <w:t>356</w:t>
      </w:r>
      <w:r>
        <w:rPr>
          <w:b/>
          <w:sz w:val="22"/>
        </w:rPr>
        <w:noBreakHyphen/>
        <w:t>0060</w:t>
      </w: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Fax:      713</w:t>
      </w:r>
      <w:r>
        <w:rPr>
          <w:b/>
          <w:sz w:val="22"/>
        </w:rPr>
        <w:noBreakHyphen/>
        <w:t>356</w:t>
      </w:r>
      <w:r>
        <w:rPr>
          <w:b/>
          <w:sz w:val="22"/>
        </w:rPr>
        <w:noBreakHyphen/>
        <w:t>0067</w:t>
      </w: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t xml:space="preserve">by either mail, fax, or to NAESB’s email address, </w:t>
      </w:r>
      <w:smartTag w:uri="urn:schemas-microsoft-com:office:smarttags" w:element="PersonName">
        <w:r>
          <w:rPr>
            <w:b/>
            <w:sz w:val="22"/>
          </w:rPr>
          <w:t>naesb</w:t>
        </w:r>
      </w:smartTag>
      <w:r>
        <w:rPr>
          <w:b/>
          <w:sz w:val="22"/>
        </w:rPr>
        <w:t>@</w:t>
      </w:r>
      <w:smartTag w:uri="urn:schemas-microsoft-com:office:smarttags" w:element="PersonName">
        <w:r>
          <w:rPr>
            <w:b/>
            <w:sz w:val="22"/>
          </w:rPr>
          <w:t>naesb</w:t>
        </w:r>
      </w:smartTag>
      <w:r>
        <w:rPr>
          <w:b/>
          <w:sz w:val="22"/>
        </w:rPr>
        <w:t>.org</w:t>
      </w: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Once received, the request will be routed to the appropriate subcommittees for review.</w:t>
      </w:r>
    </w:p>
    <w:p w:rsidR="00430880" w:rsidRDefault="00430880">
      <w:pPr>
        <w:tabs>
          <w:tab w:val="center" w:pos="4680"/>
          <w:tab w:val="right" w:pos="9360"/>
        </w:tabs>
        <w:spacing w:line="330" w:lineRule="auto"/>
        <w:jc w:val="center"/>
        <w:rPr>
          <w:b/>
          <w:sz w:val="22"/>
        </w:rPr>
      </w:pPr>
      <w:r>
        <w:rPr>
          <w:b/>
          <w:sz w:val="22"/>
        </w:rPr>
        <w:br w:type="page"/>
        <w:t>NAESB Correction/Clarification Procedure</w:t>
      </w: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Minor Clarifications and Corrections to Standards</w:t>
      </w: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1. Processing of Requests</w:t>
      </w: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2. Public Notice</w:t>
      </w: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Any interested party shall have an opportunity to comment on the request, and the comments shall be posted on the NAESB website.  The comment period is two weeks.</w:t>
      </w: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3. Final Disposition of Approved Requests</w:t>
      </w: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  In the case of minor corrections which are discovered during the editorial review process of publication of a new version and are categorized as clarifications under (b) or (c) above</w:t>
      </w:r>
      <w:r>
        <w:rPr>
          <w:vertAlign w:val="superscript"/>
        </w:rPr>
        <w:footnoteReference w:id="1"/>
      </w:r>
      <w:r>
        <w:t>, the proposed effective date may be (i) two weeks from the date of public notice, following simple majority approval by the applicable Quadrant(s) EC(s) of the shortened effective date, or (ii) one month from the date of the public notice  For all others, the proposed effective date of the minor clarification or correction shall normally be one month from the date of the public notice upon simple majority approval of the applicable Quadrant(s) EC(s).</w:t>
      </w: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br w:type="page"/>
      </w:r>
    </w:p>
    <w:tbl>
      <w:tblPr>
        <w:tblW w:w="0" w:type="auto"/>
        <w:tblInd w:w="4878" w:type="dxa"/>
        <w:tblLook w:val="01E0"/>
      </w:tblPr>
      <w:tblGrid>
        <w:gridCol w:w="1710"/>
        <w:gridCol w:w="2988"/>
      </w:tblGrid>
      <w:tr w:rsidR="00430880" w:rsidTr="00A37247">
        <w:tc>
          <w:tcPr>
            <w:tcW w:w="1710" w:type="dxa"/>
          </w:tcPr>
          <w:p w:rsidR="00430880" w:rsidRPr="00A37247" w:rsidRDefault="00430880" w:rsidP="00A37247">
            <w:pPr>
              <w:spacing w:before="40" w:after="20"/>
              <w:jc w:val="right"/>
              <w:rPr>
                <w:sz w:val="22"/>
                <w:szCs w:val="22"/>
              </w:rPr>
            </w:pPr>
            <w:r w:rsidRPr="00A37247">
              <w:rPr>
                <w:sz w:val="22"/>
                <w:szCs w:val="22"/>
              </w:rPr>
              <w:t>Date of Request:</w:t>
            </w:r>
          </w:p>
        </w:tc>
        <w:tc>
          <w:tcPr>
            <w:tcW w:w="2988" w:type="dxa"/>
          </w:tcPr>
          <w:p w:rsidR="00430880" w:rsidRDefault="00430880" w:rsidP="00A37247">
            <w:pPr>
              <w:spacing w:before="40" w:after="20"/>
            </w:pPr>
            <w:r>
              <w:t>May 30, 2012</w:t>
            </w:r>
          </w:p>
        </w:tc>
      </w:tr>
    </w:tbl>
    <w:p w:rsidR="00430880" w:rsidRDefault="00430880"/>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430880" w:rsidRDefault="00430880">
      <w:pPr>
        <w:numPr>
          <w:ilvl w:val="0"/>
          <w:numId w:val="1"/>
        </w:numPr>
        <w:tabs>
          <w:tab w:val="clear" w:pos="720"/>
          <w:tab w:val="num"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sz w:val="22"/>
        </w:rPr>
      </w:pPr>
      <w:r>
        <w:rPr>
          <w:sz w:val="22"/>
        </w:rPr>
        <w:t>Submitting Entity &amp; Address:</w:t>
      </w:r>
    </w:p>
    <w:tbl>
      <w:tblPr>
        <w:tblW w:w="0" w:type="auto"/>
        <w:tblInd w:w="828" w:type="dxa"/>
        <w:tblLook w:val="01E0"/>
      </w:tblPr>
      <w:tblGrid>
        <w:gridCol w:w="8748"/>
      </w:tblGrid>
      <w:tr w:rsidR="00430880" w:rsidTr="00A37247">
        <w:tc>
          <w:tcPr>
            <w:tcW w:w="8748" w:type="dxa"/>
          </w:tcPr>
          <w:p w:rsidR="00430880" w:rsidRPr="00A37247" w:rsidRDefault="0043088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 xml:space="preserve">ISO New </w:t>
            </w:r>
            <w:smartTag w:uri="urn:schemas-microsoft-com:office:smarttags" w:element="country-region">
              <w:smartTag w:uri="urn:schemas-microsoft-com:office:smarttags" w:element="place">
                <w:r w:rsidRPr="00A37247">
                  <w:rPr>
                    <w:sz w:val="22"/>
                  </w:rPr>
                  <w:t>England</w:t>
                </w:r>
              </w:smartTag>
            </w:smartTag>
          </w:p>
        </w:tc>
      </w:tr>
      <w:tr w:rsidR="00430880" w:rsidTr="00A37247">
        <w:tc>
          <w:tcPr>
            <w:tcW w:w="8748" w:type="dxa"/>
          </w:tcPr>
          <w:p w:rsidR="00430880" w:rsidRPr="00A37247" w:rsidRDefault="0043088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smartTag w:uri="urn:schemas-microsoft-com:office:smarttags" w:element="address">
              <w:smartTag w:uri="urn:schemas-microsoft-com:office:smarttags" w:element="Street">
                <w:r w:rsidRPr="00A37247">
                  <w:rPr>
                    <w:sz w:val="22"/>
                  </w:rPr>
                  <w:t>One Sullivan Road</w:t>
                </w:r>
              </w:smartTag>
            </w:smartTag>
          </w:p>
        </w:tc>
      </w:tr>
      <w:tr w:rsidR="00430880" w:rsidTr="00A37247">
        <w:tc>
          <w:tcPr>
            <w:tcW w:w="8748" w:type="dxa"/>
          </w:tcPr>
          <w:p w:rsidR="00430880" w:rsidRPr="00A37247" w:rsidRDefault="0043088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smartTag w:uri="urn:schemas-microsoft-com:office:smarttags" w:element="PersonName">
              <w:smartTag w:uri="urn:schemas-microsoft-com:office:smarttags" w:element="City">
                <w:r w:rsidRPr="00A37247">
                  <w:rPr>
                    <w:sz w:val="22"/>
                  </w:rPr>
                  <w:t>Holyoke</w:t>
                </w:r>
              </w:smartTag>
              <w:r w:rsidRPr="00A37247">
                <w:rPr>
                  <w:sz w:val="22"/>
                </w:rPr>
                <w:t xml:space="preserve">, </w:t>
              </w:r>
              <w:smartTag w:uri="urn:schemas-microsoft-com:office:smarttags" w:element="PersonName">
                <w:r w:rsidRPr="00A37247">
                  <w:rPr>
                    <w:sz w:val="22"/>
                  </w:rPr>
                  <w:t>MA</w:t>
                </w:r>
              </w:smartTag>
              <w:r w:rsidRPr="00A37247">
                <w:rPr>
                  <w:sz w:val="22"/>
                </w:rPr>
                <w:t xml:space="preserve"> </w:t>
              </w:r>
              <w:smartTag w:uri="urn:schemas-microsoft-com:office:smarttags" w:element="PersonName">
                <w:r w:rsidRPr="00A37247">
                  <w:rPr>
                    <w:sz w:val="22"/>
                  </w:rPr>
                  <w:t>01040</w:t>
                </w:r>
              </w:smartTag>
            </w:smartTag>
          </w:p>
        </w:tc>
      </w:tr>
      <w:tr w:rsidR="00430880" w:rsidTr="00A37247">
        <w:tc>
          <w:tcPr>
            <w:tcW w:w="8748" w:type="dxa"/>
          </w:tcPr>
          <w:p w:rsidR="00430880" w:rsidRPr="00A37247" w:rsidRDefault="0043088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r w:rsidR="00430880" w:rsidTr="00A37247">
        <w:tc>
          <w:tcPr>
            <w:tcW w:w="8748" w:type="dxa"/>
          </w:tcPr>
          <w:p w:rsidR="00430880" w:rsidRPr="00A37247" w:rsidRDefault="0043088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rsidR="00430880" w:rsidRDefault="00430880">
      <w:pPr>
        <w:numPr>
          <w:ilvl w:val="0"/>
          <w:numId w:val="1"/>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Pr>
          <w:sz w:val="22"/>
        </w:rPr>
        <w:t>Contact Person, Phone #, Fax #, Electronic Mailing Address:</w:t>
      </w:r>
    </w:p>
    <w:tbl>
      <w:tblPr>
        <w:tblW w:w="0" w:type="auto"/>
        <w:tblInd w:w="828" w:type="dxa"/>
        <w:tblLook w:val="01E0"/>
      </w:tblPr>
      <w:tblGrid>
        <w:gridCol w:w="900"/>
        <w:gridCol w:w="360"/>
        <w:gridCol w:w="7488"/>
      </w:tblGrid>
      <w:tr w:rsidR="00430880" w:rsidTr="00A37247">
        <w:tc>
          <w:tcPr>
            <w:tcW w:w="900" w:type="dxa"/>
          </w:tcPr>
          <w:p w:rsidR="00430880" w:rsidRPr="00A37247" w:rsidRDefault="0043088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Name:</w:t>
            </w:r>
          </w:p>
        </w:tc>
        <w:tc>
          <w:tcPr>
            <w:tcW w:w="360" w:type="dxa"/>
          </w:tcPr>
          <w:p w:rsidR="00430880" w:rsidRPr="00A37247" w:rsidRDefault="0043088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430880" w:rsidRPr="00A37247" w:rsidRDefault="0043088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smartTag w:uri="urn:schemas-microsoft-com:office:smarttags" w:element="PersonName">
              <w:r w:rsidRPr="00A37247">
                <w:rPr>
                  <w:sz w:val="22"/>
                </w:rPr>
                <w:t>Eric Winkler</w:t>
              </w:r>
            </w:smartTag>
          </w:p>
        </w:tc>
      </w:tr>
      <w:tr w:rsidR="00430880" w:rsidTr="00A37247">
        <w:tc>
          <w:tcPr>
            <w:tcW w:w="900" w:type="dxa"/>
          </w:tcPr>
          <w:p w:rsidR="00430880" w:rsidRPr="00A37247" w:rsidRDefault="0043088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Title:</w:t>
            </w:r>
          </w:p>
        </w:tc>
        <w:tc>
          <w:tcPr>
            <w:tcW w:w="360" w:type="dxa"/>
          </w:tcPr>
          <w:p w:rsidR="00430880" w:rsidRPr="00A37247" w:rsidRDefault="0043088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430880" w:rsidRPr="00A37247" w:rsidRDefault="0043088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Project Manager - Demand Resource Qualification</w:t>
            </w:r>
          </w:p>
        </w:tc>
      </w:tr>
      <w:tr w:rsidR="00430880" w:rsidTr="00A37247">
        <w:tc>
          <w:tcPr>
            <w:tcW w:w="900" w:type="dxa"/>
          </w:tcPr>
          <w:p w:rsidR="00430880" w:rsidRPr="00A37247" w:rsidRDefault="0043088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Phone:</w:t>
            </w:r>
          </w:p>
        </w:tc>
        <w:tc>
          <w:tcPr>
            <w:tcW w:w="360" w:type="dxa"/>
          </w:tcPr>
          <w:p w:rsidR="00430880" w:rsidRPr="00A37247" w:rsidRDefault="0043088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430880" w:rsidRPr="00A37247" w:rsidRDefault="0043088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413-540-4513 (Office)</w:t>
            </w:r>
          </w:p>
          <w:p w:rsidR="00430880" w:rsidRPr="00A37247" w:rsidRDefault="0043088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413-530-9713 (Cell)</w:t>
            </w:r>
          </w:p>
        </w:tc>
      </w:tr>
      <w:tr w:rsidR="00430880" w:rsidTr="00A37247">
        <w:tc>
          <w:tcPr>
            <w:tcW w:w="900" w:type="dxa"/>
          </w:tcPr>
          <w:p w:rsidR="00430880" w:rsidRPr="00A37247" w:rsidRDefault="0043088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Fax:</w:t>
            </w:r>
          </w:p>
        </w:tc>
        <w:tc>
          <w:tcPr>
            <w:tcW w:w="360" w:type="dxa"/>
          </w:tcPr>
          <w:p w:rsidR="00430880" w:rsidRPr="00A37247" w:rsidRDefault="0043088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430880" w:rsidRPr="00A37247" w:rsidRDefault="0043088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413-535-4310</w:t>
            </w:r>
          </w:p>
        </w:tc>
      </w:tr>
      <w:tr w:rsidR="00430880" w:rsidTr="00A37247">
        <w:tc>
          <w:tcPr>
            <w:tcW w:w="900" w:type="dxa"/>
          </w:tcPr>
          <w:p w:rsidR="00430880" w:rsidRPr="00A37247" w:rsidRDefault="0043088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E-mail:</w:t>
            </w:r>
          </w:p>
        </w:tc>
        <w:tc>
          <w:tcPr>
            <w:tcW w:w="360" w:type="dxa"/>
          </w:tcPr>
          <w:p w:rsidR="00430880" w:rsidRPr="00A37247" w:rsidRDefault="0043088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430880" w:rsidRPr="00A37247" w:rsidRDefault="0043088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hyperlink r:id="rId7" w:history="1">
              <w:r w:rsidRPr="00A37247">
                <w:rPr>
                  <w:rStyle w:val="Hyperlink"/>
                  <w:sz w:val="22"/>
                </w:rPr>
                <w:t>mailto:ewinkler@iso-ne.com</w:t>
              </w:r>
            </w:hyperlink>
          </w:p>
        </w:tc>
      </w:tr>
    </w:tbl>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sz w:val="22"/>
        </w:rPr>
      </w:pPr>
      <w:r>
        <w:rPr>
          <w:sz w:val="22"/>
        </w:rPr>
        <w:t xml:space="preserve">3.  Version and Standard Number(s) suggested for correction or clarification: </w:t>
      </w:r>
    </w:p>
    <w:tbl>
      <w:tblPr>
        <w:tblW w:w="0" w:type="auto"/>
        <w:tblInd w:w="828" w:type="dxa"/>
        <w:tblLook w:val="01E0"/>
      </w:tblPr>
      <w:tblGrid>
        <w:gridCol w:w="8748"/>
      </w:tblGrid>
      <w:tr w:rsidR="00430880" w:rsidTr="00A37247">
        <w:tc>
          <w:tcPr>
            <w:tcW w:w="8748" w:type="dxa"/>
          </w:tcPr>
          <w:p w:rsidR="00430880" w:rsidRPr="00A37247" w:rsidRDefault="0043088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WEQ-000 Abbreviations, Acronyms, and Definition of Terms (Version 3.0)</w:t>
            </w:r>
          </w:p>
          <w:p w:rsidR="00430880" w:rsidRPr="00A37247" w:rsidRDefault="0043088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WEQ-021 Measurement and Verification of Energy Efficiency Products (Version 3.0)</w:t>
            </w:r>
          </w:p>
          <w:p w:rsidR="00430880" w:rsidRPr="00A37247" w:rsidRDefault="0043088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p w:rsidR="00430880" w:rsidRPr="00A37247" w:rsidRDefault="0043088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2010 WEQ Annual Plan Item 4(d) Final Action: Business Practice Standards for Measurement and Verification of Energy Efficiency Products. - Ratified May 13, 2011</w:t>
            </w:r>
          </w:p>
        </w:tc>
      </w:tr>
    </w:tbl>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sz w:val="22"/>
        </w:rPr>
      </w:pPr>
      <w:r>
        <w:rPr>
          <w:sz w:val="22"/>
        </w:rPr>
        <w:t>4.  Description of Minor Correction/Clarification including redlined standards corrections:</w:t>
      </w:r>
    </w:p>
    <w:tbl>
      <w:tblPr>
        <w:tblW w:w="0" w:type="auto"/>
        <w:tblInd w:w="828" w:type="dxa"/>
        <w:tblLook w:val="01E0"/>
      </w:tblPr>
      <w:tblGrid>
        <w:gridCol w:w="8748"/>
      </w:tblGrid>
      <w:tr w:rsidR="00430880" w:rsidTr="00A37247">
        <w:tc>
          <w:tcPr>
            <w:tcW w:w="8748" w:type="dxa"/>
          </w:tcPr>
          <w:p w:rsidR="00430880" w:rsidRPr="00A37247" w:rsidRDefault="00430880" w:rsidP="00A37247">
            <w:pPr>
              <w:tabs>
                <w:tab w:val="left" w:pos="2160"/>
                <w:tab w:val="left" w:pos="2880"/>
                <w:tab w:val="left" w:pos="3600"/>
                <w:tab w:val="left" w:pos="4320"/>
                <w:tab w:val="left" w:pos="5040"/>
                <w:tab w:val="left" w:pos="5760"/>
                <w:tab w:val="left" w:pos="6480"/>
                <w:tab w:val="left" w:pos="7200"/>
                <w:tab w:val="left" w:pos="7920"/>
                <w:tab w:val="left" w:pos="8640"/>
              </w:tabs>
              <w:spacing w:before="40" w:after="20"/>
              <w:ind w:left="2142" w:hanging="2142"/>
              <w:rPr>
                <w:b/>
                <w:sz w:val="22"/>
              </w:rPr>
            </w:pPr>
            <w:r w:rsidRPr="00A37247">
              <w:rPr>
                <w:b/>
                <w:sz w:val="22"/>
              </w:rPr>
              <w:t>WEQ-000-1</w:t>
            </w:r>
            <w:r w:rsidRPr="00A37247">
              <w:rPr>
                <w:b/>
                <w:sz w:val="22"/>
              </w:rPr>
              <w:tab/>
              <w:t xml:space="preserve">ABBREVIATIONS AND ACRONYMS </w:t>
            </w:r>
          </w:p>
          <w:p w:rsidR="00430880" w:rsidRPr="00A37247" w:rsidRDefault="00430880" w:rsidP="00A37247">
            <w:pPr>
              <w:tabs>
                <w:tab w:val="left" w:pos="2160"/>
                <w:tab w:val="left" w:pos="2880"/>
                <w:tab w:val="left" w:pos="3600"/>
                <w:tab w:val="left" w:pos="4320"/>
                <w:tab w:val="left" w:pos="5040"/>
                <w:tab w:val="left" w:pos="5760"/>
                <w:tab w:val="left" w:pos="6480"/>
                <w:tab w:val="left" w:pos="7200"/>
                <w:tab w:val="left" w:pos="7920"/>
                <w:tab w:val="left" w:pos="8640"/>
              </w:tabs>
              <w:spacing w:before="40" w:after="20"/>
              <w:ind w:left="2142" w:hanging="1440"/>
              <w:rPr>
                <w:color w:val="FF0000"/>
                <w:sz w:val="22"/>
              </w:rPr>
            </w:pPr>
            <w:r w:rsidRPr="00A37247">
              <w:rPr>
                <w:strike/>
                <w:color w:val="FF0000"/>
                <w:sz w:val="22"/>
              </w:rPr>
              <w:t xml:space="preserve">IPMVP </w:t>
            </w:r>
            <w:r w:rsidRPr="00A37247">
              <w:rPr>
                <w:color w:val="FF0000"/>
                <w:sz w:val="22"/>
              </w:rPr>
              <w:t xml:space="preserve">            </w:t>
            </w:r>
            <w:r w:rsidRPr="00A37247">
              <w:rPr>
                <w:strike/>
                <w:color w:val="FF0000"/>
                <w:sz w:val="22"/>
              </w:rPr>
              <w:t>International Performance Measurement and Verification Protocol</w:t>
            </w:r>
          </w:p>
          <w:p w:rsidR="00430880" w:rsidRPr="00A37247" w:rsidRDefault="00430880" w:rsidP="00A37247">
            <w:pPr>
              <w:tabs>
                <w:tab w:val="left" w:pos="2160"/>
                <w:tab w:val="left" w:pos="2880"/>
                <w:tab w:val="left" w:pos="3600"/>
                <w:tab w:val="left" w:pos="4320"/>
                <w:tab w:val="left" w:pos="5040"/>
                <w:tab w:val="left" w:pos="5760"/>
                <w:tab w:val="left" w:pos="6480"/>
                <w:tab w:val="left" w:pos="7200"/>
                <w:tab w:val="left" w:pos="7920"/>
                <w:tab w:val="left" w:pos="8640"/>
              </w:tabs>
              <w:spacing w:before="40" w:after="20"/>
              <w:ind w:left="2142" w:hanging="2142"/>
              <w:rPr>
                <w:sz w:val="22"/>
              </w:rPr>
            </w:pPr>
          </w:p>
        </w:tc>
      </w:tr>
      <w:tr w:rsidR="00430880" w:rsidTr="00A37247">
        <w:tc>
          <w:tcPr>
            <w:tcW w:w="8748" w:type="dxa"/>
          </w:tcPr>
          <w:p w:rsidR="00430880" w:rsidRPr="00A37247" w:rsidRDefault="00430880" w:rsidP="00A37247">
            <w:pPr>
              <w:tabs>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b/>
                <w:sz w:val="22"/>
              </w:rPr>
              <w:t>WEQ- 021-3.2.5            Measurement and Verification Approach</w:t>
            </w:r>
          </w:p>
          <w:p w:rsidR="00430880" w:rsidRPr="00A37247" w:rsidRDefault="00430880" w:rsidP="00A37247">
            <w:pPr>
              <w:tabs>
                <w:tab w:val="left" w:pos="2322"/>
                <w:tab w:val="left" w:pos="2880"/>
                <w:tab w:val="left" w:pos="3600"/>
                <w:tab w:val="left" w:pos="4320"/>
                <w:tab w:val="left" w:pos="5040"/>
                <w:tab w:val="left" w:pos="5760"/>
                <w:tab w:val="left" w:pos="6480"/>
                <w:tab w:val="left" w:pos="7200"/>
                <w:tab w:val="left" w:pos="7920"/>
                <w:tab w:val="left" w:pos="8640"/>
              </w:tabs>
              <w:spacing w:before="40" w:after="20"/>
              <w:ind w:left="2142"/>
              <w:rPr>
                <w:sz w:val="22"/>
              </w:rPr>
            </w:pPr>
            <w:r w:rsidRPr="00A37247">
              <w:rPr>
                <w:sz w:val="22"/>
              </w:rPr>
              <w:t xml:space="preserve">Plan should include justification of appropriate measurement methodology.  Appropriate measurement methodology may include but is not limited to: the four </w:t>
            </w:r>
            <w:r w:rsidRPr="00A37247">
              <w:rPr>
                <w:strike/>
                <w:color w:val="FF0000"/>
                <w:sz w:val="22"/>
              </w:rPr>
              <w:t>International Performance</w:t>
            </w:r>
            <w:r w:rsidRPr="00A37247">
              <w:rPr>
                <w:color w:val="FF0000"/>
                <w:sz w:val="22"/>
              </w:rPr>
              <w:t xml:space="preserve"> </w:t>
            </w:r>
            <w:r w:rsidRPr="00A37247">
              <w:rPr>
                <w:color w:val="FF0000"/>
                <w:sz w:val="22"/>
                <w:u w:val="single"/>
              </w:rPr>
              <w:t>standard</w:t>
            </w:r>
            <w:r w:rsidRPr="00A37247">
              <w:rPr>
                <w:sz w:val="22"/>
                <w:u w:val="single"/>
              </w:rPr>
              <w:t xml:space="preserve"> </w:t>
            </w:r>
            <w:r w:rsidRPr="00A37247">
              <w:rPr>
                <w:sz w:val="22"/>
              </w:rPr>
              <w:t xml:space="preserve">M&amp;V </w:t>
            </w:r>
            <w:r w:rsidRPr="00A37247">
              <w:rPr>
                <w:strike/>
                <w:color w:val="FF0000"/>
                <w:sz w:val="22"/>
              </w:rPr>
              <w:t>Protocol (IPMVP)</w:t>
            </w:r>
            <w:r w:rsidRPr="00A37247">
              <w:rPr>
                <w:strike/>
                <w:color w:val="FF0000"/>
                <w:sz w:val="22"/>
                <w:vertAlign w:val="superscript"/>
              </w:rPr>
              <w:t>1</w:t>
            </w:r>
            <w:r w:rsidRPr="00A37247">
              <w:rPr>
                <w:sz w:val="22"/>
              </w:rPr>
              <w:t xml:space="preserve">  methodologies, at the measure level.</w:t>
            </w:r>
          </w:p>
          <w:p w:rsidR="00430880" w:rsidRPr="00A37247" w:rsidRDefault="00430880" w:rsidP="00A37247">
            <w:pPr>
              <w:tabs>
                <w:tab w:val="left" w:pos="2322"/>
                <w:tab w:val="left" w:pos="2880"/>
                <w:tab w:val="left" w:pos="3600"/>
                <w:tab w:val="left" w:pos="4320"/>
                <w:tab w:val="left" w:pos="5040"/>
                <w:tab w:val="left" w:pos="5760"/>
                <w:tab w:val="left" w:pos="6480"/>
                <w:tab w:val="left" w:pos="7200"/>
                <w:tab w:val="left" w:pos="7920"/>
                <w:tab w:val="left" w:pos="8640"/>
              </w:tabs>
              <w:spacing w:before="40" w:after="20"/>
              <w:ind w:left="2142"/>
              <w:rPr>
                <w:sz w:val="22"/>
              </w:rPr>
            </w:pPr>
          </w:p>
          <w:p w:rsidR="00430880" w:rsidRPr="00A37247" w:rsidRDefault="00430880" w:rsidP="00A37247">
            <w:pPr>
              <w:tabs>
                <w:tab w:val="left" w:pos="2322"/>
                <w:tab w:val="left" w:pos="2880"/>
                <w:tab w:val="left" w:pos="3600"/>
                <w:tab w:val="left" w:pos="4320"/>
                <w:tab w:val="left" w:pos="5040"/>
                <w:tab w:val="left" w:pos="5760"/>
                <w:tab w:val="left" w:pos="6480"/>
                <w:tab w:val="left" w:pos="7200"/>
                <w:tab w:val="left" w:pos="7920"/>
                <w:tab w:val="left" w:pos="8640"/>
              </w:tabs>
              <w:spacing w:before="40" w:after="20"/>
              <w:ind w:left="2142"/>
              <w:rPr>
                <w:strike/>
                <w:color w:val="FF0000"/>
                <w:sz w:val="22"/>
              </w:rPr>
            </w:pPr>
            <w:r w:rsidRPr="00A37247">
              <w:rPr>
                <w:strike/>
                <w:color w:val="FF0000"/>
                <w:sz w:val="22"/>
                <w:vertAlign w:val="superscript"/>
              </w:rPr>
              <w:t>1</w:t>
            </w:r>
            <w:r w:rsidRPr="00A37247">
              <w:rPr>
                <w:strike/>
                <w:color w:val="FF0000"/>
                <w:sz w:val="22"/>
              </w:rPr>
              <w:t>“The International Performance Measurement and Verification Protocol (IPMVP) provides an overview of current best practice techniques available for verifying results of energy efficiency, water efficiency, and renewable energy projects in commercial and industrial facilities.”  Efficiency Valuation Organization, 2010. http://www.evo-world.org.  The IPMVP (EVO 10000 – 1:2010, © Efficiency Valuation Organization 2010), may be obtained from EVO-world.org and may be periodically updated.</w:t>
            </w:r>
          </w:p>
        </w:tc>
      </w:tr>
      <w:tr w:rsidR="00430880" w:rsidTr="00A37247">
        <w:tc>
          <w:tcPr>
            <w:tcW w:w="8748" w:type="dxa"/>
          </w:tcPr>
          <w:p w:rsidR="00430880" w:rsidRPr="00A37247" w:rsidRDefault="00430880" w:rsidP="00A37247">
            <w:pPr>
              <w:tabs>
                <w:tab w:val="left" w:pos="2232"/>
                <w:tab w:val="left" w:pos="2880"/>
                <w:tab w:val="left" w:pos="3600"/>
                <w:tab w:val="left" w:pos="4320"/>
                <w:tab w:val="left" w:pos="5040"/>
                <w:tab w:val="left" w:pos="5760"/>
                <w:tab w:val="left" w:pos="6480"/>
                <w:tab w:val="left" w:pos="7200"/>
                <w:tab w:val="left" w:pos="7920"/>
                <w:tab w:val="left" w:pos="8640"/>
              </w:tabs>
              <w:spacing w:before="40" w:after="20"/>
              <w:ind w:left="2142" w:hanging="2142"/>
              <w:rPr>
                <w:b/>
                <w:sz w:val="22"/>
              </w:rPr>
            </w:pPr>
            <w:r w:rsidRPr="00A37247">
              <w:rPr>
                <w:b/>
                <w:sz w:val="22"/>
              </w:rPr>
              <w:t>021-3.6.1.1</w:t>
            </w:r>
            <w:r w:rsidRPr="00A37247">
              <w:rPr>
                <w:sz w:val="22"/>
              </w:rPr>
              <w:tab/>
            </w:r>
            <w:r w:rsidRPr="00A37247">
              <w:rPr>
                <w:b/>
                <w:strike/>
                <w:color w:val="FF0000"/>
                <w:sz w:val="22"/>
              </w:rPr>
              <w:t>IPMVP</w:t>
            </w:r>
            <w:r w:rsidRPr="00A37247">
              <w:rPr>
                <w:b/>
                <w:sz w:val="22"/>
              </w:rPr>
              <w:t xml:space="preserve"> Option A: Partially Measured Retrofit Isolation/Stipulated Measurement. </w:t>
            </w:r>
          </w:p>
          <w:p w:rsidR="00430880" w:rsidRPr="00A37247" w:rsidRDefault="00430880" w:rsidP="00A37247">
            <w:pPr>
              <w:tabs>
                <w:tab w:val="left" w:pos="2160"/>
                <w:tab w:val="left" w:pos="2880"/>
                <w:tab w:val="left" w:pos="3600"/>
                <w:tab w:val="left" w:pos="4320"/>
                <w:tab w:val="left" w:pos="5040"/>
                <w:tab w:val="left" w:pos="5760"/>
                <w:tab w:val="left" w:pos="6480"/>
                <w:tab w:val="left" w:pos="7200"/>
                <w:tab w:val="left" w:pos="7920"/>
                <w:tab w:val="left" w:pos="8640"/>
              </w:tabs>
              <w:spacing w:before="40" w:after="20"/>
              <w:ind w:left="2142"/>
              <w:rPr>
                <w:sz w:val="22"/>
              </w:rPr>
            </w:pPr>
            <w:r w:rsidRPr="00A37247">
              <w:rPr>
                <w:strike/>
                <w:color w:val="FF0000"/>
                <w:sz w:val="22"/>
              </w:rPr>
              <w:t xml:space="preserve">IPMVP </w:t>
            </w:r>
            <w:r w:rsidRPr="00A37247">
              <w:rPr>
                <w:sz w:val="22"/>
              </w:rPr>
              <w:t>Option A may involve an equipment specific retrofit or replacement, new installation or a system level Measurement and Verification assessment. The approach is intended for measures where either performance factors (such as lighting wattage) or operational factors (such as operating hours) can be measured on a spot or short-term basis during baseline establishment and post-installation periods, or for measures for which a measured proxy variable, in combination with well-established algorithms and/or stipulated factors, can provide an accurate estimate of the Demand Reduction Value.</w:t>
            </w:r>
          </w:p>
        </w:tc>
      </w:tr>
      <w:tr w:rsidR="00430880" w:rsidTr="00A37247">
        <w:tc>
          <w:tcPr>
            <w:tcW w:w="8748" w:type="dxa"/>
          </w:tcPr>
          <w:p w:rsidR="00430880" w:rsidRPr="00A37247" w:rsidRDefault="00430880" w:rsidP="00A37247">
            <w:pPr>
              <w:tabs>
                <w:tab w:val="left" w:pos="2232"/>
                <w:tab w:val="left" w:pos="2880"/>
                <w:tab w:val="left" w:pos="3600"/>
                <w:tab w:val="left" w:pos="4320"/>
                <w:tab w:val="left" w:pos="5040"/>
                <w:tab w:val="left" w:pos="5760"/>
                <w:tab w:val="left" w:pos="6480"/>
                <w:tab w:val="left" w:pos="7200"/>
                <w:tab w:val="left" w:pos="7920"/>
                <w:tab w:val="left" w:pos="8640"/>
              </w:tabs>
              <w:spacing w:before="40" w:after="20"/>
              <w:ind w:left="2142" w:hanging="2142"/>
              <w:rPr>
                <w:b/>
                <w:sz w:val="22"/>
              </w:rPr>
            </w:pPr>
            <w:r w:rsidRPr="00A37247">
              <w:rPr>
                <w:b/>
                <w:sz w:val="22"/>
              </w:rPr>
              <w:t>021-3.6.1.2</w:t>
            </w:r>
            <w:r w:rsidRPr="00A37247">
              <w:rPr>
                <w:b/>
                <w:sz w:val="22"/>
              </w:rPr>
              <w:tab/>
            </w:r>
            <w:r w:rsidRPr="00A37247">
              <w:rPr>
                <w:b/>
                <w:strike/>
                <w:color w:val="FF0000"/>
                <w:sz w:val="22"/>
              </w:rPr>
              <w:t xml:space="preserve">IPMVP </w:t>
            </w:r>
            <w:r w:rsidRPr="00A37247">
              <w:rPr>
                <w:b/>
                <w:sz w:val="22"/>
              </w:rPr>
              <w:t>Option B: Retrofit Isolation/Metered Equipment.</w:t>
            </w:r>
          </w:p>
          <w:p w:rsidR="00430880" w:rsidRPr="00A37247" w:rsidRDefault="00430880" w:rsidP="00A37247">
            <w:pPr>
              <w:tabs>
                <w:tab w:val="left" w:pos="2232"/>
                <w:tab w:val="left" w:pos="2880"/>
                <w:tab w:val="left" w:pos="3600"/>
                <w:tab w:val="left" w:pos="4320"/>
                <w:tab w:val="left" w:pos="5040"/>
                <w:tab w:val="left" w:pos="5760"/>
                <w:tab w:val="left" w:pos="6480"/>
                <w:tab w:val="left" w:pos="7200"/>
                <w:tab w:val="left" w:pos="7920"/>
                <w:tab w:val="left" w:pos="8640"/>
              </w:tabs>
              <w:spacing w:before="40" w:after="20"/>
              <w:ind w:left="2142"/>
              <w:rPr>
                <w:sz w:val="22"/>
              </w:rPr>
            </w:pPr>
            <w:r w:rsidRPr="00A37247">
              <w:rPr>
                <w:strike/>
                <w:color w:val="FF0000"/>
                <w:sz w:val="22"/>
              </w:rPr>
              <w:t>IPMVP</w:t>
            </w:r>
            <w:r w:rsidRPr="00A37247">
              <w:rPr>
                <w:sz w:val="22"/>
              </w:rPr>
              <w:t xml:space="preserve"> Option B involves a retrofit or system-level Measurement and Verification assessment. The approach is intended for retrofits with performance factors and operational factors that can be measured at the component or system level using interval electrical demand meters installed on the affected end-use.</w:t>
            </w:r>
          </w:p>
        </w:tc>
      </w:tr>
      <w:tr w:rsidR="00430880" w:rsidTr="00A37247">
        <w:tc>
          <w:tcPr>
            <w:tcW w:w="8748" w:type="dxa"/>
          </w:tcPr>
          <w:p w:rsidR="00430880" w:rsidRPr="00A37247" w:rsidRDefault="00430880" w:rsidP="00A37247">
            <w:pPr>
              <w:tabs>
                <w:tab w:val="left" w:pos="2232"/>
                <w:tab w:val="left" w:pos="2880"/>
                <w:tab w:val="left" w:pos="3600"/>
                <w:tab w:val="left" w:pos="4320"/>
                <w:tab w:val="left" w:pos="5040"/>
                <w:tab w:val="left" w:pos="5760"/>
                <w:tab w:val="left" w:pos="6480"/>
                <w:tab w:val="left" w:pos="7200"/>
                <w:tab w:val="left" w:pos="7920"/>
                <w:tab w:val="left" w:pos="8640"/>
              </w:tabs>
              <w:spacing w:before="40" w:after="20"/>
              <w:ind w:left="2142" w:hanging="2142"/>
              <w:rPr>
                <w:b/>
                <w:sz w:val="22"/>
              </w:rPr>
            </w:pPr>
            <w:r w:rsidRPr="00A37247">
              <w:rPr>
                <w:b/>
                <w:sz w:val="22"/>
              </w:rPr>
              <w:t>021-3.6.1.3</w:t>
            </w:r>
            <w:r w:rsidRPr="00A37247">
              <w:rPr>
                <w:b/>
                <w:sz w:val="22"/>
              </w:rPr>
              <w:tab/>
            </w:r>
            <w:r w:rsidRPr="00A37247">
              <w:rPr>
                <w:b/>
                <w:strike/>
                <w:color w:val="FF0000"/>
                <w:sz w:val="22"/>
              </w:rPr>
              <w:t xml:space="preserve">IPMVP </w:t>
            </w:r>
            <w:r w:rsidRPr="00A37247">
              <w:rPr>
                <w:b/>
                <w:sz w:val="22"/>
              </w:rPr>
              <w:t>Option C: Whole facility/Regression.</w:t>
            </w:r>
          </w:p>
          <w:p w:rsidR="00430880" w:rsidRPr="00A37247" w:rsidRDefault="00430880" w:rsidP="00A37247">
            <w:pPr>
              <w:tabs>
                <w:tab w:val="left" w:pos="2232"/>
                <w:tab w:val="left" w:pos="2880"/>
                <w:tab w:val="left" w:pos="3600"/>
                <w:tab w:val="left" w:pos="4320"/>
                <w:tab w:val="left" w:pos="5040"/>
                <w:tab w:val="left" w:pos="5760"/>
                <w:tab w:val="left" w:pos="6480"/>
                <w:tab w:val="left" w:pos="7200"/>
                <w:tab w:val="left" w:pos="7920"/>
                <w:tab w:val="left" w:pos="8640"/>
              </w:tabs>
              <w:spacing w:before="40" w:after="20"/>
              <w:ind w:left="2142"/>
              <w:rPr>
                <w:sz w:val="22"/>
              </w:rPr>
            </w:pPr>
            <w:r w:rsidRPr="00A37247">
              <w:rPr>
                <w:strike/>
                <w:color w:val="FF0000"/>
                <w:sz w:val="22"/>
              </w:rPr>
              <w:t xml:space="preserve">IPMVP </w:t>
            </w:r>
            <w:r w:rsidRPr="00A37247">
              <w:rPr>
                <w:sz w:val="22"/>
              </w:rPr>
              <w:t>Option C estimates Demand Reduction Values by analyzing the overall energy use in a facility and identifying the impact of the implemented measures on the total building or facility energy use patterns. The evaluation of whole-building or facility level metered data may be completed using techniques ranging from billing comparisons to multivariate regression analysis.</w:t>
            </w:r>
          </w:p>
        </w:tc>
      </w:tr>
      <w:tr w:rsidR="00430880" w:rsidTr="00A37247">
        <w:tc>
          <w:tcPr>
            <w:tcW w:w="8748" w:type="dxa"/>
          </w:tcPr>
          <w:p w:rsidR="00430880" w:rsidRPr="00A37247" w:rsidRDefault="00430880" w:rsidP="00A37247">
            <w:pPr>
              <w:tabs>
                <w:tab w:val="left" w:pos="2232"/>
                <w:tab w:val="left" w:pos="2880"/>
                <w:tab w:val="left" w:pos="3600"/>
                <w:tab w:val="left" w:pos="4320"/>
                <w:tab w:val="left" w:pos="5040"/>
                <w:tab w:val="left" w:pos="5760"/>
                <w:tab w:val="left" w:pos="6480"/>
                <w:tab w:val="left" w:pos="7200"/>
                <w:tab w:val="left" w:pos="7920"/>
                <w:tab w:val="left" w:pos="8640"/>
              </w:tabs>
              <w:spacing w:before="40" w:after="20"/>
              <w:ind w:left="2142" w:hanging="2142"/>
              <w:rPr>
                <w:b/>
                <w:sz w:val="22"/>
              </w:rPr>
            </w:pPr>
            <w:r w:rsidRPr="00A37247">
              <w:rPr>
                <w:b/>
                <w:sz w:val="22"/>
              </w:rPr>
              <w:t>021-3.6.1.4</w:t>
            </w:r>
            <w:r w:rsidRPr="00A37247">
              <w:rPr>
                <w:b/>
                <w:sz w:val="22"/>
              </w:rPr>
              <w:tab/>
            </w:r>
            <w:r w:rsidRPr="00A37247">
              <w:rPr>
                <w:b/>
                <w:strike/>
                <w:color w:val="FF0000"/>
                <w:sz w:val="22"/>
              </w:rPr>
              <w:t xml:space="preserve">IPMVP </w:t>
            </w:r>
            <w:r w:rsidRPr="00A37247">
              <w:rPr>
                <w:b/>
                <w:sz w:val="22"/>
              </w:rPr>
              <w:t>Option D: Calibrated Simulation.</w:t>
            </w:r>
          </w:p>
          <w:p w:rsidR="00430880" w:rsidRPr="00A37247" w:rsidRDefault="00430880" w:rsidP="00A37247">
            <w:pPr>
              <w:tabs>
                <w:tab w:val="left" w:pos="2232"/>
                <w:tab w:val="left" w:pos="2880"/>
                <w:tab w:val="left" w:pos="3600"/>
                <w:tab w:val="left" w:pos="4320"/>
                <w:tab w:val="left" w:pos="5040"/>
                <w:tab w:val="left" w:pos="5760"/>
                <w:tab w:val="left" w:pos="6480"/>
                <w:tab w:val="left" w:pos="7200"/>
                <w:tab w:val="left" w:pos="7920"/>
                <w:tab w:val="left" w:pos="8640"/>
              </w:tabs>
              <w:spacing w:before="40" w:after="20"/>
              <w:ind w:left="2142"/>
              <w:rPr>
                <w:sz w:val="22"/>
              </w:rPr>
            </w:pPr>
            <w:r w:rsidRPr="00A37247">
              <w:rPr>
                <w:strike/>
                <w:color w:val="FF0000"/>
                <w:sz w:val="22"/>
              </w:rPr>
              <w:t xml:space="preserve">IPMVP </w:t>
            </w:r>
            <w:r w:rsidRPr="00A37247">
              <w:rPr>
                <w:sz w:val="22"/>
              </w:rPr>
              <w:t>Option D involves calibrated computer simulation models of component or whole-building demand and energy usage to determine measure demand and energy savings.  Engineering simulation models (such as DOE-2) can be used to model both residential buildings (homes, apartments and condominiums) as well as more complex commercial buildings.  Operational simulations can be used for industrial processes that take into account the specifics of the process addressed by the energy efficiency actions.  Both engineering and operational simulations are made more powerful by calibrating these methods to actual MW and MWh data from the site or process being examined, even if these data are available for a monitoring period shorter than or different from the required performance hours.  Short-term metering and monitoring are methods that produce data that can be used to adjust engineering simulations.  This approach is generally termed "calibrated engineering simulations."  Linking simulation inputs to baseline and post-installation conditions completes the calibration.  Characterizing baseline and post-installation conditions may involve metering performance and operating factors both before and after the retrofit.  Long-term whole-building energy use data may be used to calibrate the simulations.</w:t>
            </w:r>
          </w:p>
        </w:tc>
      </w:tr>
      <w:tr w:rsidR="00430880" w:rsidTr="00A37247">
        <w:trPr>
          <w:cantSplit/>
        </w:trPr>
        <w:tc>
          <w:tcPr>
            <w:tcW w:w="8748" w:type="dxa"/>
          </w:tcPr>
          <w:p w:rsidR="00430880" w:rsidRPr="00A37247" w:rsidRDefault="00430880" w:rsidP="00A37247">
            <w:pPr>
              <w:tabs>
                <w:tab w:val="left" w:pos="2232"/>
                <w:tab w:val="left" w:pos="2880"/>
                <w:tab w:val="left" w:pos="3600"/>
                <w:tab w:val="left" w:pos="4320"/>
                <w:tab w:val="left" w:pos="5040"/>
                <w:tab w:val="left" w:pos="5760"/>
                <w:tab w:val="left" w:pos="6480"/>
                <w:tab w:val="left" w:pos="7200"/>
                <w:tab w:val="left" w:pos="7920"/>
                <w:tab w:val="left" w:pos="8640"/>
              </w:tabs>
              <w:spacing w:before="40" w:after="20"/>
              <w:ind w:left="2142" w:hanging="2142"/>
              <w:rPr>
                <w:b/>
                <w:sz w:val="22"/>
              </w:rPr>
            </w:pPr>
            <w:r w:rsidRPr="00A37247">
              <w:rPr>
                <w:b/>
                <w:sz w:val="22"/>
              </w:rPr>
              <w:t>021-3.6.2</w:t>
            </w:r>
            <w:r w:rsidRPr="00A37247">
              <w:rPr>
                <w:b/>
                <w:sz w:val="22"/>
              </w:rPr>
              <w:tab/>
              <w:t xml:space="preserve">Alternative Acceptable M&amp;V Methodologies.  </w:t>
            </w:r>
          </w:p>
          <w:p w:rsidR="00430880" w:rsidRPr="00A37247" w:rsidRDefault="00430880" w:rsidP="00A37247">
            <w:pPr>
              <w:tabs>
                <w:tab w:val="left" w:pos="2232"/>
                <w:tab w:val="left" w:pos="2880"/>
                <w:tab w:val="left" w:pos="3600"/>
                <w:tab w:val="left" w:pos="4320"/>
                <w:tab w:val="left" w:pos="5040"/>
                <w:tab w:val="left" w:pos="5760"/>
                <w:tab w:val="left" w:pos="6480"/>
                <w:tab w:val="left" w:pos="7200"/>
                <w:tab w:val="left" w:pos="7920"/>
                <w:tab w:val="left" w:pos="8640"/>
              </w:tabs>
              <w:spacing w:before="40" w:after="20"/>
              <w:ind w:left="2142"/>
              <w:rPr>
                <w:sz w:val="22"/>
              </w:rPr>
            </w:pPr>
            <w:r w:rsidRPr="00A37247">
              <w:rPr>
                <w:sz w:val="22"/>
              </w:rPr>
              <w:t xml:space="preserve">The EERP may propose alternative or supplemental methodologies to the </w:t>
            </w:r>
            <w:r w:rsidRPr="00A37247">
              <w:rPr>
                <w:strike/>
                <w:color w:val="FF0000"/>
                <w:sz w:val="22"/>
              </w:rPr>
              <w:t xml:space="preserve">IPMVP </w:t>
            </w:r>
            <w:r w:rsidRPr="00A37247">
              <w:rPr>
                <w:color w:val="FF0000"/>
                <w:sz w:val="22"/>
                <w:u w:val="single"/>
              </w:rPr>
              <w:t>standard</w:t>
            </w:r>
            <w:r w:rsidRPr="00A37247">
              <w:rPr>
                <w:sz w:val="22"/>
              </w:rPr>
              <w:t xml:space="preserve"> options listed in the section WEQ-021-3.6.1.  EERPs proposing alternative methodologies shall demonstrate that the alternative methodologies will be equivalent to one of the</w:t>
            </w:r>
            <w:r w:rsidRPr="00A37247">
              <w:rPr>
                <w:strike/>
                <w:color w:val="FF0000"/>
                <w:sz w:val="22"/>
              </w:rPr>
              <w:t xml:space="preserve"> IPMVP </w:t>
            </w:r>
            <w:r w:rsidRPr="00A37247">
              <w:rPr>
                <w:color w:val="FF0000"/>
                <w:sz w:val="22"/>
                <w:u w:val="single"/>
              </w:rPr>
              <w:t>standard</w:t>
            </w:r>
            <w:r w:rsidRPr="00A37247">
              <w:rPr>
                <w:color w:val="FF0000"/>
                <w:sz w:val="22"/>
              </w:rPr>
              <w:t xml:space="preserve"> </w:t>
            </w:r>
            <w:r w:rsidRPr="00A37247">
              <w:rPr>
                <w:sz w:val="22"/>
              </w:rPr>
              <w:t xml:space="preserve">methodologies described in section WEQ-021-3.6.1.  Alternative or supplemental methodologies shall be appropriate to the measure type and sensitivity requirements of the measurement techniques.  EERP will demonstrate justifiable need for deviation from the </w:t>
            </w:r>
            <w:r w:rsidRPr="00A37247">
              <w:rPr>
                <w:strike/>
                <w:color w:val="FF0000"/>
                <w:sz w:val="22"/>
              </w:rPr>
              <w:t xml:space="preserve">IMPVP </w:t>
            </w:r>
            <w:r w:rsidRPr="00A37247">
              <w:rPr>
                <w:color w:val="FF0000"/>
                <w:sz w:val="22"/>
                <w:u w:val="single"/>
              </w:rPr>
              <w:t>standard</w:t>
            </w:r>
            <w:r w:rsidRPr="00A37247">
              <w:rPr>
                <w:sz w:val="22"/>
              </w:rPr>
              <w:t xml:space="preserve"> methodologies described in the Section above based on unique project requirements.</w:t>
            </w:r>
          </w:p>
        </w:tc>
      </w:tr>
      <w:tr w:rsidR="00430880" w:rsidTr="00A37247">
        <w:tc>
          <w:tcPr>
            <w:tcW w:w="8748" w:type="dxa"/>
          </w:tcPr>
          <w:p w:rsidR="00430880" w:rsidRPr="00A37247" w:rsidRDefault="00430880" w:rsidP="00A37247">
            <w:pPr>
              <w:tabs>
                <w:tab w:val="left" w:pos="2232"/>
                <w:tab w:val="left" w:pos="2880"/>
                <w:tab w:val="left" w:pos="3600"/>
                <w:tab w:val="left" w:pos="4320"/>
                <w:tab w:val="left" w:pos="5040"/>
                <w:tab w:val="left" w:pos="5760"/>
                <w:tab w:val="left" w:pos="6480"/>
                <w:tab w:val="left" w:pos="7200"/>
                <w:tab w:val="left" w:pos="7920"/>
                <w:tab w:val="left" w:pos="8640"/>
              </w:tabs>
              <w:spacing w:before="40" w:after="20"/>
              <w:ind w:left="2142" w:hanging="2142"/>
              <w:rPr>
                <w:b/>
                <w:sz w:val="22"/>
              </w:rPr>
            </w:pPr>
            <w:r w:rsidRPr="00A37247">
              <w:rPr>
                <w:b/>
                <w:sz w:val="22"/>
              </w:rPr>
              <w:t>021-3.11.1.12</w:t>
            </w:r>
            <w:r w:rsidRPr="00A37247">
              <w:rPr>
                <w:b/>
                <w:sz w:val="22"/>
              </w:rPr>
              <w:tab/>
            </w:r>
            <w:r w:rsidRPr="00A37247">
              <w:rPr>
                <w:sz w:val="22"/>
              </w:rPr>
              <w:t xml:space="preserve">All measurement, monitoring and data recording equipment shall be calibrated by the EERP, independent calibration contractor, or designee, to meet or exceed </w:t>
            </w:r>
            <w:r w:rsidRPr="00A37247">
              <w:rPr>
                <w:strike/>
                <w:color w:val="FF0000"/>
                <w:sz w:val="22"/>
              </w:rPr>
              <w:t xml:space="preserve">the IPMVP, </w:t>
            </w:r>
            <w:r w:rsidRPr="00A37247">
              <w:rPr>
                <w:sz w:val="22"/>
              </w:rPr>
              <w:t>the US DOE Federal Energy Management Program (“FEMP”) M&amp;V guidelines,  applicable American Society of Heating, Refrigeration and Air Conditioning Engineers (“ASHRAE”) standards, NIST, or equivalent standard for the equipment.</w:t>
            </w:r>
          </w:p>
        </w:tc>
      </w:tr>
    </w:tbl>
    <w:p w:rsidR="00430880" w:rsidRDefault="00430880">
      <w:pPr>
        <w:numPr>
          <w:ilvl w:val="0"/>
          <w:numId w:val="2"/>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Pr>
          <w:sz w:val="22"/>
        </w:rPr>
        <w:t>Reason for of Minor Correction/Clarification: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tblGrid>
      <w:tr w:rsidR="00430880" w:rsidTr="00A37247">
        <w:tc>
          <w:tcPr>
            <w:tcW w:w="8748" w:type="dxa"/>
            <w:tcBorders>
              <w:top w:val="nil"/>
              <w:left w:val="nil"/>
              <w:bottom w:val="nil"/>
              <w:right w:val="nil"/>
            </w:tcBorders>
          </w:tcPr>
          <w:p w:rsidR="00430880" w:rsidRPr="00A37247" w:rsidRDefault="0043088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International Performance Measurement and Verification Protocol (IPMVP) is a registered trademark.  The Wholesale Electric Quadrant does not want to introduce confusion to the NAESB Business Practice Standard by referencing an</w:t>
            </w:r>
            <w:r>
              <w:rPr>
                <w:sz w:val="22"/>
              </w:rPr>
              <w:t>o</w:t>
            </w:r>
            <w:r w:rsidRPr="00A37247">
              <w:rPr>
                <w:sz w:val="22"/>
              </w:rPr>
              <w:t>ther organization’s standard and protocols that may change and represents concepts differently tha</w:t>
            </w:r>
            <w:r>
              <w:rPr>
                <w:sz w:val="22"/>
              </w:rPr>
              <w:t>n</w:t>
            </w:r>
            <w:r w:rsidRPr="00A37247">
              <w:rPr>
                <w:sz w:val="22"/>
              </w:rPr>
              <w:t xml:space="preserve"> what the NAESB process intended.  This minor correction will also align the REQ and WEQ energy efficiency standards consistent with the Board directive.  </w:t>
            </w:r>
          </w:p>
        </w:tc>
      </w:tr>
    </w:tbl>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sz w:val="22"/>
        </w:rPr>
      </w:pPr>
    </w:p>
    <w:sectPr w:rsidR="00430880" w:rsidSect="002C18AE">
      <w:headerReference w:type="default" r:id="rId8"/>
      <w:footerReference w:type="default" r:id="rId9"/>
      <w:endnotePr>
        <w:numFmt w:val="decimal"/>
      </w:endnotePr>
      <w:pgSz w:w="12240" w:h="15840"/>
      <w:pgMar w:top="2160" w:right="1440" w:bottom="1440" w:left="1440" w:header="720" w:footer="720"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880" w:rsidRDefault="00430880">
      <w:r>
        <w:separator/>
      </w:r>
    </w:p>
  </w:endnote>
  <w:endnote w:type="continuationSeparator" w:id="0">
    <w:p w:rsidR="00430880" w:rsidRDefault="00430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880" w:rsidRDefault="00430880">
    <w:pPr>
      <w:pStyle w:val="Footer"/>
      <w:jc w:val="right"/>
      <w:rPr>
        <w:i/>
        <w:sz w:val="18"/>
        <w:szCs w:val="18"/>
      </w:rPr>
    </w:pPr>
    <w:r>
      <w:rPr>
        <w:i/>
        <w:sz w:val="18"/>
        <w:szCs w:val="18"/>
      </w:rPr>
      <w:t>Revised April 3, 2012</w:t>
    </w:r>
  </w:p>
  <w:p w:rsidR="00430880" w:rsidRDefault="00430880">
    <w:pPr>
      <w:pStyle w:val="Footer"/>
      <w:jc w:val="right"/>
      <w:rPr>
        <w:i/>
        <w:sz w:val="18"/>
        <w:szCs w:val="18"/>
      </w:rPr>
    </w:pPr>
  </w:p>
  <w:p w:rsidR="00430880" w:rsidRDefault="00430880">
    <w:pPr>
      <w:pStyle w:val="Footer"/>
      <w:jc w:val="right"/>
      <w:rPr>
        <w: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880" w:rsidRDefault="00430880">
      <w:r>
        <w:separator/>
      </w:r>
    </w:p>
  </w:footnote>
  <w:footnote w:type="continuationSeparator" w:id="0">
    <w:p w:rsidR="00430880" w:rsidRDefault="00430880">
      <w:r>
        <w:continuationSeparator/>
      </w:r>
    </w:p>
  </w:footnote>
  <w:footnote w:id="1">
    <w:p w:rsidR="00430880" w:rsidRDefault="00430880">
      <w:pPr>
        <w:pStyle w:val="FootnoteText"/>
      </w:pPr>
      <w:r>
        <w:rPr>
          <w:rStyle w:val="FootnoteReference"/>
          <w:sz w:val="18"/>
          <w:szCs w:val="18"/>
          <w:vertAlign w:val="superscript"/>
        </w:rPr>
        <w:footnoteRef/>
      </w:r>
      <w:r>
        <w:rPr>
          <w:rStyle w:val="FootnoteReference"/>
          <w:sz w:val="18"/>
          <w:szCs w:val="18"/>
        </w:rPr>
        <w:t xml:space="preserve"> </w:t>
      </w:r>
      <w:r>
        <w:rPr>
          <w:sz w:val="18"/>
          <w:szCs w:val="18"/>
        </w:rPr>
        <w:t xml:space="preserve">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Pr>
        <w:b/>
        <w:sz w:val="36"/>
        <w:szCs w:val="36"/>
      </w:rPr>
      <w:t>MC12020</w:t>
    </w:r>
  </w:p>
  <w:p w:rsidR="00430880" w:rsidRPr="0098006B"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98006B">
      <w:rPr>
        <w:b/>
        <w:sz w:val="22"/>
        <w:szCs w:val="22"/>
      </w:rPr>
      <w:t>As approved by the WEQ Executive Committee via notational ballot on June 15, 2012.</w:t>
    </w: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North American Energy Standards Board</w:t>
    </w: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Request for Minor Correction/Clarification of a NAESB Business Practice Standard, Model Business Practice or Electronic Transaction</w:t>
    </w:r>
  </w:p>
  <w:p w:rsidR="00430880" w:rsidRDefault="00430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A7FDA"/>
    <w:multiLevelType w:val="hybridMultilevel"/>
    <w:tmpl w:val="E84C5D44"/>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F986FE7"/>
    <w:multiLevelType w:val="hybridMultilevel"/>
    <w:tmpl w:val="78A6F03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18AE"/>
    <w:rsid w:val="000753D5"/>
    <w:rsid w:val="002C18AE"/>
    <w:rsid w:val="00430880"/>
    <w:rsid w:val="0098006B"/>
    <w:rsid w:val="00A37247"/>
    <w:rsid w:val="00B6228D"/>
    <w:rsid w:val="00BE32DE"/>
    <w:rsid w:val="00D70E44"/>
    <w:rsid w:val="00DF67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8AE"/>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18AE"/>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BalloonText">
    <w:name w:val="Balloon Text"/>
    <w:basedOn w:val="Normal"/>
    <w:link w:val="BalloonTextChar"/>
    <w:uiPriority w:val="99"/>
    <w:semiHidden/>
    <w:rsid w:val="002C18A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Hyperlink">
    <w:name w:val="Hyperlink"/>
    <w:basedOn w:val="DefaultParagraphFont"/>
    <w:uiPriority w:val="99"/>
    <w:rsid w:val="002C18AE"/>
    <w:rPr>
      <w:rFonts w:cs="Times New Roman"/>
      <w:color w:val="0000FF"/>
      <w:u w:val="single"/>
    </w:rPr>
  </w:style>
  <w:style w:type="paragraph" w:styleId="Footer">
    <w:name w:val="footer"/>
    <w:basedOn w:val="Normal"/>
    <w:link w:val="FooterChar"/>
    <w:uiPriority w:val="99"/>
    <w:rsid w:val="002C18AE"/>
    <w:pPr>
      <w:tabs>
        <w:tab w:val="center" w:pos="4320"/>
        <w:tab w:val="right" w:pos="8640"/>
      </w:tabs>
    </w:pPr>
  </w:style>
  <w:style w:type="character" w:customStyle="1" w:styleId="FooterChar">
    <w:name w:val="Footer Char"/>
    <w:basedOn w:val="DefaultParagraphFont"/>
    <w:link w:val="Footer"/>
    <w:uiPriority w:val="99"/>
    <w:locked/>
    <w:rsid w:val="002C18AE"/>
    <w:rPr>
      <w:rFonts w:cs="Times New Roman"/>
    </w:rPr>
  </w:style>
  <w:style w:type="paragraph" w:styleId="FootnoteText">
    <w:name w:val="footnote text"/>
    <w:basedOn w:val="Normal"/>
    <w:link w:val="FootnoteTextChar"/>
    <w:uiPriority w:val="99"/>
    <w:semiHidden/>
    <w:rsid w:val="002C18AE"/>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2C18AE"/>
    <w:rPr>
      <w:rFonts w:cs="Times New Roman"/>
    </w:rPr>
  </w:style>
  <w:style w:type="table" w:styleId="TableGrid">
    <w:name w:val="Table Grid"/>
    <w:basedOn w:val="TableNormal"/>
    <w:uiPriority w:val="99"/>
    <w:rsid w:val="002C18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winkler@iso-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6</Pages>
  <Words>1693</Words>
  <Characters>9653</Characters>
  <Application>Microsoft Office Outlook</Application>
  <DocSecurity>0</DocSecurity>
  <Lines>0</Lines>
  <Paragraphs>0</Paragraphs>
  <ScaleCrop>false</ScaleCrop>
  <Company>Tenneco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Winkler</dc:creator>
  <cp:keywords/>
  <dc:description/>
  <cp:lastModifiedBy>Denise Rager</cp:lastModifiedBy>
  <cp:revision>6</cp:revision>
  <cp:lastPrinted>2012-05-30T12:25:00Z</cp:lastPrinted>
  <dcterms:created xsi:type="dcterms:W3CDTF">2012-05-30T17:40:00Z</dcterms:created>
  <dcterms:modified xsi:type="dcterms:W3CDTF">2012-06-18T16:21:00Z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