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22199814"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F140C6">
              <w:rPr>
                <w:rFonts w:ascii="Times New Roman" w:hAnsi="Times New Roman"/>
                <w:b/>
                <w:sz w:val="18"/>
                <w:szCs w:val="18"/>
              </w:rPr>
              <w:t>6</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F140C6">
              <w:rPr>
                <w:rFonts w:ascii="Times New Roman" w:hAnsi="Times New Roman"/>
                <w:b/>
                <w:sz w:val="18"/>
                <w:szCs w:val="18"/>
              </w:rPr>
              <w:t>Proposed by the WEQ Annual Plan Subcommittee on October 8, 2025</w:t>
            </w:r>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40F5B0AB"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134523" w:rsidRPr="00000A28" w14:paraId="21A420AA" w14:textId="77777777" w:rsidTr="009412E8">
        <w:tc>
          <w:tcPr>
            <w:tcW w:w="360" w:type="dxa"/>
          </w:tcPr>
          <w:p w14:paraId="67510849" w14:textId="77777777" w:rsidR="00134523" w:rsidRPr="00000A28" w:rsidRDefault="00134523" w:rsidP="00DF6A90">
            <w:pPr>
              <w:pStyle w:val="TableText"/>
              <w:widowControl w:val="0"/>
              <w:spacing w:before="40" w:after="40"/>
              <w:ind w:left="144"/>
              <w:rPr>
                <w:rFonts w:ascii="Times New Roman" w:hAnsi="Times New Roman"/>
                <w:color w:val="auto"/>
                <w:sz w:val="18"/>
                <w:szCs w:val="18"/>
              </w:rPr>
            </w:pPr>
          </w:p>
        </w:tc>
        <w:tc>
          <w:tcPr>
            <w:tcW w:w="359" w:type="dxa"/>
          </w:tcPr>
          <w:p w14:paraId="2AB7B429" w14:textId="192EB108" w:rsidR="00134523" w:rsidRDefault="0013452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33B68F5" w14:textId="116AD88A"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sidRPr="00134523">
              <w:rPr>
                <w:rFonts w:ascii="Times New Roman" w:hAnsi="Times New Roman"/>
                <w:sz w:val="18"/>
                <w:szCs w:val="18"/>
              </w:rPr>
              <w:t xml:space="preserve">Consider and develop business practice standards for cybersecurity vulnerability disclosures, such as software supply chain risks, including those to support industry implementation of FERC </w:t>
            </w:r>
            <w:r w:rsidR="00012065">
              <w:rPr>
                <w:rFonts w:ascii="Times New Roman" w:hAnsi="Times New Roman"/>
                <w:sz w:val="18"/>
                <w:szCs w:val="18"/>
              </w:rPr>
              <w:t>Order No. 912</w:t>
            </w:r>
            <w:r w:rsidR="003F6B24">
              <w:rPr>
                <w:rFonts w:ascii="Times New Roman" w:hAnsi="Times New Roman"/>
                <w:sz w:val="18"/>
                <w:szCs w:val="18"/>
              </w:rPr>
              <w:t xml:space="preserve"> </w:t>
            </w:r>
            <w:r w:rsidRPr="00134523">
              <w:rPr>
                <w:rFonts w:ascii="Times New Roman" w:hAnsi="Times New Roman"/>
                <w:sz w:val="18"/>
                <w:szCs w:val="18"/>
              </w:rPr>
              <w:t>in Docket Nos. RM24-4-000 and RM20-19-000</w:t>
            </w:r>
          </w:p>
          <w:p w14:paraId="648741FD" w14:textId="53955824"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33FB707C" w14:textId="3E3C10C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134523">
              <w:rPr>
                <w:rFonts w:ascii="Times New Roman" w:hAnsi="Times New Roman"/>
                <w:color w:val="auto"/>
                <w:sz w:val="18"/>
                <w:szCs w:val="18"/>
                <w:vertAlign w:val="superscript"/>
              </w:rPr>
              <w:t>rd</w:t>
            </w:r>
            <w:r>
              <w:rPr>
                <w:rFonts w:ascii="Times New Roman" w:hAnsi="Times New Roman"/>
                <w:color w:val="auto"/>
                <w:sz w:val="18"/>
                <w:szCs w:val="18"/>
              </w:rPr>
              <w:t xml:space="preserve"> Q, 2026</w:t>
            </w:r>
          </w:p>
        </w:tc>
        <w:tc>
          <w:tcPr>
            <w:tcW w:w="1637" w:type="dxa"/>
          </w:tcPr>
          <w:p w14:paraId="50171C43" w14:textId="5A5AB08E"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 and Cybersecurity Subcommittee</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134523" w:rsidRPr="00000A28" w14:paraId="21F2FD11" w14:textId="77777777" w:rsidTr="009412E8">
        <w:trPr>
          <w:trHeight w:val="503"/>
        </w:trPr>
        <w:tc>
          <w:tcPr>
            <w:tcW w:w="360" w:type="dxa"/>
          </w:tcPr>
          <w:p w14:paraId="35032C77" w14:textId="77777777" w:rsidR="00134523" w:rsidRPr="00000A28" w:rsidRDefault="00134523" w:rsidP="00E31F29">
            <w:pPr>
              <w:pStyle w:val="TableText"/>
              <w:widowControl w:val="0"/>
              <w:spacing w:before="40" w:after="40"/>
              <w:ind w:left="144"/>
              <w:rPr>
                <w:rFonts w:ascii="Times New Roman" w:hAnsi="Times New Roman"/>
                <w:color w:val="auto"/>
                <w:sz w:val="18"/>
                <w:szCs w:val="18"/>
              </w:rPr>
            </w:pPr>
          </w:p>
        </w:tc>
        <w:tc>
          <w:tcPr>
            <w:tcW w:w="359" w:type="dxa"/>
          </w:tcPr>
          <w:p w14:paraId="55CDA2AD" w14:textId="4E32CDB9" w:rsidR="00134523" w:rsidRDefault="00134523" w:rsidP="00E31F29">
            <w:pPr>
              <w:widowControl w:val="0"/>
              <w:spacing w:before="40" w:after="40"/>
              <w:ind w:left="144"/>
              <w:rPr>
                <w:sz w:val="18"/>
                <w:szCs w:val="18"/>
              </w:rPr>
            </w:pPr>
            <w:r>
              <w:rPr>
                <w:sz w:val="18"/>
                <w:szCs w:val="18"/>
              </w:rPr>
              <w:t>a)</w:t>
            </w:r>
          </w:p>
        </w:tc>
        <w:tc>
          <w:tcPr>
            <w:tcW w:w="6106" w:type="dxa"/>
            <w:gridSpan w:val="2"/>
          </w:tcPr>
          <w:p w14:paraId="76325634" w14:textId="527F0F74" w:rsidR="00134523" w:rsidRDefault="00134523" w:rsidP="00E31F29">
            <w:pPr>
              <w:widowControl w:val="0"/>
              <w:spacing w:before="40" w:after="40"/>
              <w:ind w:left="144"/>
              <w:rPr>
                <w:sz w:val="18"/>
                <w:szCs w:val="18"/>
              </w:rPr>
            </w:pPr>
            <w:r w:rsidRPr="00134523">
              <w:rPr>
                <w:sz w:val="18"/>
                <w:szCs w:val="18"/>
              </w:rPr>
              <w:t>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4CE6B1B2" w14:textId="791D7827" w:rsidR="00134523" w:rsidRDefault="00134523" w:rsidP="00E31F29">
            <w:pPr>
              <w:widowControl w:val="0"/>
              <w:spacing w:before="40" w:after="40"/>
              <w:ind w:left="144"/>
              <w:rPr>
                <w:sz w:val="18"/>
                <w:szCs w:val="18"/>
              </w:rPr>
            </w:pPr>
            <w:r>
              <w:rPr>
                <w:sz w:val="18"/>
                <w:szCs w:val="18"/>
              </w:rPr>
              <w:t>Status: Not Started</w:t>
            </w:r>
          </w:p>
        </w:tc>
        <w:tc>
          <w:tcPr>
            <w:tcW w:w="1168" w:type="dxa"/>
          </w:tcPr>
          <w:p w14:paraId="493BD441" w14:textId="0A46B2F8" w:rsidR="00134523" w:rsidRDefault="00012065"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p>
        </w:tc>
        <w:tc>
          <w:tcPr>
            <w:tcW w:w="1637" w:type="dxa"/>
          </w:tcPr>
          <w:p w14:paraId="174A8C3F" w14:textId="5B02619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 BPS, and OASIS Subcommittee</w:t>
            </w:r>
          </w:p>
        </w:tc>
      </w:tr>
      <w:tr w:rsidR="0070345A" w:rsidRPr="00000A28" w14:paraId="7804E1E8" w14:textId="77777777" w:rsidTr="009412E8">
        <w:trPr>
          <w:trHeight w:val="503"/>
        </w:trPr>
        <w:tc>
          <w:tcPr>
            <w:tcW w:w="360" w:type="dxa"/>
          </w:tcPr>
          <w:p w14:paraId="78677604" w14:textId="77777777" w:rsidR="0070345A" w:rsidRPr="00000A28" w:rsidRDefault="0070345A" w:rsidP="00E31F29">
            <w:pPr>
              <w:pStyle w:val="TableText"/>
              <w:widowControl w:val="0"/>
              <w:spacing w:before="40" w:after="40"/>
              <w:ind w:left="144"/>
              <w:rPr>
                <w:rFonts w:ascii="Times New Roman" w:hAnsi="Times New Roman"/>
                <w:color w:val="auto"/>
                <w:sz w:val="18"/>
                <w:szCs w:val="18"/>
              </w:rPr>
            </w:pPr>
          </w:p>
        </w:tc>
        <w:tc>
          <w:tcPr>
            <w:tcW w:w="359" w:type="dxa"/>
          </w:tcPr>
          <w:p w14:paraId="3427617A" w14:textId="596400AE" w:rsidR="0070345A" w:rsidRDefault="0070345A" w:rsidP="00E31F29">
            <w:pPr>
              <w:widowControl w:val="0"/>
              <w:spacing w:before="40" w:after="40"/>
              <w:ind w:left="144"/>
              <w:rPr>
                <w:sz w:val="18"/>
                <w:szCs w:val="18"/>
              </w:rPr>
            </w:pPr>
            <w:r>
              <w:rPr>
                <w:sz w:val="18"/>
                <w:szCs w:val="18"/>
              </w:rPr>
              <w:t>b)</w:t>
            </w:r>
          </w:p>
        </w:tc>
        <w:tc>
          <w:tcPr>
            <w:tcW w:w="6106" w:type="dxa"/>
            <w:gridSpan w:val="2"/>
          </w:tcPr>
          <w:p w14:paraId="0464EA60" w14:textId="77777777" w:rsidR="0070345A" w:rsidRDefault="0070345A" w:rsidP="00E31F29">
            <w:pPr>
              <w:widowControl w:val="0"/>
              <w:spacing w:before="40" w:after="40"/>
              <w:ind w:left="144"/>
              <w:rPr>
                <w:sz w:val="18"/>
                <w:szCs w:val="18"/>
              </w:rPr>
            </w:pPr>
            <w:r>
              <w:rPr>
                <w:sz w:val="18"/>
                <w:szCs w:val="18"/>
              </w:rPr>
              <w:t>Review the WEQ OASIS Business Practice Standards for needed modifications based on implementation and operational experiences since the adoption of WEQ Version 004</w:t>
            </w:r>
          </w:p>
          <w:p w14:paraId="65D3600E" w14:textId="663CF817" w:rsidR="0070345A" w:rsidRPr="00134523" w:rsidRDefault="0070345A" w:rsidP="00E31F29">
            <w:pPr>
              <w:widowControl w:val="0"/>
              <w:spacing w:before="40" w:after="40"/>
              <w:ind w:left="144"/>
              <w:rPr>
                <w:sz w:val="18"/>
                <w:szCs w:val="18"/>
              </w:rPr>
            </w:pPr>
            <w:r>
              <w:rPr>
                <w:sz w:val="18"/>
                <w:szCs w:val="18"/>
              </w:rPr>
              <w:t>Status: Not Started</w:t>
            </w:r>
          </w:p>
        </w:tc>
        <w:tc>
          <w:tcPr>
            <w:tcW w:w="1168" w:type="dxa"/>
          </w:tcPr>
          <w:p w14:paraId="7918F803" w14:textId="6DD3800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p>
        </w:tc>
        <w:tc>
          <w:tcPr>
            <w:tcW w:w="1637" w:type="dxa"/>
          </w:tcPr>
          <w:p w14:paraId="4DEF7FC1" w14:textId="6B39E1E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r w:rsidR="003F6B24">
              <w:rPr>
                <w:rFonts w:ascii="Times New Roman" w:hAnsi="Times New Roman"/>
                <w:color w:val="auto"/>
                <w:sz w:val="18"/>
                <w:szCs w:val="18"/>
              </w:rPr>
              <w:t xml:space="preserve"> Subcommittee</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4"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6032A879"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4"/>
      <w:tr w:rsidR="007F0ACD" w:rsidRPr="00000A28" w14:paraId="4BD9696D" w14:textId="77777777" w:rsidTr="0035094F">
        <w:trPr>
          <w:trHeight w:val="237"/>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lastRenderedPageBreak/>
              <w:t xml:space="preserve">Status: </w:t>
            </w:r>
            <w:r w:rsidR="00916784">
              <w:rPr>
                <w:sz w:val="18"/>
                <w:szCs w:val="18"/>
              </w:rPr>
              <w:t>Not Started</w:t>
            </w:r>
          </w:p>
        </w:tc>
        <w:tc>
          <w:tcPr>
            <w:tcW w:w="1168" w:type="dxa"/>
          </w:tcPr>
          <w:p w14:paraId="5D3B1836" w14:textId="741AE8C6"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lastRenderedPageBreak/>
              <w:t>3</w:t>
            </w:r>
            <w:r w:rsidR="00731EEA" w:rsidRPr="00731EEA">
              <w:rPr>
                <w:rFonts w:ascii="Times New Roman" w:hAnsi="Times New Roman"/>
                <w:color w:val="auto"/>
                <w:sz w:val="18"/>
                <w:szCs w:val="18"/>
                <w:vertAlign w:val="superscript"/>
              </w:rPr>
              <w:t>rd</w:t>
            </w:r>
            <w:r w:rsidR="00731EEA">
              <w:rPr>
                <w:rFonts w:ascii="Times New Roman" w:hAnsi="Times New Roman"/>
                <w:color w:val="auto"/>
                <w:sz w:val="18"/>
                <w:szCs w:val="18"/>
              </w:rPr>
              <w:t xml:space="preserve"> </w:t>
            </w:r>
            <w:r>
              <w:rPr>
                <w:rFonts w:ascii="Times New Roman" w:hAnsi="Times New Roman"/>
                <w:color w:val="auto"/>
                <w:sz w:val="18"/>
                <w:szCs w:val="18"/>
              </w:rPr>
              <w:t xml:space="preserve">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10A01D09"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6986AB3F"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6E648CF1"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00FA49BC" w14:textId="02DAD8A0"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r w:rsidR="00F821A6">
              <w:rPr>
                <w:rFonts w:ascii="Times New Roman" w:hAnsi="Times New Roman"/>
                <w:sz w:val="18"/>
                <w:szCs w:val="18"/>
              </w:rPr>
              <w:t>5</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227FD976"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012065">
              <w:rPr>
                <w:rFonts w:ascii="Times New Roman" w:hAnsi="Times New Roman"/>
                <w:sz w:val="18"/>
                <w:szCs w:val="18"/>
              </w:rPr>
              <w:t>6</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35094F">
        <w:tblPrEx>
          <w:tblBorders>
            <w:bottom w:val="single" w:sz="4" w:space="0" w:color="auto"/>
          </w:tblBorders>
        </w:tblPrEx>
        <w:trPr>
          <w:trHeight w:val="399"/>
        </w:trPr>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E1C2022"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Upon a request or as directed by NAESB Board or a relevant jurisdictional entity, consider developing</w:t>
            </w:r>
          </w:p>
          <w:p w14:paraId="78098DFE"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and/or modifying business practice standards that reflect best practices that will provide stronger operating</w:t>
            </w:r>
          </w:p>
          <w:p w14:paraId="21993AB8"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reliability from production/supply/transport during extreme weather conditions and more clear</w:t>
            </w:r>
          </w:p>
          <w:p w14:paraId="0E6E589F"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communications and business processes around force majeure declarations during critical operating</w:t>
            </w:r>
          </w:p>
          <w:p w14:paraId="5DD6CF44" w14:textId="7D4C94A1" w:rsidR="009412E8"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lastRenderedPageBreak/>
              <w:t>periods</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t>Wholesale Electric Quadrant Executive committee and Subcommittee Structure</w:t>
      </w:r>
    </w:p>
    <w:p w14:paraId="26FDDB82" w14:textId="5663DCFA"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636A82">
        <w:rPr>
          <w:b/>
          <w:sz w:val="18"/>
          <w:szCs w:val="18"/>
        </w:rPr>
        <w:t>6</w:t>
      </w:r>
      <w:r w:rsidR="00BC3827">
        <w:rPr>
          <w:b/>
          <w:sz w:val="18"/>
          <w:szCs w:val="18"/>
        </w:rPr>
        <w:t xml:space="preserve"> </w:t>
      </w:r>
      <w:r w:rsidR="002C55F4">
        <w:rPr>
          <w:b/>
          <w:sz w:val="18"/>
          <w:szCs w:val="18"/>
        </w:rPr>
        <w:t>WEQ EC and Subcommittee Leadership</w:t>
      </w:r>
      <w:r w:rsidR="002C55F4">
        <w:rPr>
          <w:sz w:val="18"/>
          <w:szCs w:val="18"/>
        </w:rPr>
        <w:t>:</w:t>
      </w:r>
    </w:p>
    <w:p w14:paraId="73DACE69" w14:textId="5A94B985"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p>
    <w:p w14:paraId="2C2D7739" w14:textId="169E1762" w:rsidR="002C55F4" w:rsidRDefault="002C55F4" w:rsidP="0031105E">
      <w:pPr>
        <w:pStyle w:val="BodyText"/>
        <w:spacing w:before="40" w:after="40"/>
        <w:ind w:left="187"/>
        <w:rPr>
          <w:sz w:val="18"/>
          <w:szCs w:val="18"/>
        </w:rPr>
      </w:pPr>
      <w:r>
        <w:rPr>
          <w:sz w:val="18"/>
          <w:szCs w:val="18"/>
        </w:rPr>
        <w:t xml:space="preserve">Standards Review Subcommittee (SRS):  </w:t>
      </w:r>
      <w:r w:rsidR="00F140C6">
        <w:rPr>
          <w:sz w:val="18"/>
          <w:szCs w:val="18"/>
        </w:rPr>
        <w:t>Chris Norton</w:t>
      </w:r>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35ECC83F"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Rob Arbitelle, Matt Schingle, J.T. Wood</w:t>
      </w:r>
      <w:r w:rsidR="001434F0">
        <w:rPr>
          <w:sz w:val="18"/>
          <w:szCs w:val="18"/>
        </w:rPr>
        <w:t xml:space="preserve"> and Mike Steigerwald</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lastRenderedPageBreak/>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C135" w14:textId="77777777" w:rsidR="002E273B" w:rsidRDefault="002E273B">
      <w:r>
        <w:separator/>
      </w:r>
    </w:p>
  </w:endnote>
  <w:endnote w:type="continuationSeparator" w:id="0">
    <w:p w14:paraId="707BE019" w14:textId="77777777" w:rsidR="002E273B" w:rsidRDefault="002E273B">
      <w:r>
        <w:continuationSeparator/>
      </w:r>
    </w:p>
  </w:endnote>
  <w:endnote w:id="1">
    <w:p w14:paraId="765E4ADE" w14:textId="6B17F736"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202</w:t>
      </w:r>
      <w:r w:rsidR="00636A82">
        <w:rPr>
          <w:b/>
          <w:sz w:val="18"/>
          <w:szCs w:val="18"/>
        </w:rPr>
        <w:t>6</w:t>
      </w:r>
      <w:r w:rsidR="000719CC">
        <w:rPr>
          <w:b/>
          <w:sz w:val="18"/>
          <w:szCs w:val="18"/>
        </w:rPr>
        <w:t xml:space="preserve">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004F5C9D" w:rsidR="00132086" w:rsidRPr="00BB5F70" w:rsidRDefault="003B5AE4" w:rsidP="00D15518">
    <w:pPr>
      <w:pStyle w:val="Footer"/>
      <w:pBdr>
        <w:top w:val="single" w:sz="4" w:space="1" w:color="auto"/>
      </w:pBdr>
      <w:jc w:val="right"/>
      <w:rPr>
        <w:color w:val="00B050"/>
        <w:sz w:val="18"/>
        <w:szCs w:val="18"/>
      </w:rPr>
    </w:pPr>
    <w:r>
      <w:rPr>
        <w:sz w:val="18"/>
        <w:szCs w:val="18"/>
      </w:rPr>
      <w:t>202</w:t>
    </w:r>
    <w:r w:rsidR="00F140C6">
      <w:rPr>
        <w:sz w:val="18"/>
        <w:szCs w:val="18"/>
      </w:rPr>
      <w:t>6</w:t>
    </w:r>
    <w:r w:rsidR="00132086">
      <w:rPr>
        <w:sz w:val="18"/>
        <w:szCs w:val="18"/>
      </w:rPr>
      <w:t xml:space="preserve"> WEQ Annual Plan </w:t>
    </w:r>
    <w:r w:rsidR="00F140C6">
      <w:rPr>
        <w:sz w:val="18"/>
        <w:szCs w:val="18"/>
      </w:rPr>
      <w:t>Proposed by the WEQ Annual Plan Subcommittee on October 8, 2025</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1DC7" w14:textId="77777777" w:rsidR="002E273B" w:rsidRDefault="002E273B">
      <w:r>
        <w:separator/>
      </w:r>
    </w:p>
  </w:footnote>
  <w:footnote w:type="continuationSeparator" w:id="0">
    <w:p w14:paraId="29233659" w14:textId="77777777" w:rsidR="002E273B" w:rsidRDefault="002E273B">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r>
      <w:rPr>
        <w:lang w:val="fr-FR"/>
      </w:rPr>
      <w:t>Phone: (713) 356-0060, Fax:  (713) 356-0067, E-mail: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790903237">
    <w:abstractNumId w:val="0"/>
  </w:num>
  <w:num w:numId="2" w16cid:durableId="677081199">
    <w:abstractNumId w:val="23"/>
  </w:num>
  <w:num w:numId="3" w16cid:durableId="630943507">
    <w:abstractNumId w:val="34"/>
  </w:num>
  <w:num w:numId="4" w16cid:durableId="1166936527">
    <w:abstractNumId w:val="31"/>
  </w:num>
  <w:num w:numId="5" w16cid:durableId="566648526">
    <w:abstractNumId w:val="35"/>
  </w:num>
  <w:num w:numId="6" w16cid:durableId="1644507166">
    <w:abstractNumId w:val="22"/>
  </w:num>
  <w:num w:numId="7" w16cid:durableId="1431854174">
    <w:abstractNumId w:val="24"/>
  </w:num>
  <w:num w:numId="8" w16cid:durableId="1167407954">
    <w:abstractNumId w:val="21"/>
  </w:num>
  <w:num w:numId="9" w16cid:durableId="1554271344">
    <w:abstractNumId w:val="6"/>
  </w:num>
  <w:num w:numId="10" w16cid:durableId="1141195138">
    <w:abstractNumId w:val="29"/>
  </w:num>
  <w:num w:numId="11" w16cid:durableId="1869484763">
    <w:abstractNumId w:val="16"/>
  </w:num>
  <w:num w:numId="12" w16cid:durableId="1094517303">
    <w:abstractNumId w:val="3"/>
  </w:num>
  <w:num w:numId="13" w16cid:durableId="298192711">
    <w:abstractNumId w:val="32"/>
  </w:num>
  <w:num w:numId="14" w16cid:durableId="1093016911">
    <w:abstractNumId w:val="19"/>
  </w:num>
  <w:num w:numId="15" w16cid:durableId="2034377838">
    <w:abstractNumId w:val="13"/>
  </w:num>
  <w:num w:numId="16" w16cid:durableId="1007052927">
    <w:abstractNumId w:val="9"/>
  </w:num>
  <w:num w:numId="17" w16cid:durableId="53703829">
    <w:abstractNumId w:val="20"/>
  </w:num>
  <w:num w:numId="18" w16cid:durableId="1013727701">
    <w:abstractNumId w:val="18"/>
  </w:num>
  <w:num w:numId="19" w16cid:durableId="1272980767">
    <w:abstractNumId w:val="1"/>
  </w:num>
  <w:num w:numId="20" w16cid:durableId="209613356">
    <w:abstractNumId w:val="25"/>
  </w:num>
  <w:num w:numId="21" w16cid:durableId="1012992008">
    <w:abstractNumId w:val="26"/>
  </w:num>
  <w:num w:numId="22" w16cid:durableId="1689409432">
    <w:abstractNumId w:val="5"/>
  </w:num>
  <w:num w:numId="23" w16cid:durableId="1950161583">
    <w:abstractNumId w:val="12"/>
  </w:num>
  <w:num w:numId="24" w16cid:durableId="1959989735">
    <w:abstractNumId w:val="15"/>
  </w:num>
  <w:num w:numId="25" w16cid:durableId="2077781684">
    <w:abstractNumId w:val="14"/>
  </w:num>
  <w:num w:numId="26" w16cid:durableId="1636526699">
    <w:abstractNumId w:val="8"/>
  </w:num>
  <w:num w:numId="27" w16cid:durableId="946350685">
    <w:abstractNumId w:val="36"/>
  </w:num>
  <w:num w:numId="28" w16cid:durableId="1268074375">
    <w:abstractNumId w:val="2"/>
  </w:num>
  <w:num w:numId="29" w16cid:durableId="368803287">
    <w:abstractNumId w:val="7"/>
  </w:num>
  <w:num w:numId="30" w16cid:durableId="1342854690">
    <w:abstractNumId w:val="10"/>
  </w:num>
  <w:num w:numId="31" w16cid:durableId="1685129374">
    <w:abstractNumId w:val="30"/>
  </w:num>
  <w:num w:numId="32" w16cid:durableId="458452681">
    <w:abstractNumId w:val="37"/>
  </w:num>
  <w:num w:numId="33" w16cid:durableId="798307221">
    <w:abstractNumId w:val="4"/>
  </w:num>
  <w:num w:numId="34" w16cid:durableId="1920941309">
    <w:abstractNumId w:val="27"/>
  </w:num>
  <w:num w:numId="35" w16cid:durableId="1556619137">
    <w:abstractNumId w:val="33"/>
  </w:num>
  <w:num w:numId="36" w16cid:durableId="914978645">
    <w:abstractNumId w:val="11"/>
  </w:num>
  <w:num w:numId="37" w16cid:durableId="529949346">
    <w:abstractNumId w:val="28"/>
  </w:num>
  <w:num w:numId="38" w16cid:durableId="165147252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065"/>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523"/>
    <w:rsid w:val="0013486B"/>
    <w:rsid w:val="00140605"/>
    <w:rsid w:val="001434F0"/>
    <w:rsid w:val="001437F8"/>
    <w:rsid w:val="00146814"/>
    <w:rsid w:val="00147724"/>
    <w:rsid w:val="00157285"/>
    <w:rsid w:val="00160507"/>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878"/>
    <w:rsid w:val="001F2A01"/>
    <w:rsid w:val="001F307A"/>
    <w:rsid w:val="001F323A"/>
    <w:rsid w:val="001F4548"/>
    <w:rsid w:val="001F536B"/>
    <w:rsid w:val="001F76EA"/>
    <w:rsid w:val="001F7CC7"/>
    <w:rsid w:val="00205375"/>
    <w:rsid w:val="00205BDA"/>
    <w:rsid w:val="00213024"/>
    <w:rsid w:val="0021358F"/>
    <w:rsid w:val="002163CE"/>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273B"/>
    <w:rsid w:val="002E36C4"/>
    <w:rsid w:val="002E48FF"/>
    <w:rsid w:val="002E5EBA"/>
    <w:rsid w:val="002E6D6F"/>
    <w:rsid w:val="002F067E"/>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5577"/>
    <w:rsid w:val="003465CD"/>
    <w:rsid w:val="0034766A"/>
    <w:rsid w:val="0034786F"/>
    <w:rsid w:val="0035094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F0759"/>
    <w:rsid w:val="003F08A4"/>
    <w:rsid w:val="003F0CBD"/>
    <w:rsid w:val="003F211C"/>
    <w:rsid w:val="003F6B24"/>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923EE"/>
    <w:rsid w:val="0049548E"/>
    <w:rsid w:val="004977E8"/>
    <w:rsid w:val="004A38EE"/>
    <w:rsid w:val="004A7A0E"/>
    <w:rsid w:val="004B013B"/>
    <w:rsid w:val="004B1741"/>
    <w:rsid w:val="004B1A38"/>
    <w:rsid w:val="004B1AA0"/>
    <w:rsid w:val="004B3FC6"/>
    <w:rsid w:val="004B5293"/>
    <w:rsid w:val="004B69A7"/>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6A82"/>
    <w:rsid w:val="006407BA"/>
    <w:rsid w:val="006417F8"/>
    <w:rsid w:val="00642C20"/>
    <w:rsid w:val="00647CEC"/>
    <w:rsid w:val="00661E5B"/>
    <w:rsid w:val="00662C08"/>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345A"/>
    <w:rsid w:val="00704623"/>
    <w:rsid w:val="00705D7D"/>
    <w:rsid w:val="007123BB"/>
    <w:rsid w:val="00713DA0"/>
    <w:rsid w:val="007145B7"/>
    <w:rsid w:val="0071490F"/>
    <w:rsid w:val="00721372"/>
    <w:rsid w:val="007224F0"/>
    <w:rsid w:val="00723743"/>
    <w:rsid w:val="00723A50"/>
    <w:rsid w:val="0072552C"/>
    <w:rsid w:val="0073003D"/>
    <w:rsid w:val="00731EEA"/>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1CB2"/>
    <w:rsid w:val="007E475B"/>
    <w:rsid w:val="007E6D3A"/>
    <w:rsid w:val="007F0ACD"/>
    <w:rsid w:val="007F0D4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D17"/>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28ED"/>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55A0"/>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1E84"/>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27633"/>
    <w:rsid w:val="00D32041"/>
    <w:rsid w:val="00D3476E"/>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40C6"/>
    <w:rsid w:val="00F169A6"/>
    <w:rsid w:val="00F17814"/>
    <w:rsid w:val="00F178D1"/>
    <w:rsid w:val="00F311F8"/>
    <w:rsid w:val="00F330E7"/>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3</cp:revision>
  <cp:lastPrinted>2017-11-14T20:49:00Z</cp:lastPrinted>
  <dcterms:created xsi:type="dcterms:W3CDTF">2025-10-08T18:53:00Z</dcterms:created>
  <dcterms:modified xsi:type="dcterms:W3CDTF">2025-10-08T20:47:00Z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