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1FB5" w14:textId="1856DF44" w:rsidR="006B2AFF" w:rsidRDefault="00503A7C" w:rsidP="006B2AFF">
      <w:pPr>
        <w:spacing w:before="120" w:after="120"/>
        <w:jc w:val="center"/>
      </w:pPr>
      <w:r>
        <w:t>Identification of Risk &amp; Addressing in Prioritized Manner</w:t>
      </w:r>
    </w:p>
    <w:tbl>
      <w:tblPr>
        <w:tblStyle w:val="TableGrid"/>
        <w:tblW w:w="0" w:type="auto"/>
        <w:tblLook w:val="04A0" w:firstRow="1" w:lastRow="0" w:firstColumn="1" w:lastColumn="0" w:noHBand="0" w:noVBand="1"/>
      </w:tblPr>
      <w:tblGrid>
        <w:gridCol w:w="2335"/>
        <w:gridCol w:w="10615"/>
      </w:tblGrid>
      <w:tr w:rsidR="001F750B" w14:paraId="567A5115" w14:textId="77777777" w:rsidTr="00290252">
        <w:tc>
          <w:tcPr>
            <w:tcW w:w="2335" w:type="dxa"/>
          </w:tcPr>
          <w:p w14:paraId="0B4AF049" w14:textId="75E7BAE3" w:rsidR="001F750B" w:rsidRDefault="001F750B" w:rsidP="006B2AFF">
            <w:pPr>
              <w:spacing w:before="120" w:after="120"/>
            </w:pPr>
            <w:r>
              <w:t>Guidance</w:t>
            </w:r>
          </w:p>
        </w:tc>
        <w:tc>
          <w:tcPr>
            <w:tcW w:w="10615" w:type="dxa"/>
          </w:tcPr>
          <w:p w14:paraId="3491BFDD" w14:textId="6DDD2C89" w:rsidR="001F750B" w:rsidRDefault="001F750B" w:rsidP="006B2AFF">
            <w:pPr>
              <w:spacing w:before="120" w:after="120"/>
            </w:pPr>
            <w:r>
              <w:t>Requirements</w:t>
            </w:r>
          </w:p>
        </w:tc>
      </w:tr>
      <w:tr w:rsidR="001F750B" w14:paraId="70B1D886" w14:textId="77777777" w:rsidTr="008D5666">
        <w:tc>
          <w:tcPr>
            <w:tcW w:w="2335" w:type="dxa"/>
          </w:tcPr>
          <w:p w14:paraId="2D857DA1" w14:textId="073C960F" w:rsidR="001F750B" w:rsidRDefault="001F750B" w:rsidP="006B2AFF">
            <w:pPr>
              <w:spacing w:before="120" w:after="120"/>
            </w:pPr>
            <w:r>
              <w:t xml:space="preserve">U.S. Department of War </w:t>
            </w:r>
            <w:hyperlink r:id="rId5" w:history="1">
              <w:r w:rsidRPr="004C5EA4">
                <w:rPr>
                  <w:rStyle w:val="Hyperlink"/>
                </w:rPr>
                <w:t>Federal Acquisition Regulation</w:t>
              </w:r>
            </w:hyperlink>
            <w:r>
              <w:t xml:space="preserve"> (FAR Part 40, Information Security and Supply Chain Security) </w:t>
            </w:r>
          </w:p>
        </w:tc>
        <w:tc>
          <w:tcPr>
            <w:tcW w:w="10615" w:type="dxa"/>
          </w:tcPr>
          <w:p w14:paraId="4A3FA0C3" w14:textId="77777777" w:rsidR="001F750B" w:rsidRDefault="001F750B" w:rsidP="004C5EA4">
            <w:pPr>
              <w:spacing w:before="120" w:after="120"/>
            </w:pPr>
            <w:r>
              <w:t>“Contractors and subcontractors are required to rapidly report cyber incidents directly to DoD”</w:t>
            </w:r>
          </w:p>
          <w:p w14:paraId="06073382" w14:textId="77777777" w:rsidR="001F750B" w:rsidRDefault="001F750B" w:rsidP="004C5EA4">
            <w:pPr>
              <w:spacing w:before="120" w:after="120"/>
            </w:pPr>
            <w:r>
              <w:t>“Rapidly report” means within 72 hours of discovery of any cyber incident</w:t>
            </w:r>
          </w:p>
          <w:p w14:paraId="7F30080D" w14:textId="5D4FAD75" w:rsidR="001F750B" w:rsidRDefault="001F750B" w:rsidP="006B2AFF">
            <w:pPr>
              <w:spacing w:before="120" w:after="120"/>
            </w:pPr>
            <w:r>
              <w:t xml:space="preserve">“Cyber incident” means actions taken through the use of computer networks that result in compromise or an actual or potentially adverse effect on an information system and/or the information residing therein </w:t>
            </w:r>
          </w:p>
        </w:tc>
      </w:tr>
      <w:tr w:rsidR="001F750B" w14:paraId="5A381357" w14:textId="77777777" w:rsidTr="00D05E24">
        <w:tc>
          <w:tcPr>
            <w:tcW w:w="2335" w:type="dxa"/>
          </w:tcPr>
          <w:p w14:paraId="71CC8BFB" w14:textId="1A138B5C" w:rsidR="001F750B" w:rsidRDefault="001F750B" w:rsidP="006B2AFF">
            <w:pPr>
              <w:spacing w:before="120" w:after="120"/>
            </w:pPr>
            <w:r>
              <w:t xml:space="preserve">European Union Agency for Cybersecurity </w:t>
            </w:r>
            <w:hyperlink r:id="rId6" w:history="1">
              <w:r w:rsidRPr="004C5EA4">
                <w:rPr>
                  <w:rStyle w:val="Hyperlink"/>
                </w:rPr>
                <w:t>Single Reporting Platform</w:t>
              </w:r>
            </w:hyperlink>
          </w:p>
        </w:tc>
        <w:tc>
          <w:tcPr>
            <w:tcW w:w="10615" w:type="dxa"/>
          </w:tcPr>
          <w:p w14:paraId="533CD103" w14:textId="77777777" w:rsidR="001F750B" w:rsidRDefault="001F750B" w:rsidP="001F750B">
            <w:pPr>
              <w:spacing w:before="120" w:after="120"/>
            </w:pPr>
            <w:r>
              <w:t>Manufacturers must adhere to a multi-stage reporting timeline via the platform:</w:t>
            </w:r>
          </w:p>
          <w:p w14:paraId="5F2B42C5" w14:textId="77777777" w:rsidR="001F750B" w:rsidRDefault="001F750B" w:rsidP="001F750B">
            <w:pPr>
              <w:spacing w:before="120" w:after="120"/>
            </w:pPr>
            <w:r>
              <w:t>Early Warning: Without undue delay and in any case within 24 hours of becoming aware of the vulnerability or incident.</w:t>
            </w:r>
          </w:p>
          <w:p w14:paraId="19AD61E0" w14:textId="77777777" w:rsidR="001F750B" w:rsidRDefault="001F750B" w:rsidP="001F750B">
            <w:pPr>
              <w:spacing w:before="120" w:after="120"/>
            </w:pPr>
            <w:r>
              <w:t>Vulnerability/Incident Notification: Without undue delay and in any case within 72 hours of becoming aware, providing general information and an initial assessment.</w:t>
            </w:r>
          </w:p>
          <w:p w14:paraId="2B908DD7" w14:textId="77777777" w:rsidR="001F750B" w:rsidRDefault="001F750B" w:rsidP="001F750B">
            <w:pPr>
              <w:spacing w:before="120" w:after="120"/>
            </w:pPr>
            <w:r>
              <w:t>Final Report:</w:t>
            </w:r>
          </w:p>
          <w:p w14:paraId="084597FB" w14:textId="77777777" w:rsidR="001F750B" w:rsidRDefault="001F750B" w:rsidP="006B2AFF">
            <w:pPr>
              <w:pStyle w:val="ListParagraph"/>
              <w:numPr>
                <w:ilvl w:val="0"/>
                <w:numId w:val="1"/>
              </w:numPr>
              <w:spacing w:before="120" w:after="120"/>
            </w:pPr>
            <w:r>
              <w:t>For vulnerabilities: No later than 14 days after a corrective measure (e.g., patch) is available.</w:t>
            </w:r>
          </w:p>
          <w:p w14:paraId="0EC5ED95" w14:textId="5FB6F0ED" w:rsidR="001F750B" w:rsidRDefault="001F750B" w:rsidP="006B2AFF">
            <w:pPr>
              <w:pStyle w:val="ListParagraph"/>
              <w:numPr>
                <w:ilvl w:val="0"/>
                <w:numId w:val="1"/>
              </w:numPr>
              <w:spacing w:before="120" w:after="120"/>
            </w:pPr>
            <w:r>
              <w:t>For severe incidents: Within 1 month after the initial notification.</w:t>
            </w:r>
          </w:p>
        </w:tc>
      </w:tr>
      <w:tr w:rsidR="001F750B" w14:paraId="30F061EE" w14:textId="77777777" w:rsidTr="009349A2">
        <w:tc>
          <w:tcPr>
            <w:tcW w:w="2335" w:type="dxa"/>
          </w:tcPr>
          <w:p w14:paraId="344AE2DF" w14:textId="64CB5234" w:rsidR="004C1E77" w:rsidRDefault="004C1E77" w:rsidP="006B2AFF">
            <w:pPr>
              <w:spacing w:before="120" w:after="120"/>
            </w:pPr>
            <w:r>
              <w:t xml:space="preserve">NIST </w:t>
            </w:r>
            <w:hyperlink r:id="rId7" w:history="1">
              <w:r w:rsidRPr="004C1E77">
                <w:rPr>
                  <w:rStyle w:val="Hyperlink"/>
                </w:rPr>
                <w:t>SP 800-161 Rev. 1</w:t>
              </w:r>
            </w:hyperlink>
            <w:r>
              <w:t xml:space="preserve"> Cybersecurity Supply Chain Risk Management Practices for Systems and Organizations</w:t>
            </w:r>
          </w:p>
        </w:tc>
        <w:tc>
          <w:tcPr>
            <w:tcW w:w="10615" w:type="dxa"/>
          </w:tcPr>
          <w:p w14:paraId="4EBC82BD" w14:textId="77777777" w:rsidR="001F750B" w:rsidRDefault="001F750B" w:rsidP="006B2AFF">
            <w:pPr>
              <w:spacing w:before="120" w:after="120"/>
            </w:pPr>
          </w:p>
        </w:tc>
      </w:tr>
      <w:tr w:rsidR="007B70C8" w14:paraId="7CDCBB15" w14:textId="77777777" w:rsidTr="009349A2">
        <w:tc>
          <w:tcPr>
            <w:tcW w:w="2335" w:type="dxa"/>
          </w:tcPr>
          <w:p w14:paraId="6DBA1635" w14:textId="2C40DA3E" w:rsidR="007B70C8" w:rsidRDefault="007B70C8" w:rsidP="006B2AFF">
            <w:pPr>
              <w:spacing w:before="120" w:after="120"/>
            </w:pPr>
            <w:proofErr w:type="spellStart"/>
            <w:r>
              <w:t>OWASP</w:t>
            </w:r>
            <w:proofErr w:type="spellEnd"/>
            <w:r>
              <w:t xml:space="preserve"> Vulnerability Disclosure </w:t>
            </w:r>
            <w:hyperlink r:id="rId8" w:history="1">
              <w:r w:rsidRPr="007B70C8">
                <w:rPr>
                  <w:rStyle w:val="Hyperlink"/>
                </w:rPr>
                <w:t>Cheat Sheet</w:t>
              </w:r>
            </w:hyperlink>
          </w:p>
        </w:tc>
        <w:tc>
          <w:tcPr>
            <w:tcW w:w="10615" w:type="dxa"/>
          </w:tcPr>
          <w:p w14:paraId="16F2D4DC" w14:textId="77777777" w:rsidR="007B70C8" w:rsidRDefault="007B70C8" w:rsidP="006B2AFF">
            <w:pPr>
              <w:spacing w:before="120" w:after="120"/>
            </w:pPr>
          </w:p>
        </w:tc>
      </w:tr>
      <w:tr w:rsidR="007B70C8" w14:paraId="011EBB6F" w14:textId="77777777" w:rsidTr="009349A2">
        <w:tc>
          <w:tcPr>
            <w:tcW w:w="2335" w:type="dxa"/>
          </w:tcPr>
          <w:p w14:paraId="67FF60D7" w14:textId="25EC03E3" w:rsidR="007B70C8" w:rsidRDefault="007B70C8" w:rsidP="006B2AFF">
            <w:pPr>
              <w:spacing w:before="120" w:after="120"/>
            </w:pPr>
            <w:r>
              <w:t xml:space="preserve">CISA Cyber Incident Reporting for Critical Infrastructure Act of 2022 </w:t>
            </w:r>
            <w:hyperlink r:id="rId9" w:history="1">
              <w:r w:rsidRPr="007B70C8">
                <w:rPr>
                  <w:rStyle w:val="Hyperlink"/>
                </w:rPr>
                <w:t>Guidance</w:t>
              </w:r>
            </w:hyperlink>
          </w:p>
        </w:tc>
        <w:tc>
          <w:tcPr>
            <w:tcW w:w="10615" w:type="dxa"/>
          </w:tcPr>
          <w:p w14:paraId="4B3310F7" w14:textId="77777777" w:rsidR="007B70C8" w:rsidRDefault="007B70C8" w:rsidP="006B2AFF">
            <w:pPr>
              <w:spacing w:before="120" w:after="120"/>
            </w:pPr>
          </w:p>
        </w:tc>
      </w:tr>
      <w:tr w:rsidR="006562D2" w14:paraId="0D440223" w14:textId="77777777" w:rsidTr="009349A2">
        <w:tc>
          <w:tcPr>
            <w:tcW w:w="2335" w:type="dxa"/>
          </w:tcPr>
          <w:p w14:paraId="62FAA6CC" w14:textId="498239C2" w:rsidR="006562D2" w:rsidRDefault="002C42F1" w:rsidP="006B2AFF">
            <w:pPr>
              <w:spacing w:before="120" w:after="120"/>
            </w:pPr>
            <w:proofErr w:type="spellStart"/>
            <w:r>
              <w:t>Evergy</w:t>
            </w:r>
            <w:proofErr w:type="spellEnd"/>
            <w:r>
              <w:t xml:space="preserve"> Provided Example Contract Language</w:t>
            </w:r>
          </w:p>
        </w:tc>
        <w:tc>
          <w:tcPr>
            <w:tcW w:w="10615" w:type="dxa"/>
          </w:tcPr>
          <w:p w14:paraId="745BE894" w14:textId="77777777" w:rsidR="006562D2" w:rsidRDefault="006562D2" w:rsidP="006B2AFF">
            <w:pPr>
              <w:spacing w:before="120" w:after="120"/>
            </w:pPr>
            <w:r w:rsidRPr="006562D2">
              <w:t xml:space="preserve">During the term of the parties’ Agreement, if either party becomes aware of any vulnerabilities of the software, system, or Services, then such party shall promptly notify the other party.  If such a vulnerability is discovered and Supplier is notified of such discovery, then Supplier will prepare and present a vulnerability assessment to ESI within </w:t>
            </w:r>
            <w:r w:rsidRPr="00157DC8">
              <w:rPr>
                <w:highlight w:val="yellow"/>
              </w:rPr>
              <w:t>three (3) business days</w:t>
            </w:r>
            <w:r w:rsidRPr="006562D2">
              <w:t xml:space="preserve">, without charge to ESI.  Depending upon the results of the vulnerability assessment and the severity of the vulnerability, the parties shall work together on a reasonably acceptable remediation plan.  Supplier will remediate any such discovered code vulnerabilities, </w:t>
            </w:r>
            <w:r w:rsidRPr="006562D2">
              <w:lastRenderedPageBreak/>
              <w:t xml:space="preserve">including at a minimum, the SANS Top 25, the </w:t>
            </w:r>
            <w:proofErr w:type="spellStart"/>
            <w:r w:rsidRPr="006562D2">
              <w:t>OWASP</w:t>
            </w:r>
            <w:proofErr w:type="spellEnd"/>
            <w:r w:rsidRPr="006562D2">
              <w:t xml:space="preserve"> Top Ten, or a vulnerability confirmed by the United States Computer Emergency Readiness Team (US-CERT) according to the agreed upon remediation plan.  This term must be present for any Products or Services in scope for NERC CIP.</w:t>
            </w:r>
          </w:p>
          <w:p w14:paraId="44DDD513" w14:textId="014864B3" w:rsidR="00157DC8" w:rsidRPr="005D7AAC" w:rsidRDefault="00157DC8" w:rsidP="006B2AFF">
            <w:pPr>
              <w:spacing w:before="120" w:after="120"/>
              <w:rPr>
                <w:i/>
                <w:iCs/>
              </w:rPr>
            </w:pPr>
            <w:r w:rsidRPr="005D7AAC">
              <w:rPr>
                <w:i/>
                <w:iCs/>
              </w:rPr>
              <w:t>(language used for both IT and OT products)</w:t>
            </w:r>
          </w:p>
        </w:tc>
      </w:tr>
      <w:tr w:rsidR="00157DC8" w14:paraId="7EF53560" w14:textId="77777777" w:rsidTr="009349A2">
        <w:tc>
          <w:tcPr>
            <w:tcW w:w="2335" w:type="dxa"/>
          </w:tcPr>
          <w:p w14:paraId="4DDF9A9D" w14:textId="28C7F2E1" w:rsidR="00157DC8" w:rsidRDefault="002C42F1" w:rsidP="006B2AFF">
            <w:pPr>
              <w:spacing w:before="120" w:after="120"/>
            </w:pPr>
            <w:r>
              <w:lastRenderedPageBreak/>
              <w:t>ISO-New England Provided Example Contract Language</w:t>
            </w:r>
          </w:p>
        </w:tc>
        <w:tc>
          <w:tcPr>
            <w:tcW w:w="10615" w:type="dxa"/>
          </w:tcPr>
          <w:p w14:paraId="3E07EBA1" w14:textId="77777777" w:rsidR="00157DC8" w:rsidRPr="00157DC8" w:rsidRDefault="00157DC8" w:rsidP="00157DC8">
            <w:pPr>
              <w:spacing w:before="120" w:after="120"/>
              <w:rPr>
                <w:b/>
                <w:bCs/>
              </w:rPr>
            </w:pPr>
            <w:bookmarkStart w:id="0" w:name="_Hlk224737062"/>
            <w:r w:rsidRPr="00157DC8">
              <w:rPr>
                <w:b/>
                <w:bCs/>
              </w:rPr>
              <w:t>Section 4.         Disclosure and Remediation of Product Vulnerabilities.</w:t>
            </w:r>
          </w:p>
          <w:p w14:paraId="50E76637" w14:textId="77777777" w:rsidR="00157DC8" w:rsidRPr="00157DC8" w:rsidRDefault="00157DC8" w:rsidP="00157DC8">
            <w:pPr>
              <w:spacing w:before="120" w:after="120"/>
            </w:pPr>
            <w:r w:rsidRPr="00157DC8">
              <w:rPr>
                <w:b/>
                <w:bCs/>
              </w:rPr>
              <w:t xml:space="preserve">4.1.       </w:t>
            </w:r>
            <w:r w:rsidRPr="00157DC8">
              <w:t xml:space="preserve">Contractor shall develop and implement policies and procedures to address the disclosure and remediation by Contractor of vulnerabilities and material defects related to the products and/or services provided to Company under this Agreement including the following:   </w:t>
            </w:r>
          </w:p>
          <w:p w14:paraId="584926F1" w14:textId="77777777" w:rsidR="00157DC8" w:rsidRPr="00157DC8" w:rsidRDefault="00157DC8" w:rsidP="00157DC8">
            <w:pPr>
              <w:spacing w:before="120" w:after="120"/>
            </w:pPr>
            <w:r w:rsidRPr="00157DC8">
              <w:rPr>
                <w:b/>
                <w:bCs/>
              </w:rPr>
              <w:t>4.1.1.</w:t>
            </w:r>
            <w:r w:rsidRPr="00157DC8">
              <w:t>  Prior to the delivery of the procured product or service, Contractor shall provide summary documentation of publicly disclosed vulnerabilities and/or material defects related in the procured product or services, the potential impact of such vulnerabilities and/or material defects, the status of Contractor’s efforts to mitigate those publicly disclosed vulnerabilities and/or material defects, and Contractor’s recommended corrective actions, compensating security controls, mitigations, and/or procedural workarounds.</w:t>
            </w:r>
          </w:p>
          <w:p w14:paraId="0967D906" w14:textId="77777777" w:rsidR="00157DC8" w:rsidRPr="00157DC8" w:rsidRDefault="00157DC8" w:rsidP="00157DC8">
            <w:pPr>
              <w:spacing w:before="120" w:after="120"/>
            </w:pPr>
            <w:r w:rsidRPr="00157DC8">
              <w:rPr>
                <w:b/>
                <w:bCs/>
              </w:rPr>
              <w:t>4.1.2.</w:t>
            </w:r>
            <w:r w:rsidRPr="00157DC8">
              <w:t xml:space="preserve">  </w:t>
            </w:r>
            <w:r w:rsidRPr="00157DC8">
              <w:rPr>
                <w:highlight w:val="yellow"/>
              </w:rPr>
              <w:t>Contractor shall provide summary documentation of vulnerabilities and/or material defects in the procured product or services within thirty (30) calendar days after such vulnerabilities and/or material defects become known to Contractor.  This includes summary documentation on vulnerabilities and/or material defects that have not been publicly disclosed or have only been identified after the delivery of the product.  The summary documentation shall include a description of each vulnerability and/or material defects and its potential impact, root cause, and recommended corrective actions, compensating security controls, mitigations, and/or procedural workarounds.</w:t>
            </w:r>
            <w:r w:rsidRPr="00157DC8">
              <w:t xml:space="preserve"> </w:t>
            </w:r>
          </w:p>
          <w:p w14:paraId="6FFD7D1D" w14:textId="77777777" w:rsidR="00157DC8" w:rsidRPr="00157DC8" w:rsidRDefault="00157DC8" w:rsidP="00157DC8">
            <w:pPr>
              <w:spacing w:before="120" w:after="120"/>
            </w:pPr>
            <w:r w:rsidRPr="00157DC8">
              <w:rPr>
                <w:b/>
                <w:bCs/>
              </w:rPr>
              <w:t>4.1.3.</w:t>
            </w:r>
            <w:r w:rsidRPr="00157DC8">
              <w:t>  Contractor shall disclose the existence of all known methods for bypassing computer authentication in the procured product or services, often referred to as backdoors, and provide written documentation that all such backdoors created by Contractor have been permanently deleted or disabled.</w:t>
            </w:r>
          </w:p>
          <w:p w14:paraId="6AB5BBBE" w14:textId="77777777" w:rsidR="00157DC8" w:rsidRPr="00157DC8" w:rsidRDefault="00157DC8" w:rsidP="00157DC8">
            <w:pPr>
              <w:spacing w:before="120" w:after="120"/>
            </w:pPr>
            <w:r w:rsidRPr="00157DC8">
              <w:rPr>
                <w:b/>
                <w:bCs/>
              </w:rPr>
              <w:t>4.1.4.</w:t>
            </w:r>
            <w:r w:rsidRPr="00157DC8">
              <w:t>  Contractor shall implement a vulnerability detection and remediation program consistent with NIST Special Publication 800-53 Rev. 4 RA-5, SA-11, and SI-2, as may be amended, supplemented, or otherwise modified from time to time.</w:t>
            </w:r>
          </w:p>
          <w:p w14:paraId="58F04BC0" w14:textId="77777777" w:rsidR="00157DC8" w:rsidRPr="00157DC8" w:rsidRDefault="00157DC8" w:rsidP="00157DC8">
            <w:pPr>
              <w:spacing w:before="120" w:after="120"/>
            </w:pPr>
            <w:r w:rsidRPr="00157DC8">
              <w:rPr>
                <w:b/>
                <w:bCs/>
              </w:rPr>
              <w:t>4.1.5.</w:t>
            </w:r>
            <w:r w:rsidRPr="00157DC8">
              <w:t>  Contractor shall provide Company with prompt written updates in the event any of the foregoing documentation or information is updated, amended, modified, or no longer applicable.</w:t>
            </w:r>
          </w:p>
          <w:p w14:paraId="1596FBE4" w14:textId="77777777" w:rsidR="00157DC8" w:rsidRPr="00157DC8" w:rsidRDefault="00157DC8" w:rsidP="00157DC8">
            <w:pPr>
              <w:spacing w:before="120" w:after="120"/>
            </w:pPr>
            <w:r w:rsidRPr="00157DC8">
              <w:rPr>
                <w:b/>
                <w:bCs/>
              </w:rPr>
              <w:t xml:space="preserve">4.2.       Disclosure of Vulnerabilities by Company.  </w:t>
            </w:r>
            <w:r w:rsidRPr="00157DC8">
              <w:t>Whether or not publicly disclosed by Contractor and notwithstanding any other limitation in this Agreement, Company may disclose any vulnerabilities or material defects in the products and services provided by Contractor to (a) the Electricity Information Sharing and Analysis Center, the Industrial Control Systems Cyber Emergency Response Team, or any equivalent entity, (b) to any entity when necessary to preserve the reliability of the BES as determined by Company in its sole discretion, or (c) any entity required by applicable law.</w:t>
            </w:r>
            <w:bookmarkEnd w:id="0"/>
          </w:p>
          <w:p w14:paraId="163B6097" w14:textId="77777777" w:rsidR="00157DC8" w:rsidRPr="006562D2" w:rsidRDefault="00157DC8" w:rsidP="006B2AFF">
            <w:pPr>
              <w:spacing w:before="120" w:after="120"/>
            </w:pPr>
          </w:p>
        </w:tc>
      </w:tr>
    </w:tbl>
    <w:p w14:paraId="76D28DF1" w14:textId="77777777" w:rsidR="006B2AFF" w:rsidRDefault="006B2AFF" w:rsidP="006B2AFF">
      <w:pPr>
        <w:spacing w:before="120" w:after="120"/>
      </w:pPr>
    </w:p>
    <w:sectPr w:rsidR="006B2AFF" w:rsidSect="006B2AF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13231"/>
    <w:multiLevelType w:val="hybridMultilevel"/>
    <w:tmpl w:val="884A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F"/>
    <w:rsid w:val="0011199A"/>
    <w:rsid w:val="00157DC8"/>
    <w:rsid w:val="001F750B"/>
    <w:rsid w:val="002A554A"/>
    <w:rsid w:val="002C42F1"/>
    <w:rsid w:val="00363ED4"/>
    <w:rsid w:val="004C1E77"/>
    <w:rsid w:val="004C5EA4"/>
    <w:rsid w:val="004D3869"/>
    <w:rsid w:val="00503A7C"/>
    <w:rsid w:val="005D7AAC"/>
    <w:rsid w:val="005E791E"/>
    <w:rsid w:val="006562D2"/>
    <w:rsid w:val="006B2AFF"/>
    <w:rsid w:val="007A4168"/>
    <w:rsid w:val="007B70C8"/>
    <w:rsid w:val="007D5C67"/>
    <w:rsid w:val="00DE4AA6"/>
    <w:rsid w:val="00F2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795"/>
  <w15:chartTrackingRefBased/>
  <w15:docId w15:val="{46ABF9A6-235D-4DF2-A08F-9D34971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A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A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2A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2A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2A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2A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2A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A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A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2A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2A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2A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2A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2A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2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A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A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2A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AFF"/>
    <w:rPr>
      <w:i/>
      <w:iCs/>
      <w:color w:val="404040" w:themeColor="text1" w:themeTint="BF"/>
    </w:rPr>
  </w:style>
  <w:style w:type="paragraph" w:styleId="ListParagraph">
    <w:name w:val="List Paragraph"/>
    <w:basedOn w:val="Normal"/>
    <w:uiPriority w:val="34"/>
    <w:qFormat/>
    <w:rsid w:val="006B2AFF"/>
    <w:pPr>
      <w:ind w:left="720"/>
      <w:contextualSpacing/>
    </w:pPr>
  </w:style>
  <w:style w:type="character" w:styleId="IntenseEmphasis">
    <w:name w:val="Intense Emphasis"/>
    <w:basedOn w:val="DefaultParagraphFont"/>
    <w:uiPriority w:val="21"/>
    <w:qFormat/>
    <w:rsid w:val="006B2AFF"/>
    <w:rPr>
      <w:i/>
      <w:iCs/>
      <w:color w:val="2F5496" w:themeColor="accent1" w:themeShade="BF"/>
    </w:rPr>
  </w:style>
  <w:style w:type="paragraph" w:styleId="IntenseQuote">
    <w:name w:val="Intense Quote"/>
    <w:basedOn w:val="Normal"/>
    <w:next w:val="Normal"/>
    <w:link w:val="IntenseQuoteChar"/>
    <w:uiPriority w:val="30"/>
    <w:qFormat/>
    <w:rsid w:val="006B2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AFF"/>
    <w:rPr>
      <w:i/>
      <w:iCs/>
      <w:color w:val="2F5496" w:themeColor="accent1" w:themeShade="BF"/>
    </w:rPr>
  </w:style>
  <w:style w:type="character" w:styleId="IntenseReference">
    <w:name w:val="Intense Reference"/>
    <w:basedOn w:val="DefaultParagraphFont"/>
    <w:uiPriority w:val="32"/>
    <w:qFormat/>
    <w:rsid w:val="006B2AFF"/>
    <w:rPr>
      <w:b/>
      <w:bCs/>
      <w:smallCaps/>
      <w:color w:val="2F5496" w:themeColor="accent1" w:themeShade="BF"/>
      <w:spacing w:val="5"/>
    </w:rPr>
  </w:style>
  <w:style w:type="table" w:styleId="TableGrid">
    <w:name w:val="Table Grid"/>
    <w:basedOn w:val="TableNormal"/>
    <w:uiPriority w:val="39"/>
    <w:rsid w:val="004C5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EA4"/>
    <w:rPr>
      <w:color w:val="0563C1" w:themeColor="hyperlink"/>
      <w:u w:val="single"/>
    </w:rPr>
  </w:style>
  <w:style w:type="character" w:styleId="UnresolvedMention">
    <w:name w:val="Unresolved Mention"/>
    <w:basedOn w:val="DefaultParagraphFont"/>
    <w:uiPriority w:val="99"/>
    <w:semiHidden/>
    <w:unhideWhenUsed/>
    <w:rsid w:val="004C5EA4"/>
    <w:rPr>
      <w:color w:val="605E5C"/>
      <w:shd w:val="clear" w:color="auto" w:fill="E1DFDD"/>
    </w:rPr>
  </w:style>
  <w:style w:type="character" w:styleId="FollowedHyperlink">
    <w:name w:val="FollowedHyperlink"/>
    <w:basedOn w:val="DefaultParagraphFont"/>
    <w:uiPriority w:val="99"/>
    <w:semiHidden/>
    <w:unhideWhenUsed/>
    <w:rsid w:val="00656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atsheetseries.owasp.org/cheatsheets/Vulnerability_Disclosure_Cheat_Sheet.html" TargetMode="External"/><Relationship Id="rId3" Type="http://schemas.openxmlformats.org/officeDocument/2006/relationships/settings" Target="settings.xml"/><Relationship Id="rId7" Type="http://schemas.openxmlformats.org/officeDocument/2006/relationships/hyperlink" Target="https://csrc.nist.gov/pubs/sp/800/161/r1/upd1/f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isa.europa.eu/topics/product-security-and-certification/single-reporting-platform-srp" TargetMode="External"/><Relationship Id="rId11" Type="http://schemas.openxmlformats.org/officeDocument/2006/relationships/theme" Target="theme/theme1.xml"/><Relationship Id="rId5" Type="http://schemas.openxmlformats.org/officeDocument/2006/relationships/hyperlink" Target="https://naesb.org/pdf4/weq_bps_css022426w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sa.gov/topics/cyber-threats-and-advisories/information-sharing/cyber-incident-reporting-critical-infrastructure-act-2022-ci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CT</cp:lastModifiedBy>
  <cp:revision>2</cp:revision>
  <dcterms:created xsi:type="dcterms:W3CDTF">2026-03-18T19:27:00Z</dcterms:created>
  <dcterms:modified xsi:type="dcterms:W3CDTF">2026-03-18T19:27:00Z</dcterms:modified>
</cp:coreProperties>
</file>