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1FB5" w14:textId="1856DF44" w:rsidR="006B2AFF" w:rsidRDefault="00503A7C" w:rsidP="006B2AFF">
      <w:pPr>
        <w:spacing w:before="120" w:after="120"/>
        <w:jc w:val="center"/>
      </w:pPr>
      <w:r>
        <w:t>Identification of Risk &amp; Addressing in Prioritized Manner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0615"/>
      </w:tblGrid>
      <w:tr w:rsidR="001F750B" w14:paraId="567A5115" w14:textId="77777777" w:rsidTr="00290252">
        <w:tc>
          <w:tcPr>
            <w:tcW w:w="2335" w:type="dxa"/>
          </w:tcPr>
          <w:p w14:paraId="0B4AF049" w14:textId="75E7BAE3" w:rsidR="001F750B" w:rsidRDefault="001F750B" w:rsidP="006B2AFF">
            <w:pPr>
              <w:spacing w:before="120" w:after="120"/>
            </w:pPr>
            <w:r>
              <w:t>Guidance</w:t>
            </w:r>
          </w:p>
        </w:tc>
        <w:tc>
          <w:tcPr>
            <w:tcW w:w="10615" w:type="dxa"/>
          </w:tcPr>
          <w:p w14:paraId="3491BFDD" w14:textId="6DDD2C89" w:rsidR="001F750B" w:rsidRDefault="001F750B" w:rsidP="006B2AFF">
            <w:pPr>
              <w:spacing w:before="120" w:after="120"/>
            </w:pPr>
            <w:r>
              <w:t>Requirements</w:t>
            </w:r>
          </w:p>
        </w:tc>
      </w:tr>
      <w:tr w:rsidR="001F750B" w14:paraId="70B1D886" w14:textId="77777777" w:rsidTr="008D5666">
        <w:tc>
          <w:tcPr>
            <w:tcW w:w="2335" w:type="dxa"/>
          </w:tcPr>
          <w:p w14:paraId="2D857DA1" w14:textId="073C960F" w:rsidR="001F750B" w:rsidRDefault="001F750B" w:rsidP="006B2AFF">
            <w:pPr>
              <w:spacing w:before="120" w:after="120"/>
            </w:pPr>
            <w:r>
              <w:t xml:space="preserve">U.S. Department of War </w:t>
            </w:r>
            <w:hyperlink r:id="rId5" w:history="1">
              <w:r w:rsidRPr="004C5EA4">
                <w:rPr>
                  <w:rStyle w:val="Hyperlink"/>
                </w:rPr>
                <w:t>Federal Acquisition Regulation</w:t>
              </w:r>
            </w:hyperlink>
            <w:r>
              <w:t xml:space="preserve"> (FAR Part 40, Information Security and Supply Chain Security) </w:t>
            </w:r>
          </w:p>
        </w:tc>
        <w:tc>
          <w:tcPr>
            <w:tcW w:w="10615" w:type="dxa"/>
          </w:tcPr>
          <w:p w14:paraId="4A3FA0C3" w14:textId="77777777" w:rsidR="001F750B" w:rsidRDefault="001F750B" w:rsidP="004C5EA4">
            <w:pPr>
              <w:spacing w:before="120" w:after="120"/>
            </w:pPr>
            <w:r>
              <w:t>“</w:t>
            </w:r>
            <w:r>
              <w:t>Contractors and subcontractors are required to rapidly report cyber incidents</w:t>
            </w:r>
            <w:r>
              <w:t xml:space="preserve"> </w:t>
            </w:r>
            <w:r>
              <w:t>directly to DoD</w:t>
            </w:r>
            <w:r>
              <w:t>”</w:t>
            </w:r>
          </w:p>
          <w:p w14:paraId="06073382" w14:textId="77777777" w:rsidR="001F750B" w:rsidRDefault="001F750B" w:rsidP="004C5EA4">
            <w:pPr>
              <w:spacing w:before="120" w:after="120"/>
            </w:pPr>
            <w:r>
              <w:t>“Rapidly report” means within 72 hours of discovery of any cyber incident</w:t>
            </w:r>
          </w:p>
          <w:p w14:paraId="7F30080D" w14:textId="5D4FAD75" w:rsidR="001F750B" w:rsidRDefault="001F750B" w:rsidP="006B2AFF">
            <w:pPr>
              <w:spacing w:before="120" w:after="120"/>
            </w:pPr>
            <w:r>
              <w:t xml:space="preserve">“Cyber incident” means actions taken through the use of computer networks that result in compromise or an actual or potentially adverse effect on an information system and/or the information residing therein </w:t>
            </w:r>
          </w:p>
        </w:tc>
      </w:tr>
      <w:tr w:rsidR="001F750B" w14:paraId="5A381357" w14:textId="77777777" w:rsidTr="00D05E24">
        <w:tc>
          <w:tcPr>
            <w:tcW w:w="2335" w:type="dxa"/>
          </w:tcPr>
          <w:p w14:paraId="71CC8BFB" w14:textId="1A138B5C" w:rsidR="001F750B" w:rsidRDefault="001F750B" w:rsidP="006B2AFF">
            <w:pPr>
              <w:spacing w:before="120" w:after="120"/>
            </w:pPr>
            <w:r>
              <w:t xml:space="preserve">European Union Agency for Cybersecurity </w:t>
            </w:r>
            <w:hyperlink r:id="rId6" w:history="1">
              <w:r w:rsidRPr="004C5EA4">
                <w:rPr>
                  <w:rStyle w:val="Hyperlink"/>
                </w:rPr>
                <w:t>Single Reporting Platform</w:t>
              </w:r>
            </w:hyperlink>
          </w:p>
        </w:tc>
        <w:tc>
          <w:tcPr>
            <w:tcW w:w="10615" w:type="dxa"/>
          </w:tcPr>
          <w:p w14:paraId="533CD103" w14:textId="77777777" w:rsidR="001F750B" w:rsidRDefault="001F750B" w:rsidP="001F750B">
            <w:pPr>
              <w:spacing w:before="120" w:after="120"/>
            </w:pPr>
            <w:r>
              <w:t>Manufacturers must adhere to a multi-stage reporting timeline via the platform:</w:t>
            </w:r>
          </w:p>
          <w:p w14:paraId="5F2B42C5" w14:textId="77777777" w:rsidR="001F750B" w:rsidRDefault="001F750B" w:rsidP="001F750B">
            <w:pPr>
              <w:spacing w:before="120" w:after="120"/>
            </w:pPr>
            <w:r>
              <w:t>Early Warning: Without undue delay and in any case within 24 hours of becoming aware of the vulnerability or incident.</w:t>
            </w:r>
          </w:p>
          <w:p w14:paraId="19AD61E0" w14:textId="77777777" w:rsidR="001F750B" w:rsidRDefault="001F750B" w:rsidP="001F750B">
            <w:pPr>
              <w:spacing w:before="120" w:after="120"/>
            </w:pPr>
            <w:r>
              <w:t>Vulnerability/Incident Notification: Without undue delay and in any case within 72 hours of becoming aware, providing general information and an initial assessment.</w:t>
            </w:r>
          </w:p>
          <w:p w14:paraId="2B908DD7" w14:textId="77777777" w:rsidR="001F750B" w:rsidRDefault="001F750B" w:rsidP="001F750B">
            <w:pPr>
              <w:spacing w:before="120" w:after="120"/>
            </w:pPr>
            <w:r>
              <w:t>Final Report:</w:t>
            </w:r>
          </w:p>
          <w:p w14:paraId="084597FB" w14:textId="77777777" w:rsidR="001F750B" w:rsidRDefault="001F750B" w:rsidP="006B2AFF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For vulnerabilities: No later than 14 days after a corrective measure (e.g., patch) is available.</w:t>
            </w:r>
          </w:p>
          <w:p w14:paraId="0EC5ED95" w14:textId="5FB6F0ED" w:rsidR="001F750B" w:rsidRDefault="001F750B" w:rsidP="006B2AFF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For severe incidents: Within 1 month after the initial notification.</w:t>
            </w:r>
          </w:p>
        </w:tc>
      </w:tr>
      <w:tr w:rsidR="001F750B" w14:paraId="30F061EE" w14:textId="77777777" w:rsidTr="009349A2">
        <w:tc>
          <w:tcPr>
            <w:tcW w:w="2335" w:type="dxa"/>
          </w:tcPr>
          <w:p w14:paraId="344AE2DF" w14:textId="64CB5234" w:rsidR="004C1E77" w:rsidRDefault="004C1E77" w:rsidP="006B2AFF">
            <w:pPr>
              <w:spacing w:before="120" w:after="120"/>
            </w:pPr>
            <w:r>
              <w:t xml:space="preserve">NIST </w:t>
            </w:r>
            <w:hyperlink r:id="rId7" w:history="1">
              <w:r w:rsidRPr="004C1E77">
                <w:rPr>
                  <w:rStyle w:val="Hyperlink"/>
                </w:rPr>
                <w:t>SP 800-161 Rev. 1</w:t>
              </w:r>
            </w:hyperlink>
            <w:r>
              <w:t xml:space="preserve"> Cybersecurity Supply Chain Risk Management Practices for Systems and Organizations</w:t>
            </w:r>
          </w:p>
        </w:tc>
        <w:tc>
          <w:tcPr>
            <w:tcW w:w="10615" w:type="dxa"/>
          </w:tcPr>
          <w:p w14:paraId="4EBC82BD" w14:textId="77777777" w:rsidR="001F750B" w:rsidRDefault="001F750B" w:rsidP="006B2AFF">
            <w:pPr>
              <w:spacing w:before="120" w:after="120"/>
            </w:pPr>
          </w:p>
        </w:tc>
      </w:tr>
      <w:tr w:rsidR="007B70C8" w14:paraId="7CDCBB15" w14:textId="77777777" w:rsidTr="009349A2">
        <w:tc>
          <w:tcPr>
            <w:tcW w:w="2335" w:type="dxa"/>
          </w:tcPr>
          <w:p w14:paraId="6DBA1635" w14:textId="2C40DA3E" w:rsidR="007B70C8" w:rsidRDefault="007B70C8" w:rsidP="006B2AFF">
            <w:pPr>
              <w:spacing w:before="120" w:after="120"/>
            </w:pPr>
            <w:proofErr w:type="spellStart"/>
            <w:r>
              <w:t>OWASP</w:t>
            </w:r>
            <w:proofErr w:type="spellEnd"/>
            <w:r>
              <w:t xml:space="preserve"> Vulnerability Disclosure </w:t>
            </w:r>
            <w:hyperlink r:id="rId8" w:history="1">
              <w:r w:rsidRPr="007B70C8">
                <w:rPr>
                  <w:rStyle w:val="Hyperlink"/>
                </w:rPr>
                <w:t>Cheat Sheet</w:t>
              </w:r>
            </w:hyperlink>
          </w:p>
        </w:tc>
        <w:tc>
          <w:tcPr>
            <w:tcW w:w="10615" w:type="dxa"/>
          </w:tcPr>
          <w:p w14:paraId="16F2D4DC" w14:textId="77777777" w:rsidR="007B70C8" w:rsidRDefault="007B70C8" w:rsidP="006B2AFF">
            <w:pPr>
              <w:spacing w:before="120" w:after="120"/>
            </w:pPr>
          </w:p>
        </w:tc>
      </w:tr>
      <w:tr w:rsidR="007B70C8" w14:paraId="011EBB6F" w14:textId="77777777" w:rsidTr="009349A2">
        <w:tc>
          <w:tcPr>
            <w:tcW w:w="2335" w:type="dxa"/>
          </w:tcPr>
          <w:p w14:paraId="67FF60D7" w14:textId="25EC03E3" w:rsidR="007B70C8" w:rsidRDefault="007B70C8" w:rsidP="006B2AFF">
            <w:pPr>
              <w:spacing w:before="120" w:after="120"/>
            </w:pPr>
            <w:r>
              <w:t xml:space="preserve">CISA Cyber Incident Reporting for Critical Infrastructure Act of 2022 </w:t>
            </w:r>
            <w:hyperlink r:id="rId9" w:history="1">
              <w:r w:rsidRPr="007B70C8">
                <w:rPr>
                  <w:rStyle w:val="Hyperlink"/>
                </w:rPr>
                <w:t>Guidance</w:t>
              </w:r>
            </w:hyperlink>
          </w:p>
        </w:tc>
        <w:tc>
          <w:tcPr>
            <w:tcW w:w="10615" w:type="dxa"/>
          </w:tcPr>
          <w:p w14:paraId="4B3310F7" w14:textId="77777777" w:rsidR="007B70C8" w:rsidRDefault="007B70C8" w:rsidP="006B2AFF">
            <w:pPr>
              <w:spacing w:before="120" w:after="120"/>
            </w:pPr>
          </w:p>
        </w:tc>
      </w:tr>
    </w:tbl>
    <w:p w14:paraId="76D28DF1" w14:textId="77777777" w:rsidR="006B2AFF" w:rsidRDefault="006B2AFF" w:rsidP="006B2AFF">
      <w:pPr>
        <w:spacing w:before="120" w:after="120"/>
      </w:pPr>
    </w:p>
    <w:sectPr w:rsidR="006B2AFF" w:rsidSect="006B2A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13231"/>
    <w:multiLevelType w:val="hybridMultilevel"/>
    <w:tmpl w:val="884A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9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FF"/>
    <w:rsid w:val="0011199A"/>
    <w:rsid w:val="001F750B"/>
    <w:rsid w:val="002A554A"/>
    <w:rsid w:val="004C1E77"/>
    <w:rsid w:val="004C5EA4"/>
    <w:rsid w:val="004D3869"/>
    <w:rsid w:val="00503A7C"/>
    <w:rsid w:val="005E791E"/>
    <w:rsid w:val="006B2AFF"/>
    <w:rsid w:val="007A4168"/>
    <w:rsid w:val="007B70C8"/>
    <w:rsid w:val="007D5C67"/>
    <w:rsid w:val="00D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A795"/>
  <w15:chartTrackingRefBased/>
  <w15:docId w15:val="{46ABF9A6-235D-4DF2-A08F-9D34971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A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A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A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A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A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A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A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AF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A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A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A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A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A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A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A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A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A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A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A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A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5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5E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atsheetseries.owasp.org/cheatsheets/Vulnerability_Disclosure_Cheat_Shee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rc.nist.gov/pubs/sp/800/161/r1/upd1/fi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isa.europa.eu/topics/product-security-and-certification/single-reporting-platform-sr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esb.org/pdf4/weq_bps_css022426w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isa.gov/topics/cyber-threats-and-advisories/information-sharing/cyber-incident-reporting-critical-infrastructure-act-2022-cir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1</cp:revision>
  <dcterms:created xsi:type="dcterms:W3CDTF">2026-03-02T19:28:00Z</dcterms:created>
  <dcterms:modified xsi:type="dcterms:W3CDTF">2026-03-02T20:51:00Z</dcterms:modified>
</cp:coreProperties>
</file>