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6B5B8" w14:textId="7CA70004" w:rsidR="007D5C67" w:rsidRPr="006C34C0" w:rsidRDefault="00E97397" w:rsidP="00E97397">
      <w:pPr>
        <w:spacing w:before="120" w:after="120"/>
        <w:jc w:val="center"/>
        <w:rPr>
          <w:u w:val="single"/>
        </w:rPr>
      </w:pPr>
      <w:r w:rsidRPr="006C34C0">
        <w:rPr>
          <w:u w:val="single"/>
        </w:rPr>
        <w:t>CISA Cybersecurity Performance Goals (CPG) 2.0 Excerpts</w:t>
      </w:r>
    </w:p>
    <w:p w14:paraId="34A06218" w14:textId="60107A7C" w:rsidR="00E97397" w:rsidRDefault="00E97397" w:rsidP="00E97397">
      <w:pPr>
        <w:spacing w:before="120" w:after="120"/>
      </w:pPr>
      <w:r>
        <w:t xml:space="preserve">Posted to the CISA Website: </w:t>
      </w:r>
      <w:hyperlink r:id="rId5" w:history="1">
        <w:r w:rsidRPr="007C6AD4">
          <w:rPr>
            <w:rStyle w:val="Hyperlink"/>
          </w:rPr>
          <w:t>https://www.cisa.gov/cybersecurity-performance-goals-2-0-cpg-2-0</w:t>
        </w:r>
      </w:hyperlink>
    </w:p>
    <w:p w14:paraId="5F04D994" w14:textId="490FBFA9" w:rsidR="00E97397" w:rsidRDefault="00E97397" w:rsidP="00E97397">
      <w:pPr>
        <w:spacing w:before="120" w:after="120"/>
      </w:pPr>
      <w:r w:rsidRPr="00E97397">
        <w:t>The CPGs 2.0 are voluntary practices with high-impact security actions that outline the highest-priority baseline that measures businesses and critical infrastructure owners of all sizes can take to protect themselves against cyber threats. They were developed based on CISA’s operational data, research on the current threat landscape, and collaboration with government, industry groups, and private sector experts to receive input and feedback.</w:t>
      </w:r>
    </w:p>
    <w:p w14:paraId="0486B9B4" w14:textId="62A81103" w:rsidR="00B86EF2" w:rsidRDefault="00B86EF2" w:rsidP="00E97397">
      <w:pPr>
        <w:spacing w:before="120" w:after="120"/>
      </w:pPr>
      <w:r w:rsidRPr="00B86EF2">
        <w:t>CISA’s CPGs are not comprehensive. They do not identify all the cybersecurity practices needed to protect national and economic security and public health and safety. They capture a core set of cybersecurity practices with known risk-reduction value broadly applicable across sectors.    </w:t>
      </w:r>
    </w:p>
    <w:p w14:paraId="0BF2F427" w14:textId="75F97102" w:rsidR="00E97397" w:rsidRPr="00B86EF2" w:rsidRDefault="00E97397" w:rsidP="00E97397">
      <w:pPr>
        <w:spacing w:before="120" w:after="120"/>
        <w:rPr>
          <w:u w:val="single"/>
        </w:rPr>
      </w:pPr>
      <w:r w:rsidRPr="00B86EF2">
        <w:rPr>
          <w:u w:val="single"/>
        </w:rPr>
        <w:t xml:space="preserve">1.D Supply Chain Incident Reporting &amp; Vulnerability Disclosure </w:t>
      </w:r>
    </w:p>
    <w:p w14:paraId="2ACB3CAF" w14:textId="1293371B" w:rsidR="00E97397" w:rsidRPr="00B86EF2" w:rsidRDefault="00E97397" w:rsidP="00E97397">
      <w:pPr>
        <w:spacing w:before="120" w:after="120"/>
        <w:rPr>
          <w:b/>
          <w:bCs/>
        </w:rPr>
      </w:pPr>
      <w:r w:rsidRPr="00B86EF2">
        <w:rPr>
          <w:b/>
          <w:bCs/>
        </w:rPr>
        <w:t>Outcome:</w:t>
      </w:r>
    </w:p>
    <w:p w14:paraId="001D0320" w14:textId="6A95DB57" w:rsidR="00E97397" w:rsidRDefault="00E97397" w:rsidP="00E97397">
      <w:pPr>
        <w:pStyle w:val="ListParagraph"/>
        <w:numPr>
          <w:ilvl w:val="0"/>
          <w:numId w:val="1"/>
        </w:numPr>
        <w:spacing w:before="120" w:after="120"/>
      </w:pPr>
      <w:r w:rsidRPr="00E97397">
        <w:t>Organizations more rapidly learn about and respond to known incidents or breaches across vendors and service providers</w:t>
      </w:r>
    </w:p>
    <w:p w14:paraId="3A175B6F" w14:textId="440514B7" w:rsidR="00E97397" w:rsidRPr="00B86EF2" w:rsidRDefault="00E97397" w:rsidP="00E97397">
      <w:pPr>
        <w:spacing w:before="120" w:after="120"/>
        <w:rPr>
          <w:b/>
          <w:bCs/>
        </w:rPr>
      </w:pPr>
      <w:r w:rsidRPr="00B86EF2">
        <w:rPr>
          <w:b/>
          <w:bCs/>
        </w:rPr>
        <w:t>Risk Addressed:</w:t>
      </w:r>
    </w:p>
    <w:p w14:paraId="04443D6F" w14:textId="2FFB3569" w:rsidR="00E97397" w:rsidRDefault="00E97397" w:rsidP="00E97397">
      <w:pPr>
        <w:pStyle w:val="ListParagraph"/>
        <w:numPr>
          <w:ilvl w:val="0"/>
          <w:numId w:val="1"/>
        </w:numPr>
        <w:spacing w:before="120" w:after="120"/>
      </w:pPr>
      <w:r w:rsidRPr="00E97397">
        <w:t>Insufficient cybersecurity supply chain risk management (C-SCRM) practices that cannot securely support the organization's technologies and processes.</w:t>
      </w:r>
    </w:p>
    <w:p w14:paraId="07101B44" w14:textId="4D0D4FD3" w:rsidR="00E97397" w:rsidRPr="00B86EF2" w:rsidRDefault="00E97397" w:rsidP="00E97397">
      <w:pPr>
        <w:spacing w:before="120" w:after="120"/>
        <w:rPr>
          <w:b/>
          <w:bCs/>
        </w:rPr>
      </w:pPr>
      <w:r w:rsidRPr="00B86EF2">
        <w:rPr>
          <w:b/>
          <w:bCs/>
        </w:rPr>
        <w:t>Scope:</w:t>
      </w:r>
    </w:p>
    <w:p w14:paraId="60834E0B" w14:textId="11ABE4A2" w:rsidR="00E97397" w:rsidRDefault="00B86EF2" w:rsidP="00E97397">
      <w:pPr>
        <w:pStyle w:val="ListParagraph"/>
        <w:numPr>
          <w:ilvl w:val="0"/>
          <w:numId w:val="1"/>
        </w:numPr>
        <w:spacing w:before="120" w:after="120"/>
      </w:pPr>
      <w:r w:rsidRPr="00B86EF2">
        <w:t>Third-party vendors and service providers.</w:t>
      </w:r>
    </w:p>
    <w:p w14:paraId="593922CC" w14:textId="2C9D3112" w:rsidR="00E97397" w:rsidRPr="00B86EF2" w:rsidRDefault="00E97397" w:rsidP="00E97397">
      <w:pPr>
        <w:spacing w:before="120" w:after="120"/>
        <w:rPr>
          <w:b/>
          <w:bCs/>
        </w:rPr>
      </w:pPr>
      <w:r w:rsidRPr="00B86EF2">
        <w:rPr>
          <w:b/>
          <w:bCs/>
        </w:rPr>
        <w:t>Recommended Action:</w:t>
      </w:r>
    </w:p>
    <w:p w14:paraId="59CB68B8" w14:textId="4901528E" w:rsidR="00B86EF2" w:rsidRDefault="00B86EF2" w:rsidP="00B86EF2">
      <w:pPr>
        <w:pStyle w:val="ListParagraph"/>
        <w:numPr>
          <w:ilvl w:val="0"/>
          <w:numId w:val="1"/>
        </w:numPr>
        <w:spacing w:before="120" w:after="120"/>
      </w:pPr>
      <w:r w:rsidRPr="00B86EF2">
        <w:t>Procurement documents and contracts, such as service-level agreements (SLAs), stipulate that vendors and/or service providers notify the procuring customer of security incidents and vulnerabilities within a risk-informed time frame as determined by the organization.</w:t>
      </w:r>
    </w:p>
    <w:p w14:paraId="019D7F08" w14:textId="22408EEE" w:rsidR="00B86EF2" w:rsidRDefault="00B86EF2" w:rsidP="00B86EF2">
      <w:pPr>
        <w:pStyle w:val="ListParagraph"/>
        <w:numPr>
          <w:ilvl w:val="0"/>
          <w:numId w:val="1"/>
        </w:numPr>
        <w:spacing w:before="120" w:after="120"/>
      </w:pPr>
      <w:r w:rsidRPr="00B86EF2">
        <w:t>OT: Organizations with OT assets need to document and track serial numbers, checksums, digital certificates/signatures, or other identifying features that can enable them to verify the authenticity of vendor-provided OT hardware, software and firmware.</w:t>
      </w:r>
    </w:p>
    <w:p w14:paraId="5050D5EF" w14:textId="77777777" w:rsidR="00D9330C" w:rsidRDefault="00D9330C" w:rsidP="00D9330C">
      <w:pPr>
        <w:spacing w:before="120" w:after="120"/>
      </w:pPr>
    </w:p>
    <w:p w14:paraId="116B7794" w14:textId="3379CC65" w:rsidR="00D9330C" w:rsidRPr="006C34C0" w:rsidRDefault="00D9330C" w:rsidP="00D9330C">
      <w:pPr>
        <w:spacing w:before="120" w:after="120"/>
        <w:jc w:val="center"/>
        <w:rPr>
          <w:u w:val="single"/>
        </w:rPr>
      </w:pPr>
      <w:r w:rsidRPr="006C34C0">
        <w:rPr>
          <w:u w:val="single"/>
        </w:rPr>
        <w:t xml:space="preserve">U.S. HHS </w:t>
      </w:r>
      <w:r w:rsidR="006C34C0" w:rsidRPr="006C34C0">
        <w:rPr>
          <w:u w:val="single"/>
        </w:rPr>
        <w:t>Cyber Gateway</w:t>
      </w:r>
    </w:p>
    <w:p w14:paraId="717A4728" w14:textId="68B5D0F5" w:rsidR="00D9330C" w:rsidRDefault="00D9330C" w:rsidP="00D9330C">
      <w:pPr>
        <w:spacing w:before="120" w:after="120"/>
      </w:pPr>
      <w:r>
        <w:t xml:space="preserve">Typhoon Advanced Persistent Threats: </w:t>
      </w:r>
      <w:hyperlink r:id="rId6" w:history="1">
        <w:r w:rsidR="006C34C0" w:rsidRPr="006C34C0">
          <w:rPr>
            <w:rStyle w:val="Hyperlink"/>
          </w:rPr>
          <w:t>https://hhscyber.hhs.gov/405d-typhoon-video.83b3eecc.mp4</w:t>
        </w:r>
      </w:hyperlink>
    </w:p>
    <w:p w14:paraId="1BEDBA83" w14:textId="77777777" w:rsidR="00D9330C" w:rsidRDefault="00D9330C" w:rsidP="00D9330C">
      <w:pPr>
        <w:spacing w:before="120" w:after="120"/>
      </w:pPr>
    </w:p>
    <w:p w14:paraId="2420DF49" w14:textId="2FE36792" w:rsidR="00D80D68" w:rsidRDefault="00D80D68" w:rsidP="00D80D68">
      <w:pPr>
        <w:spacing w:before="120" w:after="120"/>
        <w:jc w:val="center"/>
        <w:rPr>
          <w:u w:val="single"/>
        </w:rPr>
      </w:pPr>
      <w:r w:rsidRPr="006C34C0">
        <w:rPr>
          <w:u w:val="single"/>
        </w:rPr>
        <w:t xml:space="preserve">U.S. </w:t>
      </w:r>
      <w:r>
        <w:rPr>
          <w:u w:val="single"/>
        </w:rPr>
        <w:t>NIST NVD Update 2026</w:t>
      </w:r>
    </w:p>
    <w:p w14:paraId="23E7BD49" w14:textId="59766BB7" w:rsidR="00E97397" w:rsidRPr="002E24A2" w:rsidRDefault="00D80D68" w:rsidP="002E24A2">
      <w:pPr>
        <w:pStyle w:val="Heading1"/>
        <w:rPr>
          <w:rFonts w:ascii="Times New Roman" w:eastAsiaTheme="minorHAnsi" w:hAnsi="Times New Roman" w:cstheme="minorBidi"/>
          <w:color w:val="auto"/>
          <w:sz w:val="20"/>
          <w:szCs w:val="22"/>
        </w:rPr>
      </w:pPr>
      <w:r w:rsidRPr="00D80D68">
        <w:rPr>
          <w:rFonts w:ascii="Times New Roman" w:eastAsiaTheme="minorHAnsi" w:hAnsi="Times New Roman" w:cstheme="minorBidi"/>
          <w:color w:val="auto"/>
          <w:sz w:val="20"/>
          <w:szCs w:val="22"/>
        </w:rPr>
        <w:t>NIST is rethinking its role in analyzing software vulnerabilities</w:t>
      </w:r>
      <w:r w:rsidR="002E24A2">
        <w:rPr>
          <w:rFonts w:ascii="Times New Roman" w:eastAsiaTheme="minorHAnsi" w:hAnsi="Times New Roman" w:cstheme="minorBidi"/>
          <w:color w:val="auto"/>
          <w:sz w:val="20"/>
          <w:szCs w:val="22"/>
        </w:rPr>
        <w:t xml:space="preserve">: </w:t>
      </w:r>
      <w:hyperlink r:id="rId7" w:history="1">
        <w:r w:rsidR="002E24A2" w:rsidRPr="00BC3E3E">
          <w:rPr>
            <w:rStyle w:val="Hyperlink"/>
            <w:rFonts w:ascii="Times New Roman" w:eastAsiaTheme="minorHAnsi" w:hAnsi="Times New Roman" w:cstheme="minorBidi"/>
            <w:sz w:val="20"/>
            <w:szCs w:val="22"/>
          </w:rPr>
          <w:t>https://www.cybersecuritydive.com/news/nist-cve-vulnerability-analysis-nvd-review/810300/</w:t>
        </w:r>
      </w:hyperlink>
      <w:r w:rsidR="002E24A2">
        <w:rPr>
          <w:rFonts w:ascii="Times New Roman" w:eastAsiaTheme="minorHAnsi" w:hAnsi="Times New Roman" w:cstheme="minorBidi"/>
          <w:color w:val="auto"/>
          <w:sz w:val="20"/>
          <w:szCs w:val="22"/>
        </w:rPr>
        <w:t xml:space="preserve"> </w:t>
      </w:r>
    </w:p>
    <w:sectPr w:rsidR="00E97397" w:rsidRPr="002E24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C0C14"/>
    <w:multiLevelType w:val="hybridMultilevel"/>
    <w:tmpl w:val="0BDC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9D6B5D"/>
    <w:multiLevelType w:val="hybridMultilevel"/>
    <w:tmpl w:val="408A4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8358627">
    <w:abstractNumId w:val="0"/>
  </w:num>
  <w:num w:numId="2" w16cid:durableId="2134211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397"/>
    <w:rsid w:val="00000D2E"/>
    <w:rsid w:val="002A554A"/>
    <w:rsid w:val="002E24A2"/>
    <w:rsid w:val="003151FD"/>
    <w:rsid w:val="004D3869"/>
    <w:rsid w:val="0062012A"/>
    <w:rsid w:val="006C34C0"/>
    <w:rsid w:val="007A4168"/>
    <w:rsid w:val="007D5C67"/>
    <w:rsid w:val="00B86EF2"/>
    <w:rsid w:val="00C85C17"/>
    <w:rsid w:val="00D80D68"/>
    <w:rsid w:val="00D9330C"/>
    <w:rsid w:val="00DE4AA6"/>
    <w:rsid w:val="00E97397"/>
    <w:rsid w:val="00EA4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0B129"/>
  <w15:chartTrackingRefBased/>
  <w15:docId w15:val="{125C0EFC-38DD-4376-8793-1B002A1EB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73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73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739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739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9739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9739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9739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9739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9739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3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73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739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739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9739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9739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9739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9739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9739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973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3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739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39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9739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97397"/>
    <w:rPr>
      <w:i/>
      <w:iCs/>
      <w:color w:val="404040" w:themeColor="text1" w:themeTint="BF"/>
    </w:rPr>
  </w:style>
  <w:style w:type="paragraph" w:styleId="ListParagraph">
    <w:name w:val="List Paragraph"/>
    <w:basedOn w:val="Normal"/>
    <w:uiPriority w:val="34"/>
    <w:qFormat/>
    <w:rsid w:val="00E97397"/>
    <w:pPr>
      <w:ind w:left="720"/>
      <w:contextualSpacing/>
    </w:pPr>
  </w:style>
  <w:style w:type="character" w:styleId="IntenseEmphasis">
    <w:name w:val="Intense Emphasis"/>
    <w:basedOn w:val="DefaultParagraphFont"/>
    <w:uiPriority w:val="21"/>
    <w:qFormat/>
    <w:rsid w:val="00E97397"/>
    <w:rPr>
      <w:i/>
      <w:iCs/>
      <w:color w:val="2F5496" w:themeColor="accent1" w:themeShade="BF"/>
    </w:rPr>
  </w:style>
  <w:style w:type="paragraph" w:styleId="IntenseQuote">
    <w:name w:val="Intense Quote"/>
    <w:basedOn w:val="Normal"/>
    <w:next w:val="Normal"/>
    <w:link w:val="IntenseQuoteChar"/>
    <w:uiPriority w:val="30"/>
    <w:qFormat/>
    <w:rsid w:val="00E973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7397"/>
    <w:rPr>
      <w:i/>
      <w:iCs/>
      <w:color w:val="2F5496" w:themeColor="accent1" w:themeShade="BF"/>
    </w:rPr>
  </w:style>
  <w:style w:type="character" w:styleId="IntenseReference">
    <w:name w:val="Intense Reference"/>
    <w:basedOn w:val="DefaultParagraphFont"/>
    <w:uiPriority w:val="32"/>
    <w:qFormat/>
    <w:rsid w:val="00E97397"/>
    <w:rPr>
      <w:b/>
      <w:bCs/>
      <w:smallCaps/>
      <w:color w:val="2F5496" w:themeColor="accent1" w:themeShade="BF"/>
      <w:spacing w:val="5"/>
    </w:rPr>
  </w:style>
  <w:style w:type="character" w:styleId="Hyperlink">
    <w:name w:val="Hyperlink"/>
    <w:basedOn w:val="DefaultParagraphFont"/>
    <w:uiPriority w:val="99"/>
    <w:unhideWhenUsed/>
    <w:rsid w:val="00E97397"/>
    <w:rPr>
      <w:color w:val="0563C1" w:themeColor="hyperlink"/>
      <w:u w:val="single"/>
    </w:rPr>
  </w:style>
  <w:style w:type="character" w:styleId="UnresolvedMention">
    <w:name w:val="Unresolved Mention"/>
    <w:basedOn w:val="DefaultParagraphFont"/>
    <w:uiPriority w:val="99"/>
    <w:semiHidden/>
    <w:unhideWhenUsed/>
    <w:rsid w:val="00E973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ybersecuritydive.com/news/nist-cve-vulnerability-analysis-nvd-review/8103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hscyber.hhs.gov/405d-typhoon-video.83b3eecc.mp4" TargetMode="External"/><Relationship Id="rId5" Type="http://schemas.openxmlformats.org/officeDocument/2006/relationships/hyperlink" Target="https://www.cisa.gov/cybersecurity-performance-goals-2-0-cpg-2-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Caroline</cp:lastModifiedBy>
  <cp:revision>2</cp:revision>
  <dcterms:created xsi:type="dcterms:W3CDTF">2026-01-28T22:23:00Z</dcterms:created>
  <dcterms:modified xsi:type="dcterms:W3CDTF">2026-01-28T22:23:00Z</dcterms:modified>
</cp:coreProperties>
</file>