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A25D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30E970F9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62894373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69FDA3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D83876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9EEA4A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32F8E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7E97823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6ED7A54" w14:textId="036DC4EE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F7AC36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3A72CEC" w14:textId="25289DA1" w:rsidR="00193F4D" w:rsidRPr="009E07F2" w:rsidRDefault="00AF071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F731FC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4A8157C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6B5F4F" w14:textId="3A5A54C8" w:rsidR="00193F4D" w:rsidRPr="009E07F2" w:rsidRDefault="00AF071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53341FC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1B328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136B31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5F10CEF2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3FF5AA07" w14:textId="77777777" w:rsidTr="006B3298">
        <w:tc>
          <w:tcPr>
            <w:tcW w:w="4770" w:type="dxa"/>
            <w:gridSpan w:val="2"/>
          </w:tcPr>
          <w:p w14:paraId="22E0047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071807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7EB23CF5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4E88A396" w14:textId="7A2E22C0" w:rsidR="00193F4D" w:rsidRPr="009E07F2" w:rsidRDefault="004C6D0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AF8918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CF4A2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01708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09F6AE7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D97F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101603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CD4B79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79493C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33686C8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8FA4E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CB723E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E99F9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59C976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1FB6278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1886C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FF682C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044FB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372A1C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7D8D4CD8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2A16B7F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49C3D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8EB39A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0FBB3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6C21CFA1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0C9F8F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604D2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C7BD67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5DE4C4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4A84CBE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827536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7B6FF9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77282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04C4F2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324BFE0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390379C" w14:textId="56F8214D" w:rsidR="00193F4D" w:rsidRPr="009E07F2" w:rsidRDefault="004C6D0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EB246D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53B66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E88D47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1CA34F1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85C09E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DF412A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77D15B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4B7076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9F0613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1EBF7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6A3E6F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E1389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3442F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332ACC0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5CEFA1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05DF0A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E6AA8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22A131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5E4100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E1A8E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B1A15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2BEE45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04BC57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E86BF0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9467D5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042FB9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BAEEA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2616C5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325BD6B3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848525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598CA29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34718F0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29BFC648" w14:textId="305BA8DE" w:rsidR="00A506CF" w:rsidRPr="009E07F2" w:rsidRDefault="004C6D0D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No further action is needed at this time.</w:t>
      </w:r>
    </w:p>
    <w:p w14:paraId="3D268D20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0B00DDB8" w14:textId="77777777"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3B468E32" w14:textId="5493A067" w:rsidR="00A506CF" w:rsidRPr="009E07F2" w:rsidRDefault="004C6D0D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None.</w:t>
      </w:r>
    </w:p>
    <w:p w14:paraId="1CC9F067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A1869E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5A36529" w14:textId="3E7D7851" w:rsidR="00DB3043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E7DA0A7" w14:textId="77777777" w:rsidR="004C6D0D" w:rsidRPr="009E07F2" w:rsidRDefault="004C6D0D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CACF053" w14:textId="27F8854D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618C64EF" w14:textId="77777777"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1268A008" w14:textId="4A704FA2" w:rsidR="00DB3043" w:rsidRPr="009E07F2" w:rsidRDefault="004C6D0D" w:rsidP="000307CE">
      <w:pPr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</w:rPr>
      </w:pPr>
      <w:r w:rsidRPr="000307CE">
        <w:rPr>
          <w:rFonts w:ascii="Arial" w:hAnsi="Arial" w:cs="Arial"/>
          <w:szCs w:val="23"/>
        </w:rPr>
        <w:t xml:space="preserve">To support </w:t>
      </w:r>
      <w:r w:rsidR="00E15223" w:rsidRPr="000307CE">
        <w:rPr>
          <w:rFonts w:ascii="Arial" w:hAnsi="Arial" w:cs="Arial"/>
          <w:szCs w:val="23"/>
        </w:rPr>
        <w:t xml:space="preserve">the April 16, 2015 FERC </w:t>
      </w:r>
      <w:hyperlink r:id="rId7" w:history="1">
        <w:r w:rsidR="00E15223" w:rsidRPr="000307CE">
          <w:rPr>
            <w:rStyle w:val="Hyperlink"/>
            <w:rFonts w:ascii="Arial" w:hAnsi="Arial" w:cs="Arial"/>
            <w:i/>
          </w:rPr>
          <w:t>Order Instituting Proceeding to Develop Electronic Filing Protocols for Commission Forms</w:t>
        </w:r>
      </w:hyperlink>
      <w:r w:rsidR="00E15223" w:rsidRPr="000307CE">
        <w:rPr>
          <w:rStyle w:val="Hyperlink"/>
          <w:rFonts w:ascii="Arial" w:hAnsi="Arial" w:cs="Arial"/>
          <w:i/>
          <w:color w:val="auto"/>
        </w:rPr>
        <w:t>,</w:t>
      </w:r>
      <w:r w:rsidR="002A5831">
        <w:rPr>
          <w:rStyle w:val="Hyperlink"/>
          <w:rFonts w:ascii="Arial" w:hAnsi="Arial" w:cs="Arial"/>
          <w:iCs/>
          <w:color w:val="auto"/>
          <w:u w:val="none"/>
        </w:rPr>
        <w:t xml:space="preserve"> </w:t>
      </w:r>
      <w:r w:rsidR="00E15223" w:rsidRPr="002A5831">
        <w:rPr>
          <w:rStyle w:val="Hyperlink"/>
          <w:rFonts w:ascii="Arial" w:hAnsi="Arial" w:cs="Arial"/>
          <w:color w:val="auto"/>
          <w:u w:val="none"/>
        </w:rPr>
        <w:t>informing the industry of the Commission’s intention to replace the submittal format of FERC</w:t>
      </w:r>
      <w:r w:rsidR="00BB1FEB" w:rsidRPr="00AC6257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E15223" w:rsidRPr="00AC6257">
        <w:rPr>
          <w:rStyle w:val="Hyperlink"/>
          <w:rFonts w:ascii="Arial" w:hAnsi="Arial" w:cs="Arial"/>
          <w:color w:val="auto"/>
          <w:u w:val="none"/>
        </w:rPr>
        <w:t>Forms</w:t>
      </w:r>
      <w:r w:rsidR="00AC6257">
        <w:rPr>
          <w:rStyle w:val="Hyperlink"/>
          <w:rFonts w:ascii="Arial" w:hAnsi="Arial" w:cs="Arial"/>
          <w:u w:val="none"/>
        </w:rPr>
        <w:t xml:space="preserve"> </w:t>
      </w:r>
      <w:r w:rsidR="00E15223" w:rsidRPr="00AC6257">
        <w:rPr>
          <w:rFonts w:ascii="Arial" w:hAnsi="Arial" w:cs="Arial"/>
        </w:rPr>
        <w:t>1</w:t>
      </w:r>
      <w:r w:rsidR="00E15223" w:rsidRPr="000307CE">
        <w:rPr>
          <w:rFonts w:ascii="Arial" w:hAnsi="Arial" w:cs="Arial"/>
        </w:rPr>
        <w:t>, 1-F, 2, 2-A, 3-Q electric, 3-Q gas, 6, 6-Q, FERC-60 and FERC-714 from the software Visual FoxPro to an XML file format, the NAESB Board of Directors took action to create a joint WEQ/WGQ annual plan item to develop and/or modify standards consistent with the order.</w:t>
      </w:r>
    </w:p>
    <w:p w14:paraId="52D00495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713D91F2" w14:textId="77777777" w:rsidR="00155A8D" w:rsidRDefault="000307CE" w:rsidP="002A5831">
      <w:pPr>
        <w:pStyle w:val="DefaultText"/>
        <w:spacing w:before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WEQ/WGQ FERC Forms Subcommittee is recommending no further action at this time.  </w:t>
      </w:r>
    </w:p>
    <w:p w14:paraId="114CB261" w14:textId="732B514E" w:rsidR="00DB3043" w:rsidRDefault="00522736" w:rsidP="002A5831">
      <w:pPr>
        <w:pStyle w:val="DefaultText"/>
        <w:spacing w:before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2A5831">
        <w:rPr>
          <w:rFonts w:ascii="Arial" w:hAnsi="Arial" w:cs="Arial"/>
          <w:sz w:val="20"/>
        </w:rPr>
        <w:t xml:space="preserve">subcommittee served as an industry forum to gauge consensus on a number of foundational elements for the Commission’s </w:t>
      </w:r>
      <w:proofErr w:type="spellStart"/>
      <w:r w:rsidR="002A5831">
        <w:rPr>
          <w:rFonts w:ascii="Arial" w:hAnsi="Arial" w:cs="Arial"/>
          <w:sz w:val="20"/>
        </w:rPr>
        <w:t>eForms</w:t>
      </w:r>
      <w:proofErr w:type="spellEnd"/>
      <w:r w:rsidR="002A5831">
        <w:rPr>
          <w:rFonts w:ascii="Arial" w:hAnsi="Arial" w:cs="Arial"/>
          <w:sz w:val="20"/>
        </w:rPr>
        <w:t xml:space="preserve"> Refresh effort</w:t>
      </w:r>
      <w:r>
        <w:rPr>
          <w:rFonts w:ascii="Arial" w:hAnsi="Arial" w:cs="Arial"/>
          <w:sz w:val="20"/>
        </w:rPr>
        <w:t>, holding a series of meetings between August 2015 and January 2019.</w:t>
      </w:r>
      <w:r w:rsidR="002A583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As part of these meetings, the subcommittee</w:t>
      </w:r>
      <w:r w:rsidR="002A5831">
        <w:rPr>
          <w:rFonts w:ascii="Arial" w:hAnsi="Arial" w:cs="Arial"/>
          <w:sz w:val="20"/>
        </w:rPr>
        <w:t xml:space="preserve"> addressed a variety of areas, providing input regarding a number of key issues</w:t>
      </w:r>
      <w:r w:rsidR="00B5640A">
        <w:rPr>
          <w:rFonts w:ascii="Arial" w:hAnsi="Arial" w:cs="Arial"/>
          <w:sz w:val="20"/>
        </w:rPr>
        <w:t xml:space="preserve">, from the filing format and submittal process to minute details critical to usability, such as the formatting of error messages and data validations.  The WEQ/WGQ FERC Forms Subcommittee developed a sample document to identify consensus industry positions on these topics that served as building blocks for the </w:t>
      </w:r>
      <w:r w:rsidR="00155A8D">
        <w:rPr>
          <w:rFonts w:ascii="Arial" w:hAnsi="Arial" w:cs="Arial"/>
          <w:sz w:val="20"/>
        </w:rPr>
        <w:t xml:space="preserve">Commission’s determinations in </w:t>
      </w:r>
      <w:hyperlink r:id="rId8" w:history="1">
        <w:r w:rsidR="00155A8D" w:rsidRPr="00155A8D">
          <w:rPr>
            <w:rStyle w:val="Hyperlink"/>
            <w:rFonts w:ascii="Arial" w:hAnsi="Arial" w:cs="Arial"/>
            <w:i/>
            <w:iCs/>
            <w:sz w:val="20"/>
          </w:rPr>
          <w:t>FERC Order No. 859 Revisions to the Filing Process for Commission Forms</w:t>
        </w:r>
      </w:hyperlink>
      <w:r w:rsidR="00155A8D">
        <w:rPr>
          <w:rFonts w:ascii="Arial" w:hAnsi="Arial" w:cs="Arial"/>
          <w:sz w:val="20"/>
        </w:rPr>
        <w:t>, issued in June 2019</w:t>
      </w:r>
      <w:r w:rsidR="00B91D67">
        <w:rPr>
          <w:rFonts w:ascii="Arial" w:hAnsi="Arial" w:cs="Arial"/>
          <w:sz w:val="20"/>
        </w:rPr>
        <w:t xml:space="preserve"> and the subsequently developed XBRL taxonomy</w:t>
      </w:r>
      <w:r w:rsidR="00155A8D">
        <w:rPr>
          <w:rFonts w:ascii="Arial" w:hAnsi="Arial" w:cs="Arial"/>
          <w:sz w:val="20"/>
        </w:rPr>
        <w:t>.</w:t>
      </w:r>
    </w:p>
    <w:p w14:paraId="4663FC71" w14:textId="0D6A317D" w:rsidR="00DB3043" w:rsidRPr="009E07F2" w:rsidRDefault="000F03FF" w:rsidP="002515D7">
      <w:pPr>
        <w:pStyle w:val="DefaultText"/>
        <w:spacing w:before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July 2020, </w:t>
      </w:r>
      <w:r w:rsidR="002515D7">
        <w:rPr>
          <w:rFonts w:ascii="Arial" w:hAnsi="Arial" w:cs="Arial"/>
          <w:sz w:val="20"/>
        </w:rPr>
        <w:t xml:space="preserve">following the Commission staff-led technical conference regarding the use of XBRL, </w:t>
      </w:r>
      <w:r>
        <w:rPr>
          <w:rFonts w:ascii="Arial" w:hAnsi="Arial" w:cs="Arial"/>
          <w:sz w:val="20"/>
        </w:rPr>
        <w:t xml:space="preserve">FERC released </w:t>
      </w:r>
      <w:r w:rsidR="002515D7">
        <w:rPr>
          <w:rFonts w:ascii="Arial" w:hAnsi="Arial" w:cs="Arial"/>
          <w:sz w:val="20"/>
        </w:rPr>
        <w:t xml:space="preserve">a subsequent </w:t>
      </w:r>
      <w:hyperlink r:id="rId9" w:history="1">
        <w:r w:rsidR="002515D7" w:rsidRPr="007F4A50">
          <w:rPr>
            <w:rStyle w:val="Hyperlink"/>
            <w:rFonts w:ascii="Arial" w:hAnsi="Arial" w:cs="Arial"/>
            <w:sz w:val="20"/>
          </w:rPr>
          <w:t>order</w:t>
        </w:r>
      </w:hyperlink>
      <w:r w:rsidR="002515D7">
        <w:rPr>
          <w:rFonts w:ascii="Arial" w:hAnsi="Arial" w:cs="Arial"/>
          <w:sz w:val="20"/>
        </w:rPr>
        <w:t xml:space="preserve"> adopting the final XBRL taxonomy, protocols, implementation guide, and other supporting documents as well as establishing an implementation schedule for use of the new filing protocol.</w:t>
      </w:r>
      <w:r w:rsidR="00280274">
        <w:rPr>
          <w:rFonts w:ascii="Arial" w:hAnsi="Arial" w:cs="Arial"/>
          <w:sz w:val="20"/>
        </w:rPr>
        <w:t xml:space="preserve">  With the new </w:t>
      </w:r>
      <w:proofErr w:type="spellStart"/>
      <w:r w:rsidR="00280274">
        <w:rPr>
          <w:rFonts w:ascii="Arial" w:hAnsi="Arial" w:cs="Arial"/>
          <w:sz w:val="20"/>
        </w:rPr>
        <w:t>eFiling</w:t>
      </w:r>
      <w:proofErr w:type="spellEnd"/>
      <w:r w:rsidR="00280274">
        <w:rPr>
          <w:rFonts w:ascii="Arial" w:hAnsi="Arial" w:cs="Arial"/>
          <w:sz w:val="20"/>
        </w:rPr>
        <w:t xml:space="preserve"> system going into production at FERC, no further action by NAESB is needed at this time.</w:t>
      </w:r>
    </w:p>
    <w:p w14:paraId="04D866A7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3BA78FFA" w14:textId="50DA3436" w:rsidR="00DB3043" w:rsidRPr="009E07F2" w:rsidRDefault="002515D7" w:rsidP="007F4A50">
      <w:pPr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As the industry has begun implementing </w:t>
      </w:r>
      <w:r w:rsidR="007F4A50">
        <w:rPr>
          <w:rFonts w:ascii="Arial" w:hAnsi="Arial" w:cs="Arial"/>
        </w:rPr>
        <w:t>the new filing protocol, no further action is needed at this time regarding standards development.</w:t>
      </w:r>
    </w:p>
    <w:p w14:paraId="264B4443" w14:textId="479BCFB3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258D6975" w14:textId="1583D26E" w:rsidR="00C04EB5" w:rsidRDefault="007F4A50" w:rsidP="00522736">
      <w:pPr>
        <w:tabs>
          <w:tab w:val="left" w:pos="1080"/>
        </w:tabs>
        <w:spacing w:before="120" w:after="120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reference the WEQ/WGQ FERC Forms Subcommittee meeting minutes: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2693"/>
        <w:gridCol w:w="2695"/>
      </w:tblGrid>
      <w:tr w:rsidR="00833ED3" w14:paraId="3448DA18" w14:textId="0234FA34" w:rsidTr="00C04EB5">
        <w:tc>
          <w:tcPr>
            <w:tcW w:w="3060" w:type="dxa"/>
          </w:tcPr>
          <w:p w14:paraId="5F63A44D" w14:textId="77777777" w:rsidR="00833ED3" w:rsidRDefault="00044E13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August 13, 2015</w:t>
            </w:r>
          </w:p>
          <w:p w14:paraId="3408AA8A" w14:textId="77777777" w:rsidR="00044E13" w:rsidRDefault="00044E13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August 20, 2015</w:t>
            </w:r>
          </w:p>
          <w:p w14:paraId="47136392" w14:textId="1C3039F6" w:rsidR="00044E13" w:rsidRDefault="00044E13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September 1, 2015</w:t>
            </w:r>
          </w:p>
          <w:p w14:paraId="0C6E28B8" w14:textId="77777777" w:rsidR="00044E13" w:rsidRDefault="00044E13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September 14, 2015</w:t>
            </w:r>
          </w:p>
          <w:p w14:paraId="44446A9F" w14:textId="77777777" w:rsidR="00044E13" w:rsidRDefault="00044E13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November 13, 2015</w:t>
            </w:r>
          </w:p>
          <w:p w14:paraId="5C8CAA62" w14:textId="77777777" w:rsidR="00044E13" w:rsidRDefault="00C04EB5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December 7, 2015</w:t>
            </w:r>
          </w:p>
          <w:p w14:paraId="35C9E2C7" w14:textId="38EA747E" w:rsidR="00C04EB5" w:rsidRPr="00522736" w:rsidRDefault="00C04EB5" w:rsidP="00522736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March 24, 2016</w:t>
            </w:r>
          </w:p>
        </w:tc>
        <w:tc>
          <w:tcPr>
            <w:tcW w:w="2700" w:type="dxa"/>
          </w:tcPr>
          <w:p w14:paraId="510C2A5F" w14:textId="50C78AD6" w:rsidR="00522736" w:rsidRDefault="00522736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April 19, 2016</w:t>
            </w:r>
          </w:p>
          <w:p w14:paraId="676801B5" w14:textId="4B2E7A07" w:rsidR="00833ED3" w:rsidRDefault="00833ED3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May 17, 2016</w:t>
            </w:r>
          </w:p>
          <w:p w14:paraId="3CD42CB0" w14:textId="0D8FF99F" w:rsidR="00833ED3" w:rsidRDefault="00833ED3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June 2, 2016</w:t>
            </w:r>
          </w:p>
          <w:p w14:paraId="25036151" w14:textId="77777777" w:rsidR="00833ED3" w:rsidRDefault="00833ED3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June 28, 2016</w:t>
            </w:r>
          </w:p>
          <w:p w14:paraId="56D20258" w14:textId="77777777" w:rsidR="00833ED3" w:rsidRDefault="00833ED3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July 15, 2016</w:t>
            </w:r>
          </w:p>
          <w:p w14:paraId="1C8A273E" w14:textId="77777777" w:rsidR="00833ED3" w:rsidRDefault="00833ED3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August 4, 2016</w:t>
            </w:r>
          </w:p>
          <w:p w14:paraId="1D0DC4F0" w14:textId="59246B6C" w:rsidR="00833ED3" w:rsidRPr="00522736" w:rsidRDefault="00833ED3" w:rsidP="00522736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August 24, 2016</w:t>
            </w:r>
          </w:p>
        </w:tc>
        <w:tc>
          <w:tcPr>
            <w:tcW w:w="2700" w:type="dxa"/>
          </w:tcPr>
          <w:p w14:paraId="7CA85668" w14:textId="7B6C64CC" w:rsidR="00522736" w:rsidRDefault="00522736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September 16, 2016</w:t>
            </w:r>
          </w:p>
          <w:p w14:paraId="5E465B6F" w14:textId="36086F73" w:rsidR="00C04EB5" w:rsidRDefault="00C04EB5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November 8, 2016</w:t>
            </w:r>
          </w:p>
          <w:p w14:paraId="61A1D0AC" w14:textId="142B5AC8" w:rsidR="00C04EB5" w:rsidRDefault="00C04EB5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December 2, 2016</w:t>
            </w:r>
          </w:p>
          <w:p w14:paraId="366B7E78" w14:textId="323CCD6E" w:rsidR="00833ED3" w:rsidRDefault="00833ED3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June 18, 2018</w:t>
            </w:r>
          </w:p>
          <w:p w14:paraId="1959F408" w14:textId="77777777" w:rsidR="00044E13" w:rsidRDefault="00044E13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August 7, 2018</w:t>
            </w:r>
          </w:p>
          <w:p w14:paraId="2182CE19" w14:textId="77777777" w:rsidR="00044E13" w:rsidRDefault="00044E13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January 25, 2019</w:t>
            </w:r>
          </w:p>
          <w:p w14:paraId="456F4F3E" w14:textId="7571622F" w:rsidR="00044E13" w:rsidRDefault="00044E13" w:rsidP="00C04EB5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October 21, 2021</w:t>
            </w:r>
          </w:p>
        </w:tc>
      </w:tr>
    </w:tbl>
    <w:p w14:paraId="03672817" w14:textId="77777777" w:rsidR="000D4ED1" w:rsidRDefault="000D4ED1" w:rsidP="000D4ED1">
      <w:pPr>
        <w:tabs>
          <w:tab w:val="left" w:pos="1080"/>
        </w:tabs>
        <w:spacing w:before="120"/>
        <w:rPr>
          <w:rFonts w:ascii="Arial" w:hAnsi="Arial" w:cs="Arial"/>
          <w:bCs/>
        </w:rPr>
      </w:pPr>
    </w:p>
    <w:sectPr w:rsidR="000D4ED1">
      <w:headerReference w:type="default" r:id="rId10"/>
      <w:footerReference w:type="default" r:id="rId11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64F8" w14:textId="77777777" w:rsidR="001D69A5" w:rsidRDefault="001D69A5">
      <w:r>
        <w:separator/>
      </w:r>
    </w:p>
  </w:endnote>
  <w:endnote w:type="continuationSeparator" w:id="0">
    <w:p w14:paraId="5287248D" w14:textId="77777777" w:rsidR="001D69A5" w:rsidRDefault="001D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F346" w14:textId="69E69334" w:rsidR="001F55B3" w:rsidRPr="001F55B3" w:rsidRDefault="00BB1FEB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October 21, 2021</w:t>
    </w:r>
  </w:p>
  <w:p w14:paraId="7A2585D7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547F" w14:textId="77777777" w:rsidR="001D69A5" w:rsidRDefault="001D69A5">
      <w:r>
        <w:separator/>
      </w:r>
    </w:p>
  </w:footnote>
  <w:footnote w:type="continuationSeparator" w:id="0">
    <w:p w14:paraId="1BDC7AFD" w14:textId="77777777" w:rsidR="001D69A5" w:rsidRDefault="001D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1695" w14:textId="77777777" w:rsidR="001F55B3" w:rsidRDefault="001D69A5" w:rsidP="001F55B3">
    <w:pPr>
      <w:pStyle w:val="BodyText"/>
    </w:pPr>
    <w:r>
      <w:object w:dxaOrig="1440" w:dyaOrig="1440" w14:anchorId="18401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696331104" r:id="rId2"/>
      </w:object>
    </w:r>
  </w:p>
  <w:p w14:paraId="2C382C32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02043A62" w14:textId="5AF40124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9E0C54">
      <w:rPr>
        <w:rFonts w:ascii="Arial" w:hAnsi="Arial" w:cs="Arial"/>
        <w:b/>
        <w:sz w:val="22"/>
      </w:rPr>
      <w:tab/>
    </w:r>
    <w:r w:rsidR="009E0C54" w:rsidRPr="009E0C54">
      <w:rPr>
        <w:rFonts w:ascii="Arial" w:hAnsi="Arial" w:cs="Arial"/>
        <w:bCs/>
        <w:sz w:val="22"/>
      </w:rPr>
      <w:t>WEQ/WGQ</w:t>
    </w:r>
  </w:p>
  <w:p w14:paraId="77406843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7CECC80D" w14:textId="18DCBAF4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9E0C54">
      <w:rPr>
        <w:rFonts w:ascii="Arial" w:hAnsi="Arial" w:cs="Arial"/>
        <w:b/>
        <w:sz w:val="22"/>
      </w:rPr>
      <w:tab/>
    </w:r>
    <w:r w:rsidR="009E0C54">
      <w:rPr>
        <w:rFonts w:ascii="Arial" w:hAnsi="Arial" w:cs="Arial"/>
        <w:bCs/>
        <w:sz w:val="22"/>
      </w:rPr>
      <w:t>FERC Forms Subcommittee</w:t>
    </w:r>
    <w:r>
      <w:rPr>
        <w:rFonts w:ascii="Arial" w:hAnsi="Arial" w:cs="Arial"/>
        <w:b/>
        <w:sz w:val="22"/>
      </w:rPr>
      <w:tab/>
    </w:r>
  </w:p>
  <w:p w14:paraId="22C39947" w14:textId="30518513" w:rsidR="001F55B3" w:rsidRPr="009E0C54" w:rsidRDefault="001F55B3" w:rsidP="009E0C54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Cs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9E0C54">
      <w:rPr>
        <w:rFonts w:ascii="Arial" w:hAnsi="Arial" w:cs="Arial"/>
        <w:bCs/>
        <w:sz w:val="22"/>
      </w:rPr>
      <w:t xml:space="preserve">2021 WEQ Annual Plan Item 5 and 2021 WGQ Annual Plan Item </w:t>
    </w:r>
    <w:r w:rsidR="00AF0712">
      <w:rPr>
        <w:rFonts w:ascii="Arial" w:hAnsi="Arial" w:cs="Arial"/>
        <w:bCs/>
        <w:sz w:val="22"/>
      </w:rPr>
      <w:t>3</w:t>
    </w:r>
  </w:p>
  <w:p w14:paraId="44DC0AB1" w14:textId="0376F84C" w:rsidR="001F55B3" w:rsidRPr="00AF0712" w:rsidRDefault="001F55B3" w:rsidP="00AF0712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Cs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AF0712" w:rsidRPr="00AF0712">
      <w:rPr>
        <w:rFonts w:ascii="Arial" w:hAnsi="Arial" w:cs="Arial"/>
        <w:bCs/>
        <w:sz w:val="22"/>
      </w:rPr>
      <w:t>Develop business practices as needed to support electronic filing protocols for submittal of FERC Forms</w:t>
    </w:r>
  </w:p>
  <w:p w14:paraId="4892F03B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726FFC"/>
    <w:multiLevelType w:val="hybridMultilevel"/>
    <w:tmpl w:val="2F58B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307CE"/>
    <w:rsid w:val="00044E13"/>
    <w:rsid w:val="000904F5"/>
    <w:rsid w:val="000D4ED1"/>
    <w:rsid w:val="000F03FF"/>
    <w:rsid w:val="00155A8D"/>
    <w:rsid w:val="00193F4D"/>
    <w:rsid w:val="001A01E8"/>
    <w:rsid w:val="001D69A5"/>
    <w:rsid w:val="001F55B3"/>
    <w:rsid w:val="002515D7"/>
    <w:rsid w:val="00280274"/>
    <w:rsid w:val="002A5831"/>
    <w:rsid w:val="00382C52"/>
    <w:rsid w:val="00440523"/>
    <w:rsid w:val="00481507"/>
    <w:rsid w:val="004C6D0D"/>
    <w:rsid w:val="00522736"/>
    <w:rsid w:val="00602F43"/>
    <w:rsid w:val="006B3298"/>
    <w:rsid w:val="006D7EDB"/>
    <w:rsid w:val="007F4A50"/>
    <w:rsid w:val="00833ED3"/>
    <w:rsid w:val="009E07F2"/>
    <w:rsid w:val="009E0C54"/>
    <w:rsid w:val="00A506CF"/>
    <w:rsid w:val="00AC6257"/>
    <w:rsid w:val="00AF0712"/>
    <w:rsid w:val="00B3079F"/>
    <w:rsid w:val="00B5640A"/>
    <w:rsid w:val="00B91D67"/>
    <w:rsid w:val="00BB1FEB"/>
    <w:rsid w:val="00BB61DF"/>
    <w:rsid w:val="00C04EB5"/>
    <w:rsid w:val="00C849B1"/>
    <w:rsid w:val="00D07C20"/>
    <w:rsid w:val="00D64111"/>
    <w:rsid w:val="00DB3043"/>
    <w:rsid w:val="00E15223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C9B46"/>
  <w15:docId w15:val="{711CE121-BBB0-4D3E-ACD2-675E539C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uiPriority w:val="99"/>
    <w:rsid w:val="00E15223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A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4A50"/>
    <w:pPr>
      <w:ind w:left="720"/>
      <w:contextualSpacing/>
    </w:pPr>
  </w:style>
  <w:style w:type="table" w:styleId="TableGrid">
    <w:name w:val="Table Grid"/>
    <w:basedOn w:val="TableNormal"/>
    <w:rsid w:val="000D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pdf4/ferc062019_filing_process_commission_forms_final_rule_ferc_order_no_85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esb.org/pdf4/ferc041615_electronic_filing_protocols_form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esb.org/pdf4/ferc071720_revisions_comm_forms_filing_process_rm19-12-00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Caroline Trum</cp:lastModifiedBy>
  <cp:revision>2</cp:revision>
  <cp:lastPrinted>2003-09-05T13:18:00Z</cp:lastPrinted>
  <dcterms:created xsi:type="dcterms:W3CDTF">2021-10-21T19:18:00Z</dcterms:created>
  <dcterms:modified xsi:type="dcterms:W3CDTF">2021-10-21T19:18:00Z</dcterms:modified>
</cp:coreProperties>
</file>