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4F" w:rsidRPr="0087534F" w:rsidRDefault="0087534F" w:rsidP="0087534F">
      <w:pPr>
        <w:jc w:val="center"/>
        <w:rPr>
          <w:b/>
        </w:rPr>
      </w:pPr>
      <w:r w:rsidRPr="0087534F">
        <w:rPr>
          <w:b/>
        </w:rPr>
        <w:t>Southern Company</w:t>
      </w:r>
    </w:p>
    <w:p w:rsidR="0087534F" w:rsidRPr="0087534F" w:rsidRDefault="0087534F" w:rsidP="0087534F">
      <w:pPr>
        <w:jc w:val="center"/>
        <w:rPr>
          <w:b/>
        </w:rPr>
      </w:pPr>
      <w:r w:rsidRPr="0087534F">
        <w:rPr>
          <w:b/>
        </w:rPr>
        <w:t>11/30/2016</w:t>
      </w:r>
    </w:p>
    <w:p w:rsidR="0087534F" w:rsidRPr="0087534F" w:rsidRDefault="0087534F" w:rsidP="0087534F">
      <w:pPr>
        <w:jc w:val="center"/>
        <w:rPr>
          <w:b/>
        </w:rPr>
      </w:pPr>
      <w:r w:rsidRPr="0087534F">
        <w:rPr>
          <w:b/>
        </w:rPr>
        <w:t>Long-Term Firm Rollover Rights (OATT 2.2) Formal Comments</w:t>
      </w:r>
    </w:p>
    <w:p w:rsidR="00BE51F0" w:rsidRDefault="00D85CF7" w:rsidP="0087534F">
      <w:pPr>
        <w:jc w:val="both"/>
      </w:pPr>
      <w:r>
        <w:t>Southern Company supports the flexibility</w:t>
      </w:r>
      <w:r w:rsidR="008518D7">
        <w:t xml:space="preserve"> set forth</w:t>
      </w:r>
      <w:r>
        <w:t xml:space="preserve"> in the </w:t>
      </w:r>
      <w:r w:rsidR="00FD2AD9">
        <w:t xml:space="preserve">draft </w:t>
      </w:r>
      <w:r>
        <w:t>WEQ 001-020 business practice standard</w:t>
      </w:r>
      <w:r w:rsidR="008518D7">
        <w:t xml:space="preserve"> that permits</w:t>
      </w:r>
      <w:r>
        <w:t xml:space="preserve"> a Transmission Provider to implement its own competition process as it relates to competing for long-term, </w:t>
      </w:r>
      <w:r w:rsidR="00E37A41">
        <w:t>unexercised</w:t>
      </w:r>
      <w:r>
        <w:t xml:space="preserve"> rollover rights.  Transmission Providers across the nation plan their transmission sy</w:t>
      </w:r>
      <w:bookmarkStart w:id="0" w:name="_GoBack"/>
      <w:bookmarkEnd w:id="0"/>
      <w:r>
        <w:t xml:space="preserve">stems and evaluate services for long-term rollover rights </w:t>
      </w:r>
      <w:r w:rsidR="008518D7">
        <w:t xml:space="preserve">in </w:t>
      </w:r>
      <w:r>
        <w:t xml:space="preserve">many different ways.  </w:t>
      </w:r>
    </w:p>
    <w:p w:rsidR="00BE51F0" w:rsidRDefault="00AB133B" w:rsidP="0087534F">
      <w:pPr>
        <w:jc w:val="both"/>
      </w:pPr>
      <w:r>
        <w:t xml:space="preserve">FERC has never prescribed </w:t>
      </w:r>
      <w:r w:rsidR="00FD2AD9">
        <w:t>one</w:t>
      </w:r>
      <w:r>
        <w:t xml:space="preserve"> way to process long-term rollover requests and related competing requests.  In fact, FERC has plainly stated on many occasions that “the Commission has never found that there is only one way to process rollover requests” (Tenaska Power v MISO, EL04-43 and EL04</w:t>
      </w:r>
      <w:r w:rsidR="00E37A41">
        <w:t>-4</w:t>
      </w:r>
      <w:r>
        <w:t>6</w:t>
      </w:r>
      <w:r w:rsidR="00416FE4">
        <w:t>; Cargill v SPP, EL08-9</w:t>
      </w:r>
      <w:r>
        <w:t>)</w:t>
      </w:r>
      <w:r w:rsidR="008518D7">
        <w:t>.</w:t>
      </w:r>
      <w:r>
        <w:t xml:space="preserve"> </w:t>
      </w:r>
      <w:r w:rsidR="00E37A41">
        <w:t xml:space="preserve"> </w:t>
      </w:r>
      <w:r w:rsidR="00B56B2B">
        <w:t>Southern Company believes</w:t>
      </w:r>
      <w:r w:rsidR="00F974EC">
        <w:t xml:space="preserve"> this is </w:t>
      </w:r>
      <w:r w:rsidR="00D543BE">
        <w:t xml:space="preserve">the reason </w:t>
      </w:r>
      <w:r w:rsidR="00F974EC">
        <w:t xml:space="preserve">FERC never directed NAESB to </w:t>
      </w:r>
      <w:r w:rsidR="00B56B2B">
        <w:t>develop a business practice standard on long-term competition, but rather</w:t>
      </w:r>
      <w:r w:rsidR="00046AC1">
        <w:t xml:space="preserve"> “…determined not to specify in [Order 888-A] the mechanics by which the right of first refusal will be executed for existing firm transmission arrangements” (Order 888-A, 62 Fed </w:t>
      </w:r>
      <w:proofErr w:type="spellStart"/>
      <w:r w:rsidR="00046AC1">
        <w:t>Reg</w:t>
      </w:r>
      <w:proofErr w:type="spellEnd"/>
      <w:r w:rsidR="00046AC1">
        <w:t xml:space="preserve"> 12274, p 12288)</w:t>
      </w:r>
      <w:r w:rsidR="008518D7">
        <w:t>.</w:t>
      </w:r>
      <w:r w:rsidR="00046AC1">
        <w:t xml:space="preserve"> </w:t>
      </w:r>
      <w:r w:rsidR="00FD2AD9">
        <w:t xml:space="preserve"> </w:t>
      </w:r>
      <w:r w:rsidR="003004DA">
        <w:t>Therefore</w:t>
      </w:r>
      <w:r w:rsidR="008518D7">
        <w:t xml:space="preserve">, FERC has not </w:t>
      </w:r>
      <w:r w:rsidR="003004DA">
        <w:t>requested</w:t>
      </w:r>
      <w:r w:rsidR="008518D7">
        <w:t xml:space="preserve"> the development of this standard. </w:t>
      </w:r>
      <w:r w:rsidR="00FD2AD9">
        <w:t xml:space="preserve"> </w:t>
      </w:r>
      <w:r w:rsidR="00232E1B">
        <w:t>However</w:t>
      </w:r>
      <w:r w:rsidR="00046AC1">
        <w:t xml:space="preserve">, if </w:t>
      </w:r>
      <w:r w:rsidR="00232E1B">
        <w:t xml:space="preserve">NAESB adopts this standard </w:t>
      </w:r>
      <w:r w:rsidR="00D543BE">
        <w:t xml:space="preserve">without </w:t>
      </w:r>
      <w:r w:rsidR="00046AC1">
        <w:t>allow</w:t>
      </w:r>
      <w:r w:rsidR="00D543BE">
        <w:t>ing</w:t>
      </w:r>
      <w:r w:rsidR="00046AC1">
        <w:t xml:space="preserve"> for an alternative competition process, then </w:t>
      </w:r>
      <w:r w:rsidR="008518D7">
        <w:t xml:space="preserve">NAESB will be imposing a </w:t>
      </w:r>
      <w:r w:rsidR="00D543BE">
        <w:t>“</w:t>
      </w:r>
      <w:r w:rsidR="00232E1B">
        <w:t>one-size-fits-all</w:t>
      </w:r>
      <w:r w:rsidR="00D543BE">
        <w:t>”</w:t>
      </w:r>
      <w:r w:rsidR="00232E1B">
        <w:t xml:space="preserve"> </w:t>
      </w:r>
      <w:r w:rsidR="008518D7">
        <w:t xml:space="preserve">standard </w:t>
      </w:r>
      <w:r w:rsidR="00232E1B">
        <w:t xml:space="preserve">on all jurisdictional Transmission Providers (something FERC explicitly </w:t>
      </w:r>
      <w:r w:rsidR="00AF749A">
        <w:t>determined</w:t>
      </w:r>
      <w:r w:rsidR="00232E1B">
        <w:t xml:space="preserve"> not </w:t>
      </w:r>
      <w:r w:rsidR="00AF749A">
        <w:t xml:space="preserve">to </w:t>
      </w:r>
      <w:r w:rsidR="00232E1B">
        <w:t>do)</w:t>
      </w:r>
      <w:r w:rsidR="00D543BE">
        <w:t xml:space="preserve">.  </w:t>
      </w:r>
      <w:r w:rsidR="00225684">
        <w:t>If adopted</w:t>
      </w:r>
      <w:r w:rsidR="00D543BE">
        <w:t>, these</w:t>
      </w:r>
      <w:r w:rsidR="00232E1B">
        <w:t xml:space="preserve"> </w:t>
      </w:r>
      <w:r w:rsidR="00046AC1">
        <w:t>Transmission Providers w</w:t>
      </w:r>
      <w:r w:rsidR="00225684">
        <w:t>ould</w:t>
      </w:r>
      <w:r w:rsidR="00046AC1">
        <w:t xml:space="preserve"> be </w:t>
      </w:r>
      <w:r w:rsidR="008518D7">
        <w:t>required</w:t>
      </w:r>
      <w:r w:rsidR="00046AC1">
        <w:t xml:space="preserve"> to </w:t>
      </w:r>
      <w:r w:rsidR="008518D7">
        <w:t xml:space="preserve">implement </w:t>
      </w:r>
      <w:r w:rsidR="00046AC1">
        <w:t>th</w:t>
      </w:r>
      <w:r w:rsidR="00773E53">
        <w:t xml:space="preserve">is standard as a </w:t>
      </w:r>
      <w:r w:rsidR="00046AC1">
        <w:t xml:space="preserve">mandatory and enforceable requirement </w:t>
      </w:r>
      <w:r w:rsidR="00773E53">
        <w:t>under</w:t>
      </w:r>
      <w:r w:rsidR="00046AC1">
        <w:t xml:space="preserve"> FERC regulations since the NAESB standards are</w:t>
      </w:r>
      <w:r w:rsidR="00676844">
        <w:t xml:space="preserve">, with few exceptions, </w:t>
      </w:r>
      <w:r w:rsidR="00046AC1">
        <w:t xml:space="preserve">incorporated by reference </w:t>
      </w:r>
      <w:r w:rsidR="00773E53">
        <w:t>in</w:t>
      </w:r>
      <w:r w:rsidR="00046AC1">
        <w:t xml:space="preserve">to </w:t>
      </w:r>
      <w:r w:rsidR="00232E1B">
        <w:t>the pro forma</w:t>
      </w:r>
      <w:r w:rsidR="00046AC1">
        <w:t xml:space="preserve"> Tariff</w:t>
      </w:r>
      <w:r w:rsidR="00773E53">
        <w:t xml:space="preserve"> (Order No.</w:t>
      </w:r>
      <w:r w:rsidR="00676844">
        <w:t xml:space="preserve"> 676-H, 148 FERC P61205 RM05-5).  </w:t>
      </w:r>
      <w:r w:rsidR="00D543BE">
        <w:t>Without the flexibility</w:t>
      </w:r>
      <w:r w:rsidR="00224D0C">
        <w:t xml:space="preserve"> for a Transmission Provider</w:t>
      </w:r>
      <w:r w:rsidR="00D543BE">
        <w:t xml:space="preserve"> </w:t>
      </w:r>
      <w:r w:rsidR="00AB2BCD">
        <w:t xml:space="preserve">to implement its own competition process, this standard would </w:t>
      </w:r>
      <w:r w:rsidR="002E50FB">
        <w:t>be contrary to</w:t>
      </w:r>
      <w:r w:rsidR="00A576B9">
        <w:t xml:space="preserve"> </w:t>
      </w:r>
      <w:r w:rsidR="00AB2BCD">
        <w:t xml:space="preserve">FERC </w:t>
      </w:r>
      <w:r w:rsidR="00A576B9">
        <w:t>guidance</w:t>
      </w:r>
      <w:r w:rsidR="00AB2BCD">
        <w:t>.</w:t>
      </w:r>
    </w:p>
    <w:p w:rsidR="00BE51F0" w:rsidRDefault="00676844" w:rsidP="0087534F">
      <w:pPr>
        <w:jc w:val="both"/>
      </w:pPr>
      <w:r>
        <w:t xml:space="preserve">For years, Transmission Providers have utilized their own business practices to address the processing of </w:t>
      </w:r>
      <w:r w:rsidR="00BE51F0">
        <w:t xml:space="preserve">long-term </w:t>
      </w:r>
      <w:r>
        <w:t xml:space="preserve">rollover rights and some have gone so far as to </w:t>
      </w:r>
      <w:r w:rsidR="00BE51F0">
        <w:t>insert the practices</w:t>
      </w:r>
      <w:r>
        <w:t xml:space="preserve"> in</w:t>
      </w:r>
      <w:r w:rsidR="00BE51F0">
        <w:t>to</w:t>
      </w:r>
      <w:r>
        <w:t xml:space="preserve"> their Tariffs.  </w:t>
      </w:r>
      <w:r w:rsidR="00CA3712">
        <w:t>In many cases, c</w:t>
      </w:r>
      <w:r>
        <w:t xml:space="preserve">ustomers have </w:t>
      </w:r>
      <w:r w:rsidR="00CA3712">
        <w:t>participated in the development of these processes and FERC staff is aware that thes</w:t>
      </w:r>
      <w:r w:rsidR="00BE51F0">
        <w:t xml:space="preserve">e practices have been developed.  </w:t>
      </w:r>
    </w:p>
    <w:p w:rsidR="008518D7" w:rsidRDefault="00AB133B" w:rsidP="0087534F">
      <w:pPr>
        <w:jc w:val="both"/>
      </w:pPr>
      <w:r>
        <w:t xml:space="preserve">Southern </w:t>
      </w:r>
      <w:r w:rsidR="00D85CF7">
        <w:t>Company believes that the Transmission Provider is in the best position to determine the most effective practice</w:t>
      </w:r>
      <w:r>
        <w:t xml:space="preserve"> for its </w:t>
      </w:r>
      <w:r w:rsidR="00BE51F0">
        <w:t>region and the flexibility afforded in this standard ensures that this can continue.</w:t>
      </w:r>
    </w:p>
    <w:p w:rsidR="00BE51F0" w:rsidRDefault="00BE51F0" w:rsidP="0087534F">
      <w:pPr>
        <w:jc w:val="both"/>
      </w:pPr>
      <w:r>
        <w:t xml:space="preserve">If flexibility in </w:t>
      </w:r>
      <w:r w:rsidR="00FD2AD9">
        <w:t>this</w:t>
      </w:r>
      <w:r>
        <w:t xml:space="preserve"> standard is not acceptable to NAESB, then Southern Company believes that the industry would be better served to not have a NAESB standard related to this topic at all.</w:t>
      </w:r>
    </w:p>
    <w:sectPr w:rsidR="00BE51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84" w:rsidRDefault="00225684" w:rsidP="008518D7">
      <w:pPr>
        <w:spacing w:after="0" w:line="240" w:lineRule="auto"/>
      </w:pPr>
      <w:r>
        <w:separator/>
      </w:r>
    </w:p>
  </w:endnote>
  <w:endnote w:type="continuationSeparator" w:id="0">
    <w:p w:rsidR="00225684" w:rsidRDefault="00225684" w:rsidP="0085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84" w:rsidRDefault="00225684" w:rsidP="008518D7">
      <w:pPr>
        <w:spacing w:after="0" w:line="240" w:lineRule="auto"/>
      </w:pPr>
      <w:r>
        <w:separator/>
      </w:r>
    </w:p>
  </w:footnote>
  <w:footnote w:type="continuationSeparator" w:id="0">
    <w:p w:rsidR="00225684" w:rsidRDefault="00225684" w:rsidP="00851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llPagesExceptFirst" w:val="True"/>
    <w:docVar w:name="DocIDAuthor" w:val="False"/>
    <w:docVar w:name="DocIDClientMatter" w:val="False"/>
    <w:docVar w:name="DocIDDate" w:val="False"/>
    <w:docVar w:name="DocIDDateText" w:val="False"/>
    <w:docVar w:name="DocIDLibrary" w:val="False"/>
    <w:docVar w:name="DocIDType" w:val="AllPagesExceptFirst"/>
    <w:docVar w:name="DocIDTypist" w:val="False"/>
  </w:docVars>
  <w:rsids>
    <w:rsidRoot w:val="00D85CF7"/>
    <w:rsid w:val="00046AC1"/>
    <w:rsid w:val="00067A27"/>
    <w:rsid w:val="00224D0C"/>
    <w:rsid w:val="00225684"/>
    <w:rsid w:val="00232E1B"/>
    <w:rsid w:val="002E50FB"/>
    <w:rsid w:val="003004DA"/>
    <w:rsid w:val="00416FE4"/>
    <w:rsid w:val="00576C26"/>
    <w:rsid w:val="00676844"/>
    <w:rsid w:val="00714075"/>
    <w:rsid w:val="00773E53"/>
    <w:rsid w:val="008518D7"/>
    <w:rsid w:val="0087534F"/>
    <w:rsid w:val="00A01B57"/>
    <w:rsid w:val="00A576B9"/>
    <w:rsid w:val="00AB133B"/>
    <w:rsid w:val="00AB2BCD"/>
    <w:rsid w:val="00AF749A"/>
    <w:rsid w:val="00B56B2B"/>
    <w:rsid w:val="00BE51F0"/>
    <w:rsid w:val="00BF6994"/>
    <w:rsid w:val="00CA3712"/>
    <w:rsid w:val="00D5064C"/>
    <w:rsid w:val="00D543BE"/>
    <w:rsid w:val="00D85CF7"/>
    <w:rsid w:val="00E37A41"/>
    <w:rsid w:val="00F974EC"/>
    <w:rsid w:val="00FA6577"/>
    <w:rsid w:val="00FD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D7"/>
  </w:style>
  <w:style w:type="paragraph" w:styleId="Footer">
    <w:name w:val="footer"/>
    <w:basedOn w:val="Normal"/>
    <w:link w:val="FooterChar"/>
    <w:uiPriority w:val="99"/>
    <w:unhideWhenUsed/>
    <w:rsid w:val="0085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D7"/>
  </w:style>
  <w:style w:type="character" w:styleId="CommentReference">
    <w:name w:val="annotation reference"/>
    <w:basedOn w:val="DefaultParagraphFont"/>
    <w:uiPriority w:val="99"/>
    <w:semiHidden/>
    <w:unhideWhenUsed/>
    <w:rsid w:val="00FA6577"/>
    <w:rPr>
      <w:sz w:val="16"/>
      <w:szCs w:val="16"/>
    </w:rPr>
  </w:style>
  <w:style w:type="paragraph" w:styleId="CommentText">
    <w:name w:val="annotation text"/>
    <w:basedOn w:val="Normal"/>
    <w:link w:val="CommentTextChar"/>
    <w:uiPriority w:val="99"/>
    <w:semiHidden/>
    <w:unhideWhenUsed/>
    <w:rsid w:val="00FA6577"/>
    <w:pPr>
      <w:spacing w:line="240" w:lineRule="auto"/>
    </w:pPr>
    <w:rPr>
      <w:sz w:val="20"/>
      <w:szCs w:val="20"/>
    </w:rPr>
  </w:style>
  <w:style w:type="character" w:customStyle="1" w:styleId="CommentTextChar">
    <w:name w:val="Comment Text Char"/>
    <w:basedOn w:val="DefaultParagraphFont"/>
    <w:link w:val="CommentText"/>
    <w:uiPriority w:val="99"/>
    <w:semiHidden/>
    <w:rsid w:val="00FA6577"/>
    <w:rPr>
      <w:sz w:val="20"/>
      <w:szCs w:val="20"/>
    </w:rPr>
  </w:style>
  <w:style w:type="paragraph" w:styleId="CommentSubject">
    <w:name w:val="annotation subject"/>
    <w:basedOn w:val="CommentText"/>
    <w:next w:val="CommentText"/>
    <w:link w:val="CommentSubjectChar"/>
    <w:uiPriority w:val="99"/>
    <w:semiHidden/>
    <w:unhideWhenUsed/>
    <w:rsid w:val="00FA6577"/>
    <w:rPr>
      <w:b/>
      <w:bCs/>
    </w:rPr>
  </w:style>
  <w:style w:type="character" w:customStyle="1" w:styleId="CommentSubjectChar">
    <w:name w:val="Comment Subject Char"/>
    <w:basedOn w:val="CommentTextChar"/>
    <w:link w:val="CommentSubject"/>
    <w:uiPriority w:val="99"/>
    <w:semiHidden/>
    <w:rsid w:val="00FA6577"/>
    <w:rPr>
      <w:b/>
      <w:bCs/>
      <w:sz w:val="20"/>
      <w:szCs w:val="20"/>
    </w:rPr>
  </w:style>
  <w:style w:type="paragraph" w:styleId="Revision">
    <w:name w:val="Revision"/>
    <w:hidden/>
    <w:uiPriority w:val="99"/>
    <w:semiHidden/>
    <w:rsid w:val="00FA6577"/>
    <w:pPr>
      <w:spacing w:after="0" w:line="240" w:lineRule="auto"/>
    </w:pPr>
  </w:style>
  <w:style w:type="paragraph" w:styleId="BalloonText">
    <w:name w:val="Balloon Text"/>
    <w:basedOn w:val="Normal"/>
    <w:link w:val="BalloonTextChar"/>
    <w:uiPriority w:val="99"/>
    <w:semiHidden/>
    <w:unhideWhenUsed/>
    <w:rsid w:val="00FA6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D7"/>
  </w:style>
  <w:style w:type="paragraph" w:styleId="Footer">
    <w:name w:val="footer"/>
    <w:basedOn w:val="Normal"/>
    <w:link w:val="FooterChar"/>
    <w:uiPriority w:val="99"/>
    <w:unhideWhenUsed/>
    <w:rsid w:val="0085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D7"/>
  </w:style>
  <w:style w:type="character" w:styleId="CommentReference">
    <w:name w:val="annotation reference"/>
    <w:basedOn w:val="DefaultParagraphFont"/>
    <w:uiPriority w:val="99"/>
    <w:semiHidden/>
    <w:unhideWhenUsed/>
    <w:rsid w:val="00FA6577"/>
    <w:rPr>
      <w:sz w:val="16"/>
      <w:szCs w:val="16"/>
    </w:rPr>
  </w:style>
  <w:style w:type="paragraph" w:styleId="CommentText">
    <w:name w:val="annotation text"/>
    <w:basedOn w:val="Normal"/>
    <w:link w:val="CommentTextChar"/>
    <w:uiPriority w:val="99"/>
    <w:semiHidden/>
    <w:unhideWhenUsed/>
    <w:rsid w:val="00FA6577"/>
    <w:pPr>
      <w:spacing w:line="240" w:lineRule="auto"/>
    </w:pPr>
    <w:rPr>
      <w:sz w:val="20"/>
      <w:szCs w:val="20"/>
    </w:rPr>
  </w:style>
  <w:style w:type="character" w:customStyle="1" w:styleId="CommentTextChar">
    <w:name w:val="Comment Text Char"/>
    <w:basedOn w:val="DefaultParagraphFont"/>
    <w:link w:val="CommentText"/>
    <w:uiPriority w:val="99"/>
    <w:semiHidden/>
    <w:rsid w:val="00FA6577"/>
    <w:rPr>
      <w:sz w:val="20"/>
      <w:szCs w:val="20"/>
    </w:rPr>
  </w:style>
  <w:style w:type="paragraph" w:styleId="CommentSubject">
    <w:name w:val="annotation subject"/>
    <w:basedOn w:val="CommentText"/>
    <w:next w:val="CommentText"/>
    <w:link w:val="CommentSubjectChar"/>
    <w:uiPriority w:val="99"/>
    <w:semiHidden/>
    <w:unhideWhenUsed/>
    <w:rsid w:val="00FA6577"/>
    <w:rPr>
      <w:b/>
      <w:bCs/>
    </w:rPr>
  </w:style>
  <w:style w:type="character" w:customStyle="1" w:styleId="CommentSubjectChar">
    <w:name w:val="Comment Subject Char"/>
    <w:basedOn w:val="CommentTextChar"/>
    <w:link w:val="CommentSubject"/>
    <w:uiPriority w:val="99"/>
    <w:semiHidden/>
    <w:rsid w:val="00FA6577"/>
    <w:rPr>
      <w:b/>
      <w:bCs/>
      <w:sz w:val="20"/>
      <w:szCs w:val="20"/>
    </w:rPr>
  </w:style>
  <w:style w:type="paragraph" w:styleId="Revision">
    <w:name w:val="Revision"/>
    <w:hidden/>
    <w:uiPriority w:val="99"/>
    <w:semiHidden/>
    <w:rsid w:val="00FA6577"/>
    <w:pPr>
      <w:spacing w:after="0" w:line="240" w:lineRule="auto"/>
    </w:pPr>
  </w:style>
  <w:style w:type="paragraph" w:styleId="BalloonText">
    <w:name w:val="Balloon Text"/>
    <w:basedOn w:val="Normal"/>
    <w:link w:val="BalloonTextChar"/>
    <w:uiPriority w:val="99"/>
    <w:semiHidden/>
    <w:unhideWhenUsed/>
    <w:rsid w:val="00FA6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P. Barber</dc:creator>
  <cp:lastModifiedBy>Wood, James T.</cp:lastModifiedBy>
  <cp:revision>2</cp:revision>
  <dcterms:created xsi:type="dcterms:W3CDTF">2016-11-30T14:29:00Z</dcterms:created>
  <dcterms:modified xsi:type="dcterms:W3CDTF">2016-11-30T14:29:00Z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-1473415081</vt:i4>
  </property>
  <property fmtid="{D5CDD505-2E9C-101B-9397-08002B2CF9AE}" pid="4" name="_EmailSubject">
    <vt:lpwstr>Formal Comment for Long-Term Rollover Rights Competition 2015 API 2ai2</vt:lpwstr>
  </property>
  <property fmtid="{D5CDD505-2E9C-101B-9397-08002B2CF9AE}" pid="5" name="_AuthorEmail">
    <vt:lpwstr>JTWOOD@southernco.com</vt:lpwstr>
  </property>
  <property fmtid="{D5CDD505-2E9C-101B-9397-08002B2CF9AE}" pid="6" name="_AuthorEmailDisplayName">
    <vt:lpwstr>Wood, James T.</vt:lpwstr>
  </property>
</Properties>
</file>