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9360"/>
      </w:tblGrid>
      <w:tr w:rsidR="00F10304" w14:paraId="50ED5A55" w14:textId="77777777">
        <w:trPr>
          <w:jc w:val="center"/>
        </w:trPr>
        <w:tc>
          <w:tcPr>
            <w:tcW w:w="9360" w:type="dxa"/>
            <w:tcBorders>
              <w:top w:val="single" w:sz="4" w:space="0" w:color="D0D7DE"/>
              <w:left w:val="single" w:sz="24" w:space="0" w:color="1B365D"/>
              <w:bottom w:val="single" w:sz="4" w:space="0" w:color="D0D7DE"/>
              <w:right w:val="single" w:sz="4" w:space="0" w:color="D0D7DE"/>
            </w:tcBorders>
            <w:shd w:val="clear" w:color="auto" w:fill="F4F6F9"/>
            <w:tcMar>
              <w:top w:w="140" w:type="dxa"/>
              <w:left w:w="200" w:type="dxa"/>
              <w:bottom w:w="140" w:type="dxa"/>
              <w:right w:w="200" w:type="dxa"/>
            </w:tcMar>
          </w:tcPr>
          <w:p w14:paraId="2AABFF72" w14:textId="77777777" w:rsidR="00F10304" w:rsidRDefault="00000000">
            <w:pPr>
              <w:spacing w:after="40"/>
            </w:pPr>
            <w:r>
              <w:rPr>
                <w:b/>
                <w:color w:val="1B365D"/>
                <w:sz w:val="21"/>
              </w:rPr>
              <w:t>NORTH AMERICAN ENERGY STANDARDS BOARD</w:t>
            </w:r>
            <w:r>
              <w:rPr>
                <w:b/>
                <w:color w:val="1B365D"/>
                <w:sz w:val="21"/>
              </w:rPr>
              <w:br/>
              <w:t>WHOLESALE ELECTRIC QUADRANT (WEQ)</w:t>
            </w:r>
          </w:p>
          <w:p w14:paraId="237379FA" w14:textId="77777777" w:rsidR="00F10304" w:rsidRDefault="00000000">
            <w:r>
              <w:rPr>
                <w:b/>
                <w:color w:val="1B365D"/>
                <w:sz w:val="22"/>
              </w:rPr>
              <w:t>FORMAL COMMENTS ON JOINT SUBCOMMITTEE RECOMMENDATION</w:t>
            </w:r>
          </w:p>
          <w:p w14:paraId="201B4330" w14:textId="77777777" w:rsidR="00F10304" w:rsidRDefault="00000000">
            <w:pPr>
              <w:spacing w:after="0" w:line="288" w:lineRule="auto"/>
            </w:pPr>
            <w:r>
              <w:rPr>
                <w:b/>
                <w:sz w:val="19"/>
              </w:rPr>
              <w:t xml:space="preserve">To: </w:t>
            </w:r>
            <w:r>
              <w:rPr>
                <w:sz w:val="19"/>
              </w:rPr>
              <w:t>NAESB Office (naesb@naesb.org)</w:t>
            </w:r>
            <w:r>
              <w:rPr>
                <w:sz w:val="19"/>
              </w:rPr>
              <w:br/>
            </w:r>
            <w:r>
              <w:rPr>
                <w:b/>
                <w:sz w:val="19"/>
              </w:rPr>
              <w:t xml:space="preserve">Quadrant: </w:t>
            </w:r>
            <w:r>
              <w:rPr>
                <w:sz w:val="19"/>
              </w:rPr>
              <w:t>Wholesale Electric Quadrant (WEQ)</w:t>
            </w:r>
            <w:r>
              <w:rPr>
                <w:sz w:val="19"/>
              </w:rPr>
              <w:br/>
            </w:r>
            <w:r>
              <w:rPr>
                <w:b/>
                <w:sz w:val="19"/>
              </w:rPr>
              <w:t xml:space="preserve">Subcommittees: </w:t>
            </w:r>
            <w:r>
              <w:rPr>
                <w:sz w:val="19"/>
              </w:rPr>
              <w:t>Cybersecurity Subcommittee (CSS) &amp; Business Practices Subcommittee (BPS)</w:t>
            </w:r>
            <w:r>
              <w:rPr>
                <w:sz w:val="19"/>
              </w:rPr>
              <w:br/>
            </w:r>
            <w:r>
              <w:rPr>
                <w:b/>
                <w:sz w:val="19"/>
              </w:rPr>
              <w:t xml:space="preserve">Annual Plan Item: </w:t>
            </w:r>
            <w:r>
              <w:rPr>
                <w:sz w:val="19"/>
              </w:rPr>
              <w:t>2026 WEQ API 1.b (Recommendation weq_2026_api_1b_rec_091426)</w:t>
            </w:r>
            <w:r>
              <w:rPr>
                <w:sz w:val="19"/>
              </w:rPr>
              <w:br/>
            </w:r>
            <w:r>
              <w:rPr>
                <w:b/>
                <w:sz w:val="19"/>
              </w:rPr>
              <w:t xml:space="preserve">Document Subject: </w:t>
            </w:r>
            <w:r>
              <w:rPr>
                <w:sz w:val="19"/>
              </w:rPr>
              <w:t>Attachment 1 (NAESB Cybersecurity Addendum) &amp; Attachment 2 (FAQ)</w:t>
            </w:r>
            <w:r>
              <w:rPr>
                <w:sz w:val="19"/>
              </w:rPr>
              <w:br/>
            </w:r>
            <w:r>
              <w:rPr>
                <w:b/>
                <w:sz w:val="19"/>
              </w:rPr>
              <w:t xml:space="preserve">Review Period: </w:t>
            </w:r>
            <w:r>
              <w:rPr>
                <w:sz w:val="19"/>
              </w:rPr>
              <w:t>September 15, 2026 – October 15, 2026</w:t>
            </w:r>
            <w:r>
              <w:rPr>
                <w:sz w:val="19"/>
              </w:rPr>
              <w:br/>
            </w:r>
            <w:r>
              <w:rPr>
                <w:b/>
                <w:sz w:val="19"/>
              </w:rPr>
              <w:t xml:space="preserve">Date Submitted: </w:t>
            </w:r>
            <w:r>
              <w:rPr>
                <w:sz w:val="19"/>
              </w:rPr>
              <w:t>September 28, 2026</w:t>
            </w:r>
            <w:r>
              <w:rPr>
                <w:sz w:val="19"/>
              </w:rPr>
              <w:br/>
            </w:r>
            <w:r>
              <w:rPr>
                <w:b/>
                <w:sz w:val="19"/>
              </w:rPr>
              <w:t xml:space="preserve">Submitted By: </w:t>
            </w:r>
            <w:r>
              <w:rPr>
                <w:sz w:val="19"/>
              </w:rPr>
              <w:t>Silvere Megelas, Managing Member, EIS Advisory (contact@eisadvisory.com)</w:t>
            </w:r>
          </w:p>
        </w:tc>
      </w:tr>
    </w:tbl>
    <w:p w14:paraId="3CAF5D2D" w14:textId="77777777" w:rsidR="00F10304" w:rsidRDefault="00F10304">
      <w:pPr>
        <w:spacing w:after="120"/>
      </w:pPr>
    </w:p>
    <w:p w14:paraId="2E964936" w14:textId="77777777" w:rsidR="00F10304" w:rsidRDefault="00000000">
      <w:pPr>
        <w:spacing w:before="80" w:after="40"/>
      </w:pPr>
      <w:r>
        <w:rPr>
          <w:b/>
          <w:color w:val="1B365D"/>
          <w:sz w:val="30"/>
        </w:rPr>
        <w:t>FORMAL COMMENTS OF EIS ADVISORY</w:t>
      </w:r>
    </w:p>
    <w:p w14:paraId="5683697E" w14:textId="77777777" w:rsidR="00F10304" w:rsidRDefault="00000000">
      <w:pPr>
        <w:spacing w:after="240"/>
      </w:pPr>
      <w:r>
        <w:rPr>
          <w:i/>
          <w:color w:val="4B6B94"/>
          <w:sz w:val="22"/>
        </w:rPr>
        <w:t>Procedural, Regulatory, and Technical Review of the Joint CSS/BPS Cybersecurity Addendum</w:t>
      </w:r>
    </w:p>
    <w:p w14:paraId="0A72EE8D" w14:textId="77777777" w:rsidR="00F10304" w:rsidRDefault="00000000">
      <w:pPr>
        <w:keepNext/>
        <w:spacing w:before="280"/>
      </w:pPr>
      <w:r>
        <w:rPr>
          <w:b/>
          <w:color w:val="1B365D"/>
          <w:sz w:val="25"/>
        </w:rPr>
        <w:t>1. Executive Summary &amp; Statement of Support</w:t>
      </w:r>
    </w:p>
    <w:p w14:paraId="763660A6" w14:textId="77777777" w:rsidR="00F10304" w:rsidRDefault="00000000">
      <w:r>
        <w:t>EIS Advisory welcomes the opportunity to provide formal comments on the Joint WEQ Cybersecurity Subcommittee (CSS) and Business Practices Subcommittee (BPS) Recommendation for 2026 WEQ Annual Plan Item 1.b. A standardized, voluntary contract addendum defining baseline cybersecurity expectations for product sales and services is a critical step toward strengthening Bulk Power System (BPS) reliability and supply chain risk management.</w:t>
      </w:r>
    </w:p>
    <w:p w14:paraId="1F26C0CF" w14:textId="77777777" w:rsidR="00F10304" w:rsidRDefault="00000000">
      <w:r>
        <w:t>While the Joint Recommendation provides an important foundation, practical adoption across the energy sector requires closing critical operational and regulatory gaps in Attachment 1 (CS Addendum). Specifically, these formal comments focus on:</w:t>
      </w:r>
    </w:p>
    <w:p w14:paraId="2CBF8C75" w14:textId="77777777" w:rsidR="00F10304" w:rsidRDefault="00000000">
      <w:pPr>
        <w:pStyle w:val="ListBullet"/>
        <w:spacing w:after="60"/>
      </w:pPr>
      <w:r>
        <w:rPr>
          <w:b/>
        </w:rPr>
        <w:t xml:space="preserve">Objective, Enforceable Notice Clocks: </w:t>
      </w:r>
      <w:r>
        <w:t>Replacing subjective terms ('may impact', 'immediate', 3-business-day remediation) with measurable criteria aligned with federal incident reporting frameworks (CIRCIA, FDA, CISA KEV).</w:t>
      </w:r>
    </w:p>
    <w:p w14:paraId="4B7C3461" w14:textId="77777777" w:rsidR="00F10304" w:rsidRDefault="00000000">
      <w:pPr>
        <w:pStyle w:val="ListBullet"/>
        <w:spacing w:after="60"/>
      </w:pPr>
      <w:r>
        <w:rPr>
          <w:b/>
        </w:rPr>
        <w:t xml:space="preserve">Regulatory Alignment &amp; Equivalent Evidence: </w:t>
      </w:r>
      <w:r>
        <w:t>Establishing an express 'Equivalent Evidence' clause so suppliers can satisfy obligations using existing artifacts (NIST SP 800-218 SSDF, IEC 62443 / ISASecure, FDA Section 524B, EU CRA), avoiding costly duplicative audits.</w:t>
      </w:r>
    </w:p>
    <w:p w14:paraId="76F238D7" w14:textId="77777777" w:rsidR="00F10304" w:rsidRDefault="00000000">
      <w:pPr>
        <w:pStyle w:val="ListBullet"/>
        <w:spacing w:after="60"/>
      </w:pPr>
      <w:r>
        <w:rPr>
          <w:b/>
        </w:rPr>
        <w:t xml:space="preserve">Accurate NERC Reliability Standards Alignment: </w:t>
      </w:r>
      <w:r>
        <w:t>Correcting erroneous citations (such as misattributing CIP-008 to vendor reporting) and explicitly expanding the addendum scope to encompass EACMS, PACS, PCAs, and Shared Cyber Infrastructure in direct alignment with FERC Order No. 912 and draft CIP-013-4.</w:t>
      </w:r>
    </w:p>
    <w:p w14:paraId="457B7482" w14:textId="77777777" w:rsidR="00F10304" w:rsidRDefault="00000000">
      <w:pPr>
        <w:pStyle w:val="ListBullet"/>
        <w:spacing w:after="60"/>
      </w:pPr>
      <w:r>
        <w:rPr>
          <w:b/>
        </w:rPr>
        <w:t xml:space="preserve">Threat-Informed Safeguards: </w:t>
      </w:r>
      <w:r>
        <w:t>Structuring practical safeguards for evolving risks—including Artificial Intelligence (AI) governance, Zero Trust architecture, Post-Quantum Cryptography (PQC), and foreign adversary supply chain scrutiny under Executive Order 14421.</w:t>
      </w:r>
    </w:p>
    <w:p w14:paraId="2C31885A" w14:textId="77777777" w:rsidR="00F10304" w:rsidRDefault="00000000">
      <w:pPr>
        <w:keepNext/>
        <w:spacing w:before="280"/>
      </w:pPr>
      <w:r>
        <w:rPr>
          <w:b/>
          <w:color w:val="1B365D"/>
          <w:sz w:val="25"/>
        </w:rPr>
        <w:t>2. Scope &amp; Submission Structure</w:t>
      </w:r>
    </w:p>
    <w:p w14:paraId="0348B878" w14:textId="77777777" w:rsidR="00F10304" w:rsidRDefault="00000000">
      <w:r>
        <w:t>To facilitate straightforward review and formal comment disposition by the WEQ Executive Committee, EIS Advisory has structured these recommendations into two actionable tiers:</w:t>
      </w:r>
    </w:p>
    <w:p w14:paraId="17D989EB" w14:textId="77777777" w:rsidR="00F10304" w:rsidRDefault="00000000">
      <w:pPr>
        <w:pStyle w:val="ListBullet"/>
      </w:pPr>
      <w:r>
        <w:rPr>
          <w:b/>
        </w:rPr>
        <w:lastRenderedPageBreak/>
        <w:t xml:space="preserve">Tier 1: Core Clarifications, Legal Corrections, and Definitional Fixes (Section 3). </w:t>
      </w:r>
      <w:r>
        <w:t>Essential modifications required to eliminate unworkable ambiguities, correct statutory miscitations, resolve conflicts between the Addendum and FAQ, and ensure direct compliance with FERC Order No. 912.</w:t>
      </w:r>
    </w:p>
    <w:p w14:paraId="0F8CCA4D" w14:textId="77777777" w:rsidR="00F10304" w:rsidRDefault="00000000">
      <w:pPr>
        <w:pStyle w:val="ListBullet"/>
      </w:pPr>
      <w:r>
        <w:rPr>
          <w:b/>
        </w:rPr>
        <w:t xml:space="preserve">Tier 2: Forward-Looking Technical Safeguards (Section 5). </w:t>
      </w:r>
      <w:r>
        <w:t>Advanced operational terms covering AI governance, hardware bills of materials for communications components, post-quantum readiness, and zero trust controls. These are offered for incorporation directly into Section 3/Exhibit A or, alternatively, as standard Model Special Conditions within Attachment 2 (FAQ).</w:t>
      </w:r>
    </w:p>
    <w:p w14:paraId="2739B2DB" w14:textId="77777777" w:rsidR="00F10304" w:rsidRDefault="00000000">
      <w:pPr>
        <w:keepNext/>
        <w:spacing w:before="280"/>
      </w:pPr>
      <w:r>
        <w:rPr>
          <w:b/>
          <w:color w:val="1B365D"/>
          <w:sz w:val="25"/>
        </w:rPr>
        <w:t>3. Summary of Recommendations &amp; Comment Disposition Crosswalk</w:t>
      </w:r>
    </w:p>
    <w:p w14:paraId="6B8F4EF4" w14:textId="77777777" w:rsidR="00F10304" w:rsidRDefault="00000000">
      <w:r>
        <w:t>The following crosswalk maps key issues in the current Attachment 1 draft to proposed revisions and their underlying regulatory benchmarks:</w:t>
      </w:r>
    </w:p>
    <w:tbl>
      <w:tblPr>
        <w:tblW w:w="0" w:type="auto"/>
        <w:jc w:val="center"/>
        <w:tblLayout w:type="fixed"/>
        <w:tblLook w:val="04A0" w:firstRow="1" w:lastRow="0" w:firstColumn="1" w:lastColumn="0" w:noHBand="0" w:noVBand="1"/>
      </w:tblPr>
      <w:tblGrid>
        <w:gridCol w:w="1728"/>
        <w:gridCol w:w="2592"/>
        <w:gridCol w:w="2880"/>
        <w:gridCol w:w="2160"/>
      </w:tblGrid>
      <w:tr w:rsidR="00F10304" w14:paraId="4104DC85" w14:textId="77777777">
        <w:trPr>
          <w:jc w:val="center"/>
        </w:trPr>
        <w:tc>
          <w:tcPr>
            <w:tcW w:w="1728" w:type="dxa"/>
            <w:tcBorders>
              <w:bottom w:val="single" w:sz="12" w:space="0" w:color="4B6B94"/>
            </w:tcBorders>
            <w:shd w:val="clear" w:color="auto" w:fill="1B365D"/>
            <w:tcMar>
              <w:top w:w="80" w:type="dxa"/>
              <w:left w:w="100" w:type="dxa"/>
              <w:bottom w:w="80" w:type="dxa"/>
              <w:right w:w="100" w:type="dxa"/>
            </w:tcMar>
          </w:tcPr>
          <w:p w14:paraId="73D4C6D9" w14:textId="77777777" w:rsidR="00F10304" w:rsidRDefault="00000000">
            <w:pPr>
              <w:spacing w:after="20" w:line="252" w:lineRule="auto"/>
            </w:pPr>
            <w:r>
              <w:rPr>
                <w:b/>
                <w:color w:val="FFFFFF"/>
                <w:sz w:val="17"/>
              </w:rPr>
              <w:t>Provision / Issue</w:t>
            </w:r>
          </w:p>
        </w:tc>
        <w:tc>
          <w:tcPr>
            <w:tcW w:w="2592" w:type="dxa"/>
            <w:tcBorders>
              <w:bottom w:val="single" w:sz="12" w:space="0" w:color="4B6B94"/>
            </w:tcBorders>
            <w:shd w:val="clear" w:color="auto" w:fill="1B365D"/>
            <w:tcMar>
              <w:top w:w="80" w:type="dxa"/>
              <w:left w:w="100" w:type="dxa"/>
              <w:bottom w:w="80" w:type="dxa"/>
              <w:right w:w="100" w:type="dxa"/>
            </w:tcMar>
          </w:tcPr>
          <w:p w14:paraId="44DD555D" w14:textId="77777777" w:rsidR="00F10304" w:rsidRDefault="00000000">
            <w:pPr>
              <w:spacing w:after="20" w:line="252" w:lineRule="auto"/>
            </w:pPr>
            <w:r>
              <w:rPr>
                <w:b/>
                <w:color w:val="FFFFFF"/>
                <w:sz w:val="17"/>
              </w:rPr>
              <w:t>Draft Attachment 1 Text</w:t>
            </w:r>
          </w:p>
        </w:tc>
        <w:tc>
          <w:tcPr>
            <w:tcW w:w="2880" w:type="dxa"/>
            <w:tcBorders>
              <w:bottom w:val="single" w:sz="12" w:space="0" w:color="4B6B94"/>
            </w:tcBorders>
            <w:shd w:val="clear" w:color="auto" w:fill="1B365D"/>
            <w:tcMar>
              <w:top w:w="80" w:type="dxa"/>
              <w:left w:w="100" w:type="dxa"/>
              <w:bottom w:w="80" w:type="dxa"/>
              <w:right w:w="100" w:type="dxa"/>
            </w:tcMar>
          </w:tcPr>
          <w:p w14:paraId="7A20A53A" w14:textId="77777777" w:rsidR="00F10304" w:rsidRDefault="00000000">
            <w:pPr>
              <w:spacing w:after="20" w:line="252" w:lineRule="auto"/>
            </w:pPr>
            <w:r>
              <w:rPr>
                <w:b/>
                <w:color w:val="FFFFFF"/>
                <w:sz w:val="17"/>
              </w:rPr>
              <w:t>EIS Advisory Proposed Revision</w:t>
            </w:r>
          </w:p>
        </w:tc>
        <w:tc>
          <w:tcPr>
            <w:tcW w:w="2160" w:type="dxa"/>
            <w:tcBorders>
              <w:bottom w:val="single" w:sz="12" w:space="0" w:color="4B6B94"/>
            </w:tcBorders>
            <w:shd w:val="clear" w:color="auto" w:fill="1B365D"/>
            <w:tcMar>
              <w:top w:w="80" w:type="dxa"/>
              <w:left w:w="100" w:type="dxa"/>
              <w:bottom w:w="80" w:type="dxa"/>
              <w:right w:w="100" w:type="dxa"/>
            </w:tcMar>
          </w:tcPr>
          <w:p w14:paraId="516F971C" w14:textId="77777777" w:rsidR="00F10304" w:rsidRDefault="00000000">
            <w:pPr>
              <w:spacing w:after="20" w:line="252" w:lineRule="auto"/>
            </w:pPr>
            <w:r>
              <w:rPr>
                <w:b/>
                <w:color w:val="FFFFFF"/>
                <w:sz w:val="17"/>
              </w:rPr>
              <w:t>Regulatory Benchmark</w:t>
            </w:r>
          </w:p>
        </w:tc>
      </w:tr>
      <w:tr w:rsidR="00F10304" w14:paraId="45EFD9C5" w14:textId="77777777">
        <w:trPr>
          <w:jc w:val="center"/>
        </w:trPr>
        <w:tc>
          <w:tcPr>
            <w:tcW w:w="1728" w:type="dxa"/>
            <w:tcBorders>
              <w:bottom w:val="single" w:sz="4" w:space="0" w:color="D0D7DE"/>
            </w:tcBorders>
            <w:shd w:val="clear" w:color="auto" w:fill="F4F6F9"/>
            <w:tcMar>
              <w:top w:w="80" w:type="dxa"/>
              <w:left w:w="100" w:type="dxa"/>
              <w:bottom w:w="80" w:type="dxa"/>
              <w:right w:w="100" w:type="dxa"/>
            </w:tcMar>
          </w:tcPr>
          <w:p w14:paraId="728CC1DD" w14:textId="77777777" w:rsidR="00F10304" w:rsidRDefault="00000000">
            <w:pPr>
              <w:spacing w:after="20" w:line="252" w:lineRule="auto"/>
            </w:pPr>
            <w:r>
              <w:rPr>
                <w:sz w:val="16"/>
              </w:rPr>
              <w:t>Notice Clocks</w:t>
            </w:r>
            <w:r>
              <w:rPr>
                <w:sz w:val="16"/>
              </w:rPr>
              <w:br/>
              <w:t>(Sec. 3.v &amp; 3.vi)</w:t>
            </w:r>
          </w:p>
        </w:tc>
        <w:tc>
          <w:tcPr>
            <w:tcW w:w="2592" w:type="dxa"/>
            <w:tcBorders>
              <w:bottom w:val="single" w:sz="4" w:space="0" w:color="D0D7DE"/>
            </w:tcBorders>
            <w:shd w:val="clear" w:color="auto" w:fill="F4F6F9"/>
            <w:tcMar>
              <w:top w:w="80" w:type="dxa"/>
              <w:left w:w="100" w:type="dxa"/>
              <w:bottom w:w="80" w:type="dxa"/>
              <w:right w:w="100" w:type="dxa"/>
            </w:tcMar>
          </w:tcPr>
          <w:p w14:paraId="1CF63C8A" w14:textId="77777777" w:rsidR="00F10304" w:rsidRDefault="00000000">
            <w:pPr>
              <w:spacing w:after="20" w:line="252" w:lineRule="auto"/>
            </w:pPr>
            <w:r>
              <w:rPr>
                <w:sz w:val="16"/>
              </w:rPr>
              <w:t>Notice for confirmed flaws that 'may impact' IT/OT; 'immediate' notice for High-Risk; 3 Business Days for remediation plan.</w:t>
            </w:r>
          </w:p>
        </w:tc>
        <w:tc>
          <w:tcPr>
            <w:tcW w:w="2880" w:type="dxa"/>
            <w:tcBorders>
              <w:bottom w:val="single" w:sz="4" w:space="0" w:color="D0D7DE"/>
            </w:tcBorders>
            <w:shd w:val="clear" w:color="auto" w:fill="F4F6F9"/>
            <w:tcMar>
              <w:top w:w="80" w:type="dxa"/>
              <w:left w:w="100" w:type="dxa"/>
              <w:bottom w:w="80" w:type="dxa"/>
              <w:right w:w="100" w:type="dxa"/>
            </w:tcMar>
          </w:tcPr>
          <w:p w14:paraId="2D7D3A59" w14:textId="77777777" w:rsidR="00F10304" w:rsidRDefault="00000000">
            <w:pPr>
              <w:spacing w:after="20" w:line="252" w:lineRule="auto"/>
            </w:pPr>
            <w:r>
              <w:rPr>
                <w:sz w:val="16"/>
              </w:rPr>
              <w:t>Tiered clocks: 72 hours for Actively Exploited Vulnerabilities or Severe Incidents; 30 days for Significant Vulnerabilities (CVSS &gt;= 7.0).</w:t>
            </w:r>
          </w:p>
        </w:tc>
        <w:tc>
          <w:tcPr>
            <w:tcW w:w="2160" w:type="dxa"/>
            <w:tcBorders>
              <w:bottom w:val="single" w:sz="4" w:space="0" w:color="D0D7DE"/>
            </w:tcBorders>
            <w:shd w:val="clear" w:color="auto" w:fill="F4F6F9"/>
            <w:tcMar>
              <w:top w:w="80" w:type="dxa"/>
              <w:left w:w="100" w:type="dxa"/>
              <w:bottom w:w="80" w:type="dxa"/>
              <w:right w:w="100" w:type="dxa"/>
            </w:tcMar>
          </w:tcPr>
          <w:p w14:paraId="3834355C" w14:textId="77777777" w:rsidR="00F10304" w:rsidRDefault="00000000">
            <w:pPr>
              <w:spacing w:after="20" w:line="252" w:lineRule="auto"/>
            </w:pPr>
            <w:r>
              <w:rPr>
                <w:sz w:val="16"/>
              </w:rPr>
              <w:t>CIRCIA 72h rule; FDA Postmarket (30/60 days); CISA KEV catalog.</w:t>
            </w:r>
          </w:p>
        </w:tc>
      </w:tr>
      <w:tr w:rsidR="00F10304" w14:paraId="58B0E421" w14:textId="77777777">
        <w:trPr>
          <w:jc w:val="center"/>
        </w:trPr>
        <w:tc>
          <w:tcPr>
            <w:tcW w:w="1728" w:type="dxa"/>
            <w:tcBorders>
              <w:bottom w:val="single" w:sz="4" w:space="0" w:color="D0D7DE"/>
            </w:tcBorders>
            <w:shd w:val="clear" w:color="auto" w:fill="FFFFFF"/>
            <w:tcMar>
              <w:top w:w="80" w:type="dxa"/>
              <w:left w:w="100" w:type="dxa"/>
              <w:bottom w:w="80" w:type="dxa"/>
              <w:right w:w="100" w:type="dxa"/>
            </w:tcMar>
          </w:tcPr>
          <w:p w14:paraId="1D82421F" w14:textId="77777777" w:rsidR="00F10304" w:rsidRDefault="00000000">
            <w:pPr>
              <w:spacing w:after="20" w:line="252" w:lineRule="auto"/>
            </w:pPr>
            <w:r>
              <w:rPr>
                <w:sz w:val="16"/>
              </w:rPr>
              <w:t>Missing CWE/CVE Classes</w:t>
            </w:r>
            <w:r>
              <w:rPr>
                <w:sz w:val="16"/>
              </w:rPr>
              <w:br/>
              <w:t>(Sec. 3.v &amp; 3.vi)</w:t>
            </w:r>
          </w:p>
        </w:tc>
        <w:tc>
          <w:tcPr>
            <w:tcW w:w="2592" w:type="dxa"/>
            <w:tcBorders>
              <w:bottom w:val="single" w:sz="4" w:space="0" w:color="D0D7DE"/>
            </w:tcBorders>
            <w:shd w:val="clear" w:color="auto" w:fill="FFFFFF"/>
            <w:tcMar>
              <w:top w:w="80" w:type="dxa"/>
              <w:left w:w="100" w:type="dxa"/>
              <w:bottom w:w="80" w:type="dxa"/>
              <w:right w:w="100" w:type="dxa"/>
            </w:tcMar>
          </w:tcPr>
          <w:p w14:paraId="292F53CA" w14:textId="77777777" w:rsidR="00F10304" w:rsidRDefault="00000000">
            <w:pPr>
              <w:spacing w:after="20" w:line="252" w:lineRule="auto"/>
            </w:pPr>
            <w:r>
              <w:rPr>
                <w:sz w:val="16"/>
              </w:rPr>
              <w:t>Twice states: 'sent for the following classes of CWE and CVE in the Product's Known Vulnerability Report:' followed by blank lines.</w:t>
            </w:r>
          </w:p>
        </w:tc>
        <w:tc>
          <w:tcPr>
            <w:tcW w:w="2880" w:type="dxa"/>
            <w:tcBorders>
              <w:bottom w:val="single" w:sz="4" w:space="0" w:color="D0D7DE"/>
            </w:tcBorders>
            <w:shd w:val="clear" w:color="auto" w:fill="FFFFFF"/>
            <w:tcMar>
              <w:top w:w="80" w:type="dxa"/>
              <w:left w:w="100" w:type="dxa"/>
              <w:bottom w:w="80" w:type="dxa"/>
              <w:right w:w="100" w:type="dxa"/>
            </w:tcMar>
          </w:tcPr>
          <w:p w14:paraId="17AE2C86" w14:textId="77777777" w:rsidR="00F10304" w:rsidRDefault="00000000">
            <w:pPr>
              <w:spacing w:after="20" w:line="252" w:lineRule="auto"/>
            </w:pPr>
            <w:r>
              <w:rPr>
                <w:sz w:val="16"/>
              </w:rPr>
              <w:t>Delete blank lists; tie notice thresholds directly to CISA KEV listings and CVSS v4.0 scores &gt;= 7.0.</w:t>
            </w:r>
          </w:p>
        </w:tc>
        <w:tc>
          <w:tcPr>
            <w:tcW w:w="2160" w:type="dxa"/>
            <w:tcBorders>
              <w:bottom w:val="single" w:sz="4" w:space="0" w:color="D0D7DE"/>
            </w:tcBorders>
            <w:shd w:val="clear" w:color="auto" w:fill="FFFFFF"/>
            <w:tcMar>
              <w:top w:w="80" w:type="dxa"/>
              <w:left w:w="100" w:type="dxa"/>
              <w:bottom w:w="80" w:type="dxa"/>
              <w:right w:w="100" w:type="dxa"/>
            </w:tcMar>
          </w:tcPr>
          <w:p w14:paraId="0FEED6BE" w14:textId="77777777" w:rsidR="00F10304" w:rsidRDefault="00000000">
            <w:pPr>
              <w:spacing w:after="20" w:line="252" w:lineRule="auto"/>
            </w:pPr>
            <w:r>
              <w:rPr>
                <w:sz w:val="16"/>
              </w:rPr>
              <w:t>MITRE CWE (taxonomic weakness, not severity trigger); FIRST CVSS v4.0.</w:t>
            </w:r>
          </w:p>
        </w:tc>
      </w:tr>
      <w:tr w:rsidR="00F10304" w14:paraId="3E69B667" w14:textId="77777777">
        <w:trPr>
          <w:jc w:val="center"/>
        </w:trPr>
        <w:tc>
          <w:tcPr>
            <w:tcW w:w="1728" w:type="dxa"/>
            <w:tcBorders>
              <w:bottom w:val="single" w:sz="4" w:space="0" w:color="D0D7DE"/>
            </w:tcBorders>
            <w:shd w:val="clear" w:color="auto" w:fill="F4F6F9"/>
            <w:tcMar>
              <w:top w:w="80" w:type="dxa"/>
              <w:left w:w="100" w:type="dxa"/>
              <w:bottom w:w="80" w:type="dxa"/>
              <w:right w:w="100" w:type="dxa"/>
            </w:tcMar>
          </w:tcPr>
          <w:p w14:paraId="152CAD2B" w14:textId="77777777" w:rsidR="00F10304" w:rsidRDefault="00000000">
            <w:pPr>
              <w:spacing w:after="20" w:line="252" w:lineRule="auto"/>
            </w:pPr>
            <w:r>
              <w:rPr>
                <w:sz w:val="16"/>
              </w:rPr>
              <w:t>Equivalent Evidence</w:t>
            </w:r>
            <w:r>
              <w:rPr>
                <w:sz w:val="16"/>
              </w:rPr>
              <w:br/>
              <w:t>(New Sec. 3.3)</w:t>
            </w:r>
          </w:p>
        </w:tc>
        <w:tc>
          <w:tcPr>
            <w:tcW w:w="2592" w:type="dxa"/>
            <w:tcBorders>
              <w:bottom w:val="single" w:sz="4" w:space="0" w:color="D0D7DE"/>
            </w:tcBorders>
            <w:shd w:val="clear" w:color="auto" w:fill="F4F6F9"/>
            <w:tcMar>
              <w:top w:w="80" w:type="dxa"/>
              <w:left w:w="100" w:type="dxa"/>
              <w:bottom w:w="80" w:type="dxa"/>
              <w:right w:w="100" w:type="dxa"/>
            </w:tcMar>
          </w:tcPr>
          <w:p w14:paraId="6DFC02AA" w14:textId="77777777" w:rsidR="00F10304" w:rsidRDefault="00000000">
            <w:pPr>
              <w:spacing w:after="20" w:line="252" w:lineRule="auto"/>
            </w:pPr>
            <w:r>
              <w:rPr>
                <w:sz w:val="16"/>
              </w:rPr>
              <w:t>No mechanism to recognize vendor compliance artifacts prepared for other frameworks.</w:t>
            </w:r>
          </w:p>
        </w:tc>
        <w:tc>
          <w:tcPr>
            <w:tcW w:w="2880" w:type="dxa"/>
            <w:tcBorders>
              <w:bottom w:val="single" w:sz="4" w:space="0" w:color="D0D7DE"/>
            </w:tcBorders>
            <w:shd w:val="clear" w:color="auto" w:fill="F4F6F9"/>
            <w:tcMar>
              <w:top w:w="80" w:type="dxa"/>
              <w:left w:w="100" w:type="dxa"/>
              <w:bottom w:w="80" w:type="dxa"/>
              <w:right w:w="100" w:type="dxa"/>
            </w:tcMar>
          </w:tcPr>
          <w:p w14:paraId="77FF2EDD" w14:textId="77777777" w:rsidR="00F10304" w:rsidRDefault="00000000">
            <w:pPr>
              <w:spacing w:after="20" w:line="252" w:lineRule="auto"/>
            </w:pPr>
            <w:r>
              <w:rPr>
                <w:sz w:val="16"/>
              </w:rPr>
              <w:t>Add Section 3.3 recognizing NIST SP 800-218 (SSDF), IEC 62443-4-1/-4-2, ISASecure, FDA 524B, and CRA documentation.</w:t>
            </w:r>
          </w:p>
        </w:tc>
        <w:tc>
          <w:tcPr>
            <w:tcW w:w="2160" w:type="dxa"/>
            <w:tcBorders>
              <w:bottom w:val="single" w:sz="4" w:space="0" w:color="D0D7DE"/>
            </w:tcBorders>
            <w:shd w:val="clear" w:color="auto" w:fill="F4F6F9"/>
            <w:tcMar>
              <w:top w:w="80" w:type="dxa"/>
              <w:left w:w="100" w:type="dxa"/>
              <w:bottom w:w="80" w:type="dxa"/>
              <w:right w:w="100" w:type="dxa"/>
            </w:tcMar>
          </w:tcPr>
          <w:p w14:paraId="13B5BEE9" w14:textId="77777777" w:rsidR="00F10304" w:rsidRDefault="00000000">
            <w:pPr>
              <w:spacing w:after="20" w:line="252" w:lineRule="auto"/>
            </w:pPr>
            <w:r>
              <w:rPr>
                <w:sz w:val="16"/>
              </w:rPr>
              <w:t>EO 14028 §4(e); OMB M-26-05 (risk-based assurance); NIST CSF 2.0 GV.SC-05.</w:t>
            </w:r>
          </w:p>
        </w:tc>
      </w:tr>
      <w:tr w:rsidR="00F10304" w14:paraId="1582B8B7" w14:textId="77777777">
        <w:trPr>
          <w:jc w:val="center"/>
        </w:trPr>
        <w:tc>
          <w:tcPr>
            <w:tcW w:w="1728" w:type="dxa"/>
            <w:tcBorders>
              <w:bottom w:val="single" w:sz="4" w:space="0" w:color="D0D7DE"/>
            </w:tcBorders>
            <w:shd w:val="clear" w:color="auto" w:fill="FFFFFF"/>
            <w:tcMar>
              <w:top w:w="80" w:type="dxa"/>
              <w:left w:w="100" w:type="dxa"/>
              <w:bottom w:w="80" w:type="dxa"/>
              <w:right w:w="100" w:type="dxa"/>
            </w:tcMar>
          </w:tcPr>
          <w:p w14:paraId="78876B60" w14:textId="77777777" w:rsidR="00F10304" w:rsidRDefault="00000000">
            <w:pPr>
              <w:spacing w:after="20" w:line="252" w:lineRule="auto"/>
            </w:pPr>
            <w:r>
              <w:rPr>
                <w:sz w:val="16"/>
              </w:rPr>
              <w:t>CIP-008 Citation</w:t>
            </w:r>
            <w:r>
              <w:rPr>
                <w:sz w:val="16"/>
              </w:rPr>
              <w:br/>
              <w:t>(Sec. 3.x)</w:t>
            </w:r>
          </w:p>
        </w:tc>
        <w:tc>
          <w:tcPr>
            <w:tcW w:w="2592" w:type="dxa"/>
            <w:tcBorders>
              <w:bottom w:val="single" w:sz="4" w:space="0" w:color="D0D7DE"/>
            </w:tcBorders>
            <w:shd w:val="clear" w:color="auto" w:fill="FFFFFF"/>
            <w:tcMar>
              <w:top w:w="80" w:type="dxa"/>
              <w:left w:w="100" w:type="dxa"/>
              <w:bottom w:w="80" w:type="dxa"/>
              <w:right w:w="100" w:type="dxa"/>
            </w:tcMar>
          </w:tcPr>
          <w:p w14:paraId="7E2F3988" w14:textId="77777777" w:rsidR="00F10304" w:rsidRDefault="00000000">
            <w:pPr>
              <w:spacing w:after="20" w:line="252" w:lineRule="auto"/>
            </w:pPr>
            <w:r>
              <w:rPr>
                <w:sz w:val="16"/>
              </w:rPr>
              <w:t>Mandates vendor disclosure to E-ISAC 'in accordance with reporting requirements of NERC Reliability Standard CIP-008'.</w:t>
            </w:r>
          </w:p>
        </w:tc>
        <w:tc>
          <w:tcPr>
            <w:tcW w:w="2880" w:type="dxa"/>
            <w:tcBorders>
              <w:bottom w:val="single" w:sz="4" w:space="0" w:color="D0D7DE"/>
            </w:tcBorders>
            <w:shd w:val="clear" w:color="auto" w:fill="FFFFFF"/>
            <w:tcMar>
              <w:top w:w="80" w:type="dxa"/>
              <w:left w:w="100" w:type="dxa"/>
              <w:bottom w:w="80" w:type="dxa"/>
              <w:right w:w="100" w:type="dxa"/>
            </w:tcMar>
          </w:tcPr>
          <w:p w14:paraId="74BF19C1" w14:textId="77777777" w:rsidR="00F10304" w:rsidRDefault="00000000">
            <w:pPr>
              <w:spacing w:after="20" w:line="252" w:lineRule="auto"/>
            </w:pPr>
            <w:r>
              <w:rPr>
                <w:sz w:val="16"/>
              </w:rPr>
              <w:t>Strike CIP-008 for vendors; mandate disclosure via Vendor CVD policy, CVE Program, and CISA coordination.</w:t>
            </w:r>
          </w:p>
        </w:tc>
        <w:tc>
          <w:tcPr>
            <w:tcW w:w="2160" w:type="dxa"/>
            <w:tcBorders>
              <w:bottom w:val="single" w:sz="4" w:space="0" w:color="D0D7DE"/>
            </w:tcBorders>
            <w:shd w:val="clear" w:color="auto" w:fill="FFFFFF"/>
            <w:tcMar>
              <w:top w:w="80" w:type="dxa"/>
              <w:left w:w="100" w:type="dxa"/>
              <w:bottom w:w="80" w:type="dxa"/>
              <w:right w:w="100" w:type="dxa"/>
            </w:tcMar>
          </w:tcPr>
          <w:p w14:paraId="624BEAFC" w14:textId="77777777" w:rsidR="00F10304" w:rsidRDefault="00000000">
            <w:pPr>
              <w:spacing w:after="20" w:line="252" w:lineRule="auto"/>
            </w:pPr>
            <w:r>
              <w:rPr>
                <w:sz w:val="16"/>
              </w:rPr>
              <w:t>NERC CIP-008-6 (legally applies exclusively to registered grid entities, not commercial vendors).</w:t>
            </w:r>
          </w:p>
        </w:tc>
      </w:tr>
      <w:tr w:rsidR="00F10304" w14:paraId="43A48E09" w14:textId="77777777">
        <w:trPr>
          <w:jc w:val="center"/>
        </w:trPr>
        <w:tc>
          <w:tcPr>
            <w:tcW w:w="1728" w:type="dxa"/>
            <w:tcBorders>
              <w:bottom w:val="single" w:sz="4" w:space="0" w:color="D0D7DE"/>
            </w:tcBorders>
            <w:shd w:val="clear" w:color="auto" w:fill="F4F6F9"/>
            <w:tcMar>
              <w:top w:w="80" w:type="dxa"/>
              <w:left w:w="100" w:type="dxa"/>
              <w:bottom w:w="80" w:type="dxa"/>
              <w:right w:w="100" w:type="dxa"/>
            </w:tcMar>
          </w:tcPr>
          <w:p w14:paraId="52F4FEEC" w14:textId="77777777" w:rsidR="00F10304" w:rsidRDefault="00000000">
            <w:pPr>
              <w:spacing w:after="20" w:line="252" w:lineRule="auto"/>
            </w:pPr>
            <w:r>
              <w:rPr>
                <w:sz w:val="16"/>
              </w:rPr>
              <w:t>Order 912 Scope</w:t>
            </w:r>
            <w:r>
              <w:rPr>
                <w:sz w:val="16"/>
              </w:rPr>
              <w:br/>
              <w:t>(Sec. 1.1 &amp; Exhibit A)</w:t>
            </w:r>
          </w:p>
        </w:tc>
        <w:tc>
          <w:tcPr>
            <w:tcW w:w="2592" w:type="dxa"/>
            <w:tcBorders>
              <w:bottom w:val="single" w:sz="4" w:space="0" w:color="D0D7DE"/>
            </w:tcBorders>
            <w:shd w:val="clear" w:color="auto" w:fill="F4F6F9"/>
            <w:tcMar>
              <w:top w:w="80" w:type="dxa"/>
              <w:left w:w="100" w:type="dxa"/>
              <w:bottom w:w="80" w:type="dxa"/>
              <w:right w:w="100" w:type="dxa"/>
            </w:tcMar>
          </w:tcPr>
          <w:p w14:paraId="1BE497A7" w14:textId="77777777" w:rsidR="00F10304" w:rsidRDefault="00000000">
            <w:pPr>
              <w:spacing w:after="20" w:line="252" w:lineRule="auto"/>
            </w:pPr>
            <w:r>
              <w:rPr>
                <w:sz w:val="16"/>
              </w:rPr>
              <w:t>General definition of 'Product' without specific BES asset class mapping.</w:t>
            </w:r>
          </w:p>
        </w:tc>
        <w:tc>
          <w:tcPr>
            <w:tcW w:w="2880" w:type="dxa"/>
            <w:tcBorders>
              <w:bottom w:val="single" w:sz="4" w:space="0" w:color="D0D7DE"/>
            </w:tcBorders>
            <w:shd w:val="clear" w:color="auto" w:fill="F4F6F9"/>
            <w:tcMar>
              <w:top w:w="80" w:type="dxa"/>
              <w:left w:w="100" w:type="dxa"/>
              <w:bottom w:w="80" w:type="dxa"/>
              <w:right w:w="100" w:type="dxa"/>
            </w:tcMar>
          </w:tcPr>
          <w:p w14:paraId="2B9A9512" w14:textId="77777777" w:rsidR="00F10304" w:rsidRDefault="00000000">
            <w:pPr>
              <w:spacing w:after="20" w:line="252" w:lineRule="auto"/>
            </w:pPr>
            <w:r>
              <w:rPr>
                <w:sz w:val="16"/>
              </w:rPr>
              <w:t>Explicitly cover Products used in or supporting EACMS, PACS, PCAs, and Shared Cyber Infrastructure; support CIP-003-9 low impact.</w:t>
            </w:r>
          </w:p>
        </w:tc>
        <w:tc>
          <w:tcPr>
            <w:tcW w:w="2160" w:type="dxa"/>
            <w:tcBorders>
              <w:bottom w:val="single" w:sz="4" w:space="0" w:color="D0D7DE"/>
            </w:tcBorders>
            <w:shd w:val="clear" w:color="auto" w:fill="F4F6F9"/>
            <w:tcMar>
              <w:top w:w="80" w:type="dxa"/>
              <w:left w:w="100" w:type="dxa"/>
              <w:bottom w:w="80" w:type="dxa"/>
              <w:right w:w="100" w:type="dxa"/>
            </w:tcMar>
          </w:tcPr>
          <w:p w14:paraId="64559E3E" w14:textId="77777777" w:rsidR="00F10304" w:rsidRDefault="00000000">
            <w:pPr>
              <w:spacing w:after="20" w:line="252" w:lineRule="auto"/>
            </w:pPr>
            <w:r>
              <w:rPr>
                <w:sz w:val="16"/>
              </w:rPr>
              <w:t>FERC Order No. 912; Draft CIP-013-4 R1; Draft CIP-010-6 Part 1.3; CIP-003-9 Section 6.</w:t>
            </w:r>
          </w:p>
        </w:tc>
      </w:tr>
      <w:tr w:rsidR="00F10304" w14:paraId="56152784" w14:textId="77777777">
        <w:trPr>
          <w:jc w:val="center"/>
        </w:trPr>
        <w:tc>
          <w:tcPr>
            <w:tcW w:w="1728" w:type="dxa"/>
            <w:tcBorders>
              <w:bottom w:val="single" w:sz="4" w:space="0" w:color="D0D7DE"/>
            </w:tcBorders>
            <w:shd w:val="clear" w:color="auto" w:fill="FFFFFF"/>
            <w:tcMar>
              <w:top w:w="80" w:type="dxa"/>
              <w:left w:w="100" w:type="dxa"/>
              <w:bottom w:w="80" w:type="dxa"/>
              <w:right w:w="100" w:type="dxa"/>
            </w:tcMar>
          </w:tcPr>
          <w:p w14:paraId="1AE9BD1F" w14:textId="77777777" w:rsidR="00F10304" w:rsidRDefault="00000000">
            <w:pPr>
              <w:spacing w:after="20" w:line="252" w:lineRule="auto"/>
            </w:pPr>
            <w:r>
              <w:rPr>
                <w:sz w:val="16"/>
              </w:rPr>
              <w:t>Trust Score</w:t>
            </w:r>
            <w:r>
              <w:rPr>
                <w:sz w:val="16"/>
              </w:rPr>
              <w:br/>
              <w:t>(Sec. 2 &amp; Exhibit A)</w:t>
            </w:r>
          </w:p>
        </w:tc>
        <w:tc>
          <w:tcPr>
            <w:tcW w:w="2592" w:type="dxa"/>
            <w:tcBorders>
              <w:bottom w:val="single" w:sz="4" w:space="0" w:color="D0D7DE"/>
            </w:tcBorders>
            <w:shd w:val="clear" w:color="auto" w:fill="FFFFFF"/>
            <w:tcMar>
              <w:top w:w="80" w:type="dxa"/>
              <w:left w:w="100" w:type="dxa"/>
              <w:bottom w:w="80" w:type="dxa"/>
              <w:right w:w="100" w:type="dxa"/>
            </w:tcMar>
          </w:tcPr>
          <w:p w14:paraId="14091D8A" w14:textId="77777777" w:rsidR="00F10304" w:rsidRDefault="00000000">
            <w:pPr>
              <w:spacing w:after="20" w:line="252" w:lineRule="auto"/>
            </w:pPr>
            <w:r>
              <w:rPr>
                <w:sz w:val="16"/>
              </w:rPr>
              <w:t>Mandates 'dynamic, evidence-based trust score derived from registry-verified signals from 0-100%'.</w:t>
            </w:r>
          </w:p>
        </w:tc>
        <w:tc>
          <w:tcPr>
            <w:tcW w:w="2880" w:type="dxa"/>
            <w:tcBorders>
              <w:bottom w:val="single" w:sz="4" w:space="0" w:color="D0D7DE"/>
            </w:tcBorders>
            <w:shd w:val="clear" w:color="auto" w:fill="FFFFFF"/>
            <w:tcMar>
              <w:top w:w="80" w:type="dxa"/>
              <w:left w:w="100" w:type="dxa"/>
              <w:bottom w:w="80" w:type="dxa"/>
              <w:right w:w="100" w:type="dxa"/>
            </w:tcMar>
          </w:tcPr>
          <w:p w14:paraId="3CBEF15A" w14:textId="77777777" w:rsidR="00F10304" w:rsidRDefault="00000000">
            <w:pPr>
              <w:spacing w:after="20" w:line="252" w:lineRule="auto"/>
            </w:pPr>
            <w:r>
              <w:rPr>
                <w:sz w:val="16"/>
              </w:rPr>
              <w:t>Delete 'Trust Score' from baseline, or make it an optional, non-normative informational field.</w:t>
            </w:r>
          </w:p>
        </w:tc>
        <w:tc>
          <w:tcPr>
            <w:tcW w:w="2160" w:type="dxa"/>
            <w:tcBorders>
              <w:bottom w:val="single" w:sz="4" w:space="0" w:color="D0D7DE"/>
            </w:tcBorders>
            <w:shd w:val="clear" w:color="auto" w:fill="FFFFFF"/>
            <w:tcMar>
              <w:top w:w="80" w:type="dxa"/>
              <w:left w:w="100" w:type="dxa"/>
              <w:bottom w:w="80" w:type="dxa"/>
              <w:right w:w="100" w:type="dxa"/>
            </w:tcMar>
          </w:tcPr>
          <w:p w14:paraId="043DE8B5" w14:textId="77777777" w:rsidR="00F10304" w:rsidRDefault="00000000">
            <w:pPr>
              <w:spacing w:after="20" w:line="252" w:lineRule="auto"/>
            </w:pPr>
            <w:r>
              <w:rPr>
                <w:sz w:val="16"/>
              </w:rPr>
              <w:t>Lacks statutory counterpart in NIST, NERC, CISA, or CRA; creates proprietary rating lock-in risk.</w:t>
            </w:r>
          </w:p>
        </w:tc>
      </w:tr>
      <w:tr w:rsidR="00F10304" w14:paraId="6D825B48" w14:textId="77777777">
        <w:trPr>
          <w:jc w:val="center"/>
        </w:trPr>
        <w:tc>
          <w:tcPr>
            <w:tcW w:w="1728" w:type="dxa"/>
            <w:tcBorders>
              <w:bottom w:val="single" w:sz="4" w:space="0" w:color="D0D7DE"/>
            </w:tcBorders>
            <w:shd w:val="clear" w:color="auto" w:fill="F4F6F9"/>
            <w:tcMar>
              <w:top w:w="80" w:type="dxa"/>
              <w:left w:w="100" w:type="dxa"/>
              <w:bottom w:w="80" w:type="dxa"/>
              <w:right w:w="100" w:type="dxa"/>
            </w:tcMar>
          </w:tcPr>
          <w:p w14:paraId="0499E2E6" w14:textId="77777777" w:rsidR="00F10304" w:rsidRDefault="00000000">
            <w:pPr>
              <w:spacing w:after="20" w:line="252" w:lineRule="auto"/>
            </w:pPr>
            <w:r>
              <w:rPr>
                <w:sz w:val="16"/>
              </w:rPr>
              <w:t>SBOM &amp; Machine Readability</w:t>
            </w:r>
            <w:r>
              <w:rPr>
                <w:sz w:val="16"/>
              </w:rPr>
              <w:br/>
              <w:t>(Sec. 3 &amp; Exhibit A)</w:t>
            </w:r>
          </w:p>
        </w:tc>
        <w:tc>
          <w:tcPr>
            <w:tcW w:w="2592" w:type="dxa"/>
            <w:tcBorders>
              <w:bottom w:val="single" w:sz="4" w:space="0" w:color="D0D7DE"/>
            </w:tcBorders>
            <w:shd w:val="clear" w:color="auto" w:fill="F4F6F9"/>
            <w:tcMar>
              <w:top w:w="80" w:type="dxa"/>
              <w:left w:w="100" w:type="dxa"/>
              <w:bottom w:w="80" w:type="dxa"/>
              <w:right w:w="100" w:type="dxa"/>
            </w:tcMar>
          </w:tcPr>
          <w:p w14:paraId="1EA25345" w14:textId="77777777" w:rsidR="00F10304" w:rsidRDefault="00000000">
            <w:pPr>
              <w:spacing w:after="20" w:line="252" w:lineRule="auto"/>
            </w:pPr>
            <w:r>
              <w:rPr>
                <w:sz w:val="16"/>
              </w:rPr>
              <w:t>Requests only an unformatted URL for SBOM and Known Vulnerability Report.</w:t>
            </w:r>
          </w:p>
        </w:tc>
        <w:tc>
          <w:tcPr>
            <w:tcW w:w="2880" w:type="dxa"/>
            <w:tcBorders>
              <w:bottom w:val="single" w:sz="4" w:space="0" w:color="D0D7DE"/>
            </w:tcBorders>
            <w:shd w:val="clear" w:color="auto" w:fill="F4F6F9"/>
            <w:tcMar>
              <w:top w:w="80" w:type="dxa"/>
              <w:left w:w="100" w:type="dxa"/>
              <w:bottom w:w="80" w:type="dxa"/>
              <w:right w:w="100" w:type="dxa"/>
            </w:tcMar>
          </w:tcPr>
          <w:p w14:paraId="54613D01" w14:textId="77777777" w:rsidR="00F10304" w:rsidRDefault="00000000">
            <w:pPr>
              <w:spacing w:after="20" w:line="252" w:lineRule="auto"/>
            </w:pPr>
            <w:r>
              <w:rPr>
                <w:sz w:val="16"/>
              </w:rPr>
              <w:t>Require SPDX or CycloneDX format, CISA 2026 Minimum Elements, and CSAF 2.0 / VEX machine-readable advisories.</w:t>
            </w:r>
          </w:p>
        </w:tc>
        <w:tc>
          <w:tcPr>
            <w:tcW w:w="2160" w:type="dxa"/>
            <w:tcBorders>
              <w:bottom w:val="single" w:sz="4" w:space="0" w:color="D0D7DE"/>
            </w:tcBorders>
            <w:shd w:val="clear" w:color="auto" w:fill="F4F6F9"/>
            <w:tcMar>
              <w:top w:w="80" w:type="dxa"/>
              <w:left w:w="100" w:type="dxa"/>
              <w:bottom w:w="80" w:type="dxa"/>
              <w:right w:w="100" w:type="dxa"/>
            </w:tcMar>
          </w:tcPr>
          <w:p w14:paraId="316E3F62" w14:textId="77777777" w:rsidR="00F10304" w:rsidRDefault="00000000">
            <w:pPr>
              <w:spacing w:after="20" w:line="252" w:lineRule="auto"/>
            </w:pPr>
            <w:r>
              <w:rPr>
                <w:sz w:val="16"/>
              </w:rPr>
              <w:t>CISA 2026 Minimum Elements for an SBOM (July 2026); OASIS CSAF 2.0 / VEX.</w:t>
            </w:r>
          </w:p>
        </w:tc>
      </w:tr>
      <w:tr w:rsidR="00F10304" w14:paraId="2C5DCC3F" w14:textId="77777777">
        <w:trPr>
          <w:jc w:val="center"/>
        </w:trPr>
        <w:tc>
          <w:tcPr>
            <w:tcW w:w="1728" w:type="dxa"/>
            <w:tcBorders>
              <w:bottom w:val="single" w:sz="4" w:space="0" w:color="D0D7DE"/>
            </w:tcBorders>
            <w:shd w:val="clear" w:color="auto" w:fill="FFFFFF"/>
            <w:tcMar>
              <w:top w:w="80" w:type="dxa"/>
              <w:left w:w="100" w:type="dxa"/>
              <w:bottom w:w="80" w:type="dxa"/>
              <w:right w:w="100" w:type="dxa"/>
            </w:tcMar>
          </w:tcPr>
          <w:p w14:paraId="3CF4BA57" w14:textId="77777777" w:rsidR="00F10304" w:rsidRDefault="00000000">
            <w:pPr>
              <w:spacing w:after="20" w:line="252" w:lineRule="auto"/>
            </w:pPr>
            <w:r>
              <w:rPr>
                <w:sz w:val="16"/>
              </w:rPr>
              <w:t>Lifecycle Support</w:t>
            </w:r>
            <w:r>
              <w:rPr>
                <w:sz w:val="16"/>
              </w:rPr>
              <w:br/>
              <w:t>(Sec. 3 &amp; Exhibit A)</w:t>
            </w:r>
          </w:p>
        </w:tc>
        <w:tc>
          <w:tcPr>
            <w:tcW w:w="2592" w:type="dxa"/>
            <w:tcBorders>
              <w:bottom w:val="single" w:sz="4" w:space="0" w:color="D0D7DE"/>
            </w:tcBorders>
            <w:shd w:val="clear" w:color="auto" w:fill="FFFFFF"/>
            <w:tcMar>
              <w:top w:w="80" w:type="dxa"/>
              <w:left w:w="100" w:type="dxa"/>
              <w:bottom w:w="80" w:type="dxa"/>
              <w:right w:w="100" w:type="dxa"/>
            </w:tcMar>
          </w:tcPr>
          <w:p w14:paraId="139D65B6" w14:textId="77777777" w:rsidR="00F10304" w:rsidRDefault="00000000">
            <w:pPr>
              <w:spacing w:after="20" w:line="252" w:lineRule="auto"/>
            </w:pPr>
            <w:r>
              <w:rPr>
                <w:sz w:val="16"/>
              </w:rPr>
              <w:t>'Support Status (either supported, unsupported, or community)'.</w:t>
            </w:r>
          </w:p>
        </w:tc>
        <w:tc>
          <w:tcPr>
            <w:tcW w:w="2880" w:type="dxa"/>
            <w:tcBorders>
              <w:bottom w:val="single" w:sz="4" w:space="0" w:color="D0D7DE"/>
            </w:tcBorders>
            <w:shd w:val="clear" w:color="auto" w:fill="FFFFFF"/>
            <w:tcMar>
              <w:top w:w="80" w:type="dxa"/>
              <w:left w:w="100" w:type="dxa"/>
              <w:bottom w:w="80" w:type="dxa"/>
              <w:right w:w="100" w:type="dxa"/>
            </w:tcMar>
          </w:tcPr>
          <w:p w14:paraId="1853C33F" w14:textId="77777777" w:rsidR="00F10304" w:rsidRDefault="00000000">
            <w:pPr>
              <w:spacing w:after="20" w:line="252" w:lineRule="auto"/>
            </w:pPr>
            <w:r>
              <w:rPr>
                <w:sz w:val="16"/>
              </w:rPr>
              <w:t>Require specific support end date (month/year), 12 months' advance EOL notice, and free security updates during support.</w:t>
            </w:r>
          </w:p>
        </w:tc>
        <w:tc>
          <w:tcPr>
            <w:tcW w:w="2160" w:type="dxa"/>
            <w:tcBorders>
              <w:bottom w:val="single" w:sz="4" w:space="0" w:color="D0D7DE"/>
            </w:tcBorders>
            <w:shd w:val="clear" w:color="auto" w:fill="FFFFFF"/>
            <w:tcMar>
              <w:top w:w="80" w:type="dxa"/>
              <w:left w:w="100" w:type="dxa"/>
              <w:bottom w:w="80" w:type="dxa"/>
              <w:right w:w="100" w:type="dxa"/>
            </w:tcMar>
          </w:tcPr>
          <w:p w14:paraId="60761057" w14:textId="77777777" w:rsidR="00F10304" w:rsidRDefault="00000000">
            <w:pPr>
              <w:spacing w:after="20" w:line="252" w:lineRule="auto"/>
            </w:pPr>
            <w:r>
              <w:rPr>
                <w:sz w:val="16"/>
              </w:rPr>
              <w:t>DOE Supply Chain Principles; FDA Premarket (Feb 2026); EU CRA Art. 13.</w:t>
            </w:r>
          </w:p>
        </w:tc>
      </w:tr>
      <w:tr w:rsidR="00F10304" w14:paraId="45974FBA" w14:textId="77777777">
        <w:trPr>
          <w:jc w:val="center"/>
        </w:trPr>
        <w:tc>
          <w:tcPr>
            <w:tcW w:w="1728" w:type="dxa"/>
            <w:tcBorders>
              <w:bottom w:val="single" w:sz="4" w:space="0" w:color="D0D7DE"/>
            </w:tcBorders>
            <w:shd w:val="clear" w:color="auto" w:fill="F4F6F9"/>
            <w:tcMar>
              <w:top w:w="80" w:type="dxa"/>
              <w:left w:w="100" w:type="dxa"/>
              <w:bottom w:w="80" w:type="dxa"/>
              <w:right w:w="100" w:type="dxa"/>
            </w:tcMar>
          </w:tcPr>
          <w:p w14:paraId="25716348" w14:textId="77777777" w:rsidR="00F10304" w:rsidRDefault="00000000">
            <w:pPr>
              <w:spacing w:after="20" w:line="252" w:lineRule="auto"/>
            </w:pPr>
            <w:r>
              <w:rPr>
                <w:sz w:val="16"/>
              </w:rPr>
              <w:t>Confidentiality Carve-out</w:t>
            </w:r>
            <w:r>
              <w:rPr>
                <w:sz w:val="16"/>
              </w:rPr>
              <w:br/>
              <w:t>(Sec. 5.3)</w:t>
            </w:r>
          </w:p>
        </w:tc>
        <w:tc>
          <w:tcPr>
            <w:tcW w:w="2592" w:type="dxa"/>
            <w:tcBorders>
              <w:bottom w:val="single" w:sz="4" w:space="0" w:color="D0D7DE"/>
            </w:tcBorders>
            <w:shd w:val="clear" w:color="auto" w:fill="F4F6F9"/>
            <w:tcMar>
              <w:top w:w="80" w:type="dxa"/>
              <w:left w:w="100" w:type="dxa"/>
              <w:bottom w:w="80" w:type="dxa"/>
              <w:right w:w="100" w:type="dxa"/>
            </w:tcMar>
          </w:tcPr>
          <w:p w14:paraId="09FA8532" w14:textId="77777777" w:rsidR="00F10304" w:rsidRDefault="00000000">
            <w:pPr>
              <w:spacing w:after="20" w:line="252" w:lineRule="auto"/>
            </w:pPr>
            <w:r>
              <w:rPr>
                <w:sz w:val="16"/>
              </w:rPr>
              <w:t>7-year restriction on Product information disclosure without clear threat sharing carve-outs.</w:t>
            </w:r>
          </w:p>
        </w:tc>
        <w:tc>
          <w:tcPr>
            <w:tcW w:w="2880" w:type="dxa"/>
            <w:tcBorders>
              <w:bottom w:val="single" w:sz="4" w:space="0" w:color="D0D7DE"/>
            </w:tcBorders>
            <w:shd w:val="clear" w:color="auto" w:fill="F4F6F9"/>
            <w:tcMar>
              <w:top w:w="80" w:type="dxa"/>
              <w:left w:w="100" w:type="dxa"/>
              <w:bottom w:w="80" w:type="dxa"/>
              <w:right w:w="100" w:type="dxa"/>
            </w:tcMar>
          </w:tcPr>
          <w:p w14:paraId="6AD47FF1" w14:textId="77777777" w:rsidR="00F10304" w:rsidRDefault="00000000">
            <w:pPr>
              <w:spacing w:after="20" w:line="252" w:lineRule="auto"/>
            </w:pPr>
            <w:r>
              <w:rPr>
                <w:sz w:val="16"/>
              </w:rPr>
              <w:t>Add explicit exception for sharing SBOM, VEX, and threat data with CISA and E-ISAC under Traffic Light Protocol (TLP).</w:t>
            </w:r>
          </w:p>
        </w:tc>
        <w:tc>
          <w:tcPr>
            <w:tcW w:w="2160" w:type="dxa"/>
            <w:tcBorders>
              <w:bottom w:val="single" w:sz="4" w:space="0" w:color="D0D7DE"/>
            </w:tcBorders>
            <w:shd w:val="clear" w:color="auto" w:fill="F4F6F9"/>
            <w:tcMar>
              <w:top w:w="80" w:type="dxa"/>
              <w:left w:w="100" w:type="dxa"/>
              <w:bottom w:w="80" w:type="dxa"/>
              <w:right w:w="100" w:type="dxa"/>
            </w:tcMar>
          </w:tcPr>
          <w:p w14:paraId="753D23E7" w14:textId="77777777" w:rsidR="00F10304" w:rsidRDefault="00000000">
            <w:pPr>
              <w:spacing w:after="20" w:line="252" w:lineRule="auto"/>
            </w:pPr>
            <w:r>
              <w:rPr>
                <w:sz w:val="16"/>
              </w:rPr>
              <w:t>CISA/E-ISAC Information Sharing frameworks; NERC reliability objectives.</w:t>
            </w:r>
          </w:p>
        </w:tc>
      </w:tr>
      <w:tr w:rsidR="00F10304" w14:paraId="50E88CCF" w14:textId="77777777">
        <w:trPr>
          <w:jc w:val="center"/>
        </w:trPr>
        <w:tc>
          <w:tcPr>
            <w:tcW w:w="1728" w:type="dxa"/>
            <w:tcBorders>
              <w:bottom w:val="single" w:sz="4" w:space="0" w:color="D0D7DE"/>
            </w:tcBorders>
            <w:shd w:val="clear" w:color="auto" w:fill="FFFFFF"/>
            <w:tcMar>
              <w:top w:w="80" w:type="dxa"/>
              <w:left w:w="100" w:type="dxa"/>
              <w:bottom w:w="80" w:type="dxa"/>
              <w:right w:w="100" w:type="dxa"/>
            </w:tcMar>
          </w:tcPr>
          <w:p w14:paraId="58DA6152" w14:textId="77777777" w:rsidR="00F10304" w:rsidRDefault="00000000">
            <w:pPr>
              <w:spacing w:after="20" w:line="252" w:lineRule="auto"/>
            </w:pPr>
            <w:r>
              <w:rPr>
                <w:sz w:val="16"/>
              </w:rPr>
              <w:t>Technical Corrections</w:t>
            </w:r>
            <w:r>
              <w:rPr>
                <w:sz w:val="16"/>
              </w:rPr>
              <w:br/>
            </w:r>
            <w:r>
              <w:rPr>
                <w:sz w:val="16"/>
              </w:rPr>
              <w:lastRenderedPageBreak/>
              <w:t>(Various)</w:t>
            </w:r>
          </w:p>
        </w:tc>
        <w:tc>
          <w:tcPr>
            <w:tcW w:w="2592" w:type="dxa"/>
            <w:tcBorders>
              <w:bottom w:val="single" w:sz="4" w:space="0" w:color="D0D7DE"/>
            </w:tcBorders>
            <w:shd w:val="clear" w:color="auto" w:fill="FFFFFF"/>
            <w:tcMar>
              <w:top w:w="80" w:type="dxa"/>
              <w:left w:w="100" w:type="dxa"/>
              <w:bottom w:w="80" w:type="dxa"/>
              <w:right w:w="100" w:type="dxa"/>
            </w:tcMar>
          </w:tcPr>
          <w:p w14:paraId="4CD45CF5" w14:textId="77777777" w:rsidR="00F10304" w:rsidRDefault="00000000">
            <w:pPr>
              <w:spacing w:after="20" w:line="252" w:lineRule="auto"/>
            </w:pPr>
            <w:r>
              <w:rPr>
                <w:sz w:val="16"/>
              </w:rPr>
              <w:lastRenderedPageBreak/>
              <w:t xml:space="preserve">'National Institute of Technology', 'North American Transmission </w:t>
            </w:r>
            <w:r>
              <w:rPr>
                <w:sz w:val="16"/>
              </w:rPr>
              <w:lastRenderedPageBreak/>
              <w:t>Form', 'CyberSecurity POLCIes', empty '(iv),'.</w:t>
            </w:r>
          </w:p>
        </w:tc>
        <w:tc>
          <w:tcPr>
            <w:tcW w:w="2880" w:type="dxa"/>
            <w:tcBorders>
              <w:bottom w:val="single" w:sz="4" w:space="0" w:color="D0D7DE"/>
            </w:tcBorders>
            <w:shd w:val="clear" w:color="auto" w:fill="FFFFFF"/>
            <w:tcMar>
              <w:top w:w="80" w:type="dxa"/>
              <w:left w:w="100" w:type="dxa"/>
              <w:bottom w:w="80" w:type="dxa"/>
              <w:right w:w="100" w:type="dxa"/>
            </w:tcMar>
          </w:tcPr>
          <w:p w14:paraId="09FEF880" w14:textId="77777777" w:rsidR="00F10304" w:rsidRDefault="00000000">
            <w:pPr>
              <w:spacing w:after="20" w:line="252" w:lineRule="auto"/>
            </w:pPr>
            <w:r>
              <w:rPr>
                <w:sz w:val="16"/>
              </w:rPr>
              <w:lastRenderedPageBreak/>
              <w:t>Correct all agency titles, spelling errors, and drafting placeholders.</w:t>
            </w:r>
          </w:p>
        </w:tc>
        <w:tc>
          <w:tcPr>
            <w:tcW w:w="2160" w:type="dxa"/>
            <w:tcBorders>
              <w:bottom w:val="single" w:sz="4" w:space="0" w:color="D0D7DE"/>
            </w:tcBorders>
            <w:shd w:val="clear" w:color="auto" w:fill="FFFFFF"/>
            <w:tcMar>
              <w:top w:w="80" w:type="dxa"/>
              <w:left w:w="100" w:type="dxa"/>
              <w:bottom w:w="80" w:type="dxa"/>
              <w:right w:w="100" w:type="dxa"/>
            </w:tcMar>
          </w:tcPr>
          <w:p w14:paraId="159003A5" w14:textId="77777777" w:rsidR="00F10304" w:rsidRDefault="00000000">
            <w:pPr>
              <w:spacing w:after="20" w:line="252" w:lineRule="auto"/>
            </w:pPr>
            <w:r>
              <w:rPr>
                <w:sz w:val="16"/>
              </w:rPr>
              <w:t>Administrative accuracy.</w:t>
            </w:r>
          </w:p>
        </w:tc>
      </w:tr>
    </w:tbl>
    <w:p w14:paraId="046EC010" w14:textId="77777777" w:rsidR="00F10304" w:rsidRDefault="00F10304">
      <w:pPr>
        <w:spacing w:after="120"/>
      </w:pPr>
    </w:p>
    <w:p w14:paraId="27CAD7A4" w14:textId="77777777" w:rsidR="00F10304" w:rsidRDefault="00000000">
      <w:pPr>
        <w:keepNext/>
        <w:spacing w:before="280"/>
      </w:pPr>
      <w:r>
        <w:rPr>
          <w:b/>
          <w:color w:val="1B365D"/>
          <w:sz w:val="25"/>
        </w:rPr>
        <w:t>4. Tracked Changes / Redline Markup of Attachment 1 (CS Addendum)</w:t>
      </w:r>
    </w:p>
    <w:p w14:paraId="2BBF8067" w14:textId="77777777" w:rsidR="00F10304" w:rsidRDefault="00000000">
      <w:r>
        <w:t>The following markup illustrates EIS Advisory's proposed text modifications directly against the joint subcommittee base text (Attachment 1). Strikethrough red text indicates proposed deletions; bold underlined green text indicates proposed insertions.</w:t>
      </w:r>
    </w:p>
    <w:tbl>
      <w:tblPr>
        <w:tblW w:w="0" w:type="auto"/>
        <w:jc w:val="center"/>
        <w:tblLook w:val="04A0" w:firstRow="1" w:lastRow="0" w:firstColumn="1" w:lastColumn="0" w:noHBand="0" w:noVBand="1"/>
      </w:tblPr>
      <w:tblGrid>
        <w:gridCol w:w="9335"/>
      </w:tblGrid>
      <w:tr w:rsidR="00F10304" w14:paraId="0364B0DC" w14:textId="77777777">
        <w:trPr>
          <w:jc w:val="center"/>
        </w:trPr>
        <w:tc>
          <w:tcPr>
            <w:tcW w:w="9360" w:type="dxa"/>
            <w:tcBorders>
              <w:top w:val="single" w:sz="4" w:space="0" w:color="D0D7DE"/>
              <w:left w:val="single" w:sz="16" w:space="0" w:color="4B6B94"/>
              <w:bottom w:val="single" w:sz="4" w:space="0" w:color="D0D7DE"/>
              <w:right w:val="single" w:sz="4" w:space="0" w:color="D0D7DE"/>
            </w:tcBorders>
            <w:shd w:val="clear" w:color="auto" w:fill="FCFDFD"/>
            <w:tcMar>
              <w:top w:w="140" w:type="dxa"/>
              <w:left w:w="180" w:type="dxa"/>
              <w:bottom w:w="140" w:type="dxa"/>
              <w:right w:w="180" w:type="dxa"/>
            </w:tcMar>
          </w:tcPr>
          <w:p w14:paraId="6CADB061" w14:textId="77777777" w:rsidR="00F10304" w:rsidRDefault="00000000">
            <w:r>
              <w:rPr>
                <w:rFonts w:ascii="Courier New" w:hAnsi="Courier New"/>
                <w:sz w:val="17"/>
              </w:rPr>
              <w:t>SECTION 1. PURPOSE</w:t>
            </w:r>
            <w:r>
              <w:rPr>
                <w:rFonts w:ascii="Courier New" w:hAnsi="Courier New"/>
                <w:sz w:val="17"/>
              </w:rPr>
              <w:br/>
              <w:t xml:space="preserve">The NAESB CS Addendum is intended to identify the minimum standards for cybersecurity protections under the Contract. 'Vendor' refers to the party providing a Product as defined herein to a 'Product User'. </w:t>
            </w:r>
            <w:r>
              <w:rPr>
                <w:rFonts w:ascii="Courier New" w:hAnsi="Courier New"/>
                <w:b/>
                <w:color w:val="006600"/>
                <w:sz w:val="17"/>
                <w:u w:val="single"/>
              </w:rPr>
              <w:t>The CS Addendum is also intended to support Product User supply chain cyber security risk management under NERC Reliability Standards, including CIP-013, as in effect, and to allow Vendor to satisfy obligations using equivalent evidence maintained for Applicable Law and recognized standards.</w:t>
            </w:r>
          </w:p>
          <w:p w14:paraId="5E546595" w14:textId="77777777" w:rsidR="00F10304" w:rsidRDefault="00000000">
            <w:r>
              <w:rPr>
                <w:rFonts w:ascii="Courier New" w:hAnsi="Courier New"/>
                <w:sz w:val="17"/>
              </w:rPr>
              <w:t>SECTION 2. DEFINITIONS</w:t>
            </w:r>
            <w:r>
              <w:rPr>
                <w:rFonts w:ascii="Courier New" w:hAnsi="Courier New"/>
                <w:sz w:val="17"/>
              </w:rPr>
              <w:br/>
            </w:r>
            <w:r>
              <w:rPr>
                <w:rFonts w:ascii="Courier New" w:hAnsi="Courier New"/>
                <w:b/>
                <w:color w:val="006600"/>
                <w:sz w:val="17"/>
                <w:u w:val="single"/>
              </w:rPr>
              <w:t>'Actively Exploited Vulnerability' shall mean a vulnerability in the Product for which there is reliable evidence that a malicious actor has exploited it without permission, including any vulnerability listed in the CISA Known Exploited Vulnerabilities (KEV) catalog.</w:t>
            </w:r>
            <w:r>
              <w:rPr>
                <w:rFonts w:ascii="Courier New" w:hAnsi="Courier New"/>
                <w:b/>
                <w:color w:val="006600"/>
                <w:sz w:val="17"/>
                <w:u w:val="single"/>
              </w:rPr>
              <w:br/>
            </w:r>
            <w:r>
              <w:rPr>
                <w:rFonts w:ascii="Courier New" w:hAnsi="Courier New"/>
                <w:b/>
                <w:color w:val="006600"/>
                <w:sz w:val="17"/>
                <w:u w:val="single"/>
              </w:rPr>
              <w:br/>
              <w:t>'Applicable Systems' shall mean high and medium impact BES Cyber Systems and their associated Electronic Access Control or Monitoring Systems (EACMS), Physical Access Control Systems (PACS), Protected Cyber Assets (PCA), and Shared Cyber Infrastructure, as defined in the NERC Glossary as in effect, and any low impact BES Cyber Systems identified in Exhibit A.</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z w:val="17"/>
              </w:rPr>
              <w:t xml:space="preserve">'Business Day(s)' shall mean Monday through Friday, excluding Federal Banking Holidays for Notices and Reporting under Section 4 herein regarding Product use in the U.S. </w:t>
            </w:r>
            <w:r>
              <w:rPr>
                <w:rFonts w:ascii="Courier New" w:hAnsi="Courier New"/>
                <w:b/>
                <w:color w:val="006600"/>
                <w:sz w:val="17"/>
                <w:u w:val="single"/>
              </w:rPr>
              <w:t>Business Days apply only to commercial notices; time periods for CS Notices involving Actively Exploited Vulnerabilities or Severe Incidents run continuously in hours.</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z w:val="17"/>
              </w:rPr>
              <w:t xml:space="preserve">'Contract' shall mean the legally binding relationship between the parties established by (i) the Base Contract and (ii) all addendums and amendments including the CS Addendum, all of which shall form a single integrated agreement between the parties. In the event of a conflict among the terms and conditions of (i) Special Conditions to the CS Addendum, (ii) CS Addendum, (iii) other amendments or addendums to the Base Contract, </w:t>
            </w:r>
            <w:r>
              <w:rPr>
                <w:rFonts w:ascii="Courier New" w:hAnsi="Courier New"/>
                <w:strike/>
                <w:color w:val="C00000"/>
                <w:sz w:val="17"/>
              </w:rPr>
              <w:t xml:space="preserve">(iv), </w:t>
            </w:r>
            <w:r>
              <w:rPr>
                <w:rFonts w:ascii="Courier New" w:hAnsi="Courier New"/>
                <w:sz w:val="17"/>
              </w:rPr>
              <w:t>and the Base Contract, the terms of the documents shall govern and have priority in the sequence listed in this sentence.</w:t>
            </w:r>
            <w:r>
              <w:rPr>
                <w:rFonts w:ascii="Courier New" w:hAnsi="Courier New"/>
                <w:sz w:val="17"/>
              </w:rPr>
              <w:br/>
            </w:r>
            <w:r>
              <w:rPr>
                <w:rFonts w:ascii="Courier New" w:hAnsi="Courier New"/>
                <w:sz w:val="17"/>
              </w:rPr>
              <w:br/>
              <w:t>'CVSS' means Common Vulnerability Scoring System used to assess, score, and communicate the technical severity of a computer system flaws with a range of between 0.0 (</w:t>
            </w:r>
            <w:r>
              <w:rPr>
                <w:rFonts w:ascii="Courier New" w:hAnsi="Courier New"/>
                <w:strike/>
                <w:color w:val="C00000"/>
                <w:sz w:val="17"/>
              </w:rPr>
              <w:t>low</w:t>
            </w:r>
            <w:r>
              <w:rPr>
                <w:rFonts w:ascii="Courier New" w:hAnsi="Courier New"/>
                <w:b/>
                <w:color w:val="006600"/>
                <w:sz w:val="17"/>
                <w:u w:val="single"/>
              </w:rPr>
              <w:t>none</w:t>
            </w:r>
            <w:r>
              <w:rPr>
                <w:rFonts w:ascii="Courier New" w:hAnsi="Courier New"/>
                <w:sz w:val="17"/>
              </w:rPr>
              <w:t>) to 10.0 (critical)</w:t>
            </w:r>
            <w:r>
              <w:rPr>
                <w:rFonts w:ascii="Courier New" w:hAnsi="Courier New"/>
                <w:b/>
                <w:color w:val="006600"/>
                <w:sz w:val="17"/>
                <w:u w:val="single"/>
              </w:rPr>
              <w:t>, utilizing CVSS version 4.0 or later.</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trike/>
                <w:color w:val="C00000"/>
                <w:sz w:val="17"/>
              </w:rPr>
              <w:t>'CII Data' means any information system containing critical data governed by US CISA Protected Critical Infrastructure Information (PCII) Program.</w:t>
            </w:r>
            <w:r>
              <w:rPr>
                <w:rFonts w:ascii="Courier New" w:hAnsi="Courier New"/>
                <w:strike/>
                <w:color w:val="C00000"/>
                <w:sz w:val="17"/>
              </w:rPr>
              <w:br/>
            </w:r>
            <w:r>
              <w:rPr>
                <w:rFonts w:ascii="Courier New" w:hAnsi="Courier New"/>
                <w:strike/>
                <w:color w:val="C00000"/>
                <w:sz w:val="17"/>
              </w:rPr>
              <w:br/>
            </w:r>
            <w:r>
              <w:rPr>
                <w:rFonts w:ascii="Courier New" w:hAnsi="Courier New"/>
                <w:b/>
                <w:color w:val="006600"/>
                <w:sz w:val="17"/>
                <w:u w:val="single"/>
              </w:rPr>
              <w:t>'Protected Information' means BES Cyber System Information (BCSI), Critical Energy/Electric Infrastructure Information (CEII), and non-public Product User operational, network, and security data.</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trike/>
                <w:color w:val="C00000"/>
                <w:sz w:val="17"/>
              </w:rPr>
              <w:t>'Exploitable Vulnerability' shall mean a Product vulnerability that may impact the Product's information technology or operational technology.</w:t>
            </w:r>
            <w:r>
              <w:rPr>
                <w:rFonts w:ascii="Courier New" w:hAnsi="Courier New"/>
                <w:strike/>
                <w:color w:val="C00000"/>
                <w:sz w:val="17"/>
              </w:rPr>
              <w:br/>
            </w:r>
            <w:r>
              <w:rPr>
                <w:rFonts w:ascii="Courier New" w:hAnsi="Courier New"/>
                <w:strike/>
                <w:color w:val="C00000"/>
                <w:sz w:val="17"/>
              </w:rPr>
              <w:lastRenderedPageBreak/>
              <w:br/>
              <w:t>'High-Risk Vulnerability' shall mean a Product vulnerability impacting critical business functions or safety related to Product use.</w:t>
            </w:r>
            <w:r>
              <w:rPr>
                <w:rFonts w:ascii="Courier New" w:hAnsi="Courier New"/>
                <w:strike/>
                <w:color w:val="C00000"/>
                <w:sz w:val="17"/>
              </w:rPr>
              <w:br/>
            </w:r>
            <w:r>
              <w:rPr>
                <w:rFonts w:ascii="Courier New" w:hAnsi="Courier New"/>
                <w:strike/>
                <w:color w:val="C00000"/>
                <w:sz w:val="17"/>
              </w:rPr>
              <w:br/>
            </w:r>
            <w:r>
              <w:rPr>
                <w:rFonts w:ascii="Courier New" w:hAnsi="Courier New"/>
                <w:b/>
                <w:color w:val="006600"/>
                <w:sz w:val="17"/>
                <w:u w:val="single"/>
              </w:rPr>
              <w:t>'Significant Vulnerability' shall mean a Product vulnerability with a CVSS base score of 7.0 or higher, or a vulnerability presenting an uncontrolled risk to safety or Bulk Power System reliability.</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z w:val="17"/>
              </w:rPr>
              <w:t xml:space="preserve">'Product' shall mean the network, software, devices, </w:t>
            </w:r>
            <w:r>
              <w:rPr>
                <w:rFonts w:ascii="Courier New" w:hAnsi="Courier New"/>
                <w:b/>
                <w:color w:val="006600"/>
                <w:sz w:val="17"/>
                <w:u w:val="single"/>
              </w:rPr>
              <w:t xml:space="preserve">firmware, AI Functions, </w:t>
            </w:r>
            <w:r>
              <w:rPr>
                <w:rFonts w:ascii="Courier New" w:hAnsi="Courier New"/>
                <w:sz w:val="17"/>
              </w:rPr>
              <w:t xml:space="preserve">and data as set forth in Exhibit A provided by Vendor to a Product User, </w:t>
            </w:r>
            <w:r>
              <w:rPr>
                <w:rFonts w:ascii="Courier New" w:hAnsi="Courier New"/>
                <w:b/>
                <w:color w:val="006600"/>
                <w:sz w:val="17"/>
                <w:u w:val="single"/>
              </w:rPr>
              <w:t xml:space="preserve">including spare equipment, replacement parts, and emergency repairs. </w:t>
            </w:r>
            <w:r>
              <w:rPr>
                <w:rFonts w:ascii="Courier New" w:hAnsi="Courier New"/>
                <w:sz w:val="17"/>
              </w:rPr>
              <w:t>A separate Exhibit A shall be provided for each Product...</w:t>
            </w:r>
            <w:r>
              <w:rPr>
                <w:rFonts w:ascii="Courier New" w:hAnsi="Courier New"/>
                <w:sz w:val="17"/>
              </w:rPr>
              <w:br/>
            </w:r>
            <w:r>
              <w:rPr>
                <w:rFonts w:ascii="Courier New" w:hAnsi="Courier New"/>
                <w:sz w:val="17"/>
              </w:rPr>
              <w:br/>
            </w:r>
            <w:r>
              <w:rPr>
                <w:rFonts w:ascii="Courier New" w:hAnsi="Courier New"/>
                <w:b/>
                <w:color w:val="006600"/>
                <w:sz w:val="17"/>
                <w:u w:val="single"/>
              </w:rPr>
              <w:t>'Severe Incident' shall mean an incident that negatively affects, or is capable of negatively affecting, the ability of the Product to protect the availability, authenticity, integrity, or confidentiality of data or functions, or that has led to the unauthorized introduction of malicious code.</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trike/>
                <w:color w:val="C00000"/>
                <w:sz w:val="17"/>
              </w:rPr>
              <w:t>'Trust Score' shall mean a dynamic, evidence-based trust score derived from registry-verified signals from 0-100%. Higher scores indicate higher community trustworthiness.</w:t>
            </w:r>
            <w:r>
              <w:rPr>
                <w:rFonts w:ascii="Courier New" w:hAnsi="Courier New"/>
                <w:strike/>
                <w:color w:val="C00000"/>
                <w:sz w:val="17"/>
              </w:rPr>
              <w:br/>
            </w:r>
            <w:r>
              <w:rPr>
                <w:rFonts w:ascii="Courier New" w:hAnsi="Courier New"/>
                <w:strike/>
                <w:color w:val="C00000"/>
                <w:sz w:val="17"/>
              </w:rPr>
              <w:br/>
            </w:r>
            <w:r>
              <w:rPr>
                <w:rFonts w:ascii="Courier New" w:hAnsi="Courier New"/>
                <w:b/>
                <w:color w:val="006600"/>
                <w:sz w:val="17"/>
                <w:u w:val="single"/>
              </w:rPr>
              <w:t>'Vendor-Identified Incident' shall mean an incident identified by Vendor that is related to the Products or services provided to Product User and poses cyber security risk to Product User.</w:t>
            </w:r>
            <w:r>
              <w:rPr>
                <w:rFonts w:ascii="Courier New" w:hAnsi="Courier New"/>
                <w:b/>
                <w:color w:val="006600"/>
                <w:sz w:val="17"/>
                <w:u w:val="single"/>
              </w:rPr>
              <w:br/>
            </w:r>
          </w:p>
          <w:p w14:paraId="66C9F824" w14:textId="77777777" w:rsidR="00F10304" w:rsidRDefault="00000000">
            <w:r>
              <w:rPr>
                <w:rFonts w:ascii="Courier New" w:hAnsi="Courier New"/>
                <w:sz w:val="17"/>
              </w:rPr>
              <w:t>SECTION 3. CYBERSECURITY POLICIES, PRACTICES AND PROCEDURES</w:t>
            </w:r>
            <w:r>
              <w:rPr>
                <w:rFonts w:ascii="Courier New" w:hAnsi="Courier New"/>
                <w:sz w:val="17"/>
              </w:rPr>
              <w:br/>
              <w:t xml:space="preserve">3.1 During the term of agreement... Vendor shall establish and maintain Cybersecurity Policies, Practices and Procedures ('CS Policy') across its company... Vendor shall provide to Product User written updates in the event any of the published CS Policy documentation </w:t>
            </w:r>
            <w:r>
              <w:rPr>
                <w:rFonts w:ascii="Courier New" w:hAnsi="Courier New"/>
                <w:b/>
                <w:color w:val="006600"/>
                <w:sz w:val="17"/>
                <w:u w:val="single"/>
              </w:rPr>
              <w:t>is amended, modified, or updated.</w:t>
            </w:r>
            <w:r>
              <w:rPr>
                <w:rFonts w:ascii="Courier New" w:hAnsi="Courier New"/>
                <w:b/>
                <w:color w:val="006600"/>
                <w:sz w:val="17"/>
                <w:u w:val="single"/>
              </w:rPr>
              <w:br/>
            </w:r>
            <w:r>
              <w:rPr>
                <w:rFonts w:ascii="Courier New" w:hAnsi="Courier New"/>
                <w:b/>
                <w:color w:val="006600"/>
                <w:sz w:val="17"/>
                <w:u w:val="single"/>
              </w:rPr>
              <w:br/>
            </w:r>
            <w:r>
              <w:rPr>
                <w:rFonts w:ascii="Courier New" w:hAnsi="Courier New"/>
                <w:sz w:val="17"/>
              </w:rPr>
              <w:t>3.2 CS Policy shall include provisions regarding compliance with the following requirements, only if applicable to the Product:</w:t>
            </w:r>
            <w:r>
              <w:rPr>
                <w:rFonts w:ascii="Courier New" w:hAnsi="Courier New"/>
                <w:sz w:val="17"/>
              </w:rPr>
              <w:br/>
              <w:t>i. Product list;</w:t>
            </w:r>
            <w:r>
              <w:rPr>
                <w:rFonts w:ascii="Courier New" w:hAnsi="Courier New"/>
                <w:sz w:val="17"/>
              </w:rPr>
              <w:br/>
              <w:t>ii. Product version control and notification of Product's future updates or changes;</w:t>
            </w:r>
            <w:r>
              <w:rPr>
                <w:rFonts w:ascii="Courier New" w:hAnsi="Courier New"/>
                <w:sz w:val="17"/>
              </w:rPr>
              <w:br/>
              <w:t xml:space="preserve">iii. Product compliance with </w:t>
            </w:r>
            <w:r>
              <w:rPr>
                <w:rFonts w:ascii="Courier New" w:hAnsi="Courier New"/>
                <w:b/>
                <w:color w:val="006600"/>
                <w:sz w:val="17"/>
                <w:u w:val="single"/>
              </w:rPr>
              <w:t xml:space="preserve">(a) </w:t>
            </w:r>
            <w:r>
              <w:rPr>
                <w:rFonts w:ascii="Courier New" w:hAnsi="Courier New"/>
                <w:sz w:val="17"/>
              </w:rPr>
              <w:t>ISO/IEC 27001 (</w:t>
            </w:r>
            <w:r>
              <w:rPr>
                <w:rFonts w:ascii="Courier New" w:hAnsi="Courier New"/>
                <w:strike/>
                <w:color w:val="C00000"/>
                <w:sz w:val="17"/>
              </w:rPr>
              <w:t>Information Technology</w:t>
            </w:r>
            <w:r>
              <w:rPr>
                <w:rFonts w:ascii="Courier New" w:hAnsi="Courier New"/>
                <w:b/>
                <w:color w:val="006600"/>
                <w:sz w:val="17"/>
                <w:u w:val="single"/>
              </w:rPr>
              <w:t>for Vendor organization</w:t>
            </w:r>
            <w:r>
              <w:rPr>
                <w:rFonts w:ascii="Courier New" w:hAnsi="Courier New"/>
                <w:sz w:val="17"/>
              </w:rPr>
              <w:t xml:space="preserve">), </w:t>
            </w:r>
            <w:r>
              <w:rPr>
                <w:rFonts w:ascii="Courier New" w:hAnsi="Courier New"/>
                <w:b/>
                <w:color w:val="006600"/>
                <w:sz w:val="17"/>
                <w:u w:val="single"/>
              </w:rPr>
              <w:t xml:space="preserve">(b) IEC 62443-4-1 or NIST SP 800-218 (for Product development), (c) </w:t>
            </w:r>
            <w:r>
              <w:rPr>
                <w:rFonts w:ascii="Courier New" w:hAnsi="Courier New"/>
                <w:sz w:val="17"/>
              </w:rPr>
              <w:t>IEC 62443</w:t>
            </w:r>
            <w:r>
              <w:rPr>
                <w:rFonts w:ascii="Courier New" w:hAnsi="Courier New"/>
                <w:b/>
                <w:color w:val="006600"/>
                <w:sz w:val="17"/>
                <w:u w:val="single"/>
              </w:rPr>
              <w:t>-4-2 (for Product technical security capabilities)</w:t>
            </w:r>
            <w:r>
              <w:rPr>
                <w:rFonts w:ascii="Courier New" w:hAnsi="Courier New"/>
                <w:sz w:val="17"/>
              </w:rPr>
              <w:t xml:space="preserve">, and </w:t>
            </w:r>
            <w:r>
              <w:rPr>
                <w:rFonts w:ascii="Courier New" w:hAnsi="Courier New"/>
                <w:b/>
                <w:color w:val="006600"/>
                <w:sz w:val="17"/>
                <w:u w:val="single"/>
              </w:rPr>
              <w:t xml:space="preserve">(d) </w:t>
            </w:r>
            <w:r>
              <w:rPr>
                <w:rFonts w:ascii="Courier New" w:hAnsi="Courier New"/>
                <w:sz w:val="17"/>
              </w:rPr>
              <w:t xml:space="preserve">rules and regulation issued by federal agencies in response to EO 14421 (91 FR 55995 (Aug. 31, 2026)), </w:t>
            </w:r>
            <w:r>
              <w:rPr>
                <w:rFonts w:ascii="Courier New" w:hAnsi="Courier New"/>
                <w:b/>
                <w:color w:val="006600"/>
                <w:sz w:val="17"/>
                <w:u w:val="single"/>
              </w:rPr>
              <w:t xml:space="preserve">once effective, </w:t>
            </w:r>
            <w:r>
              <w:rPr>
                <w:rFonts w:ascii="Courier New" w:hAnsi="Courier New"/>
                <w:sz w:val="17"/>
              </w:rPr>
              <w:t>as may be amended, supplemented, or otherwise modified from time to time.</w:t>
            </w:r>
            <w:r>
              <w:rPr>
                <w:rFonts w:ascii="Courier New" w:hAnsi="Courier New"/>
                <w:sz w:val="17"/>
              </w:rPr>
              <w:br/>
              <w:t xml:space="preserve">iv. Implementation of vulnerability detection and remediation program consistent with currently applicable NIST Special Publication 800-53 RA-5, SA-11, and SI-2, </w:t>
            </w:r>
            <w:r>
              <w:rPr>
                <w:rFonts w:ascii="Courier New" w:hAnsi="Courier New"/>
                <w:b/>
                <w:color w:val="006600"/>
                <w:sz w:val="17"/>
                <w:u w:val="single"/>
              </w:rPr>
              <w:t xml:space="preserve">SI-2(7) (Root Cause Analysis), NIST SP 800-218, or IEC 62443-4-1, </w:t>
            </w:r>
            <w:r>
              <w:rPr>
                <w:rFonts w:ascii="Courier New" w:hAnsi="Courier New"/>
                <w:sz w:val="17"/>
              </w:rPr>
              <w:t>and others as may be applicable.</w:t>
            </w:r>
            <w:r>
              <w:rPr>
                <w:rFonts w:ascii="Courier New" w:hAnsi="Courier New"/>
                <w:sz w:val="17"/>
              </w:rPr>
              <w:br/>
              <w:t xml:space="preserve">v. CS Notice of Product and confirmed </w:t>
            </w:r>
            <w:r>
              <w:rPr>
                <w:rFonts w:ascii="Courier New" w:hAnsi="Courier New"/>
                <w:strike/>
                <w:color w:val="C00000"/>
                <w:sz w:val="17"/>
              </w:rPr>
              <w:t>Product's Exploitable</w:t>
            </w:r>
            <w:r>
              <w:rPr>
                <w:rFonts w:ascii="Courier New" w:hAnsi="Courier New"/>
                <w:b/>
                <w:color w:val="006600"/>
                <w:sz w:val="17"/>
                <w:u w:val="single"/>
              </w:rPr>
              <w:t>Actively Exploited</w:t>
            </w:r>
            <w:r>
              <w:rPr>
                <w:rFonts w:ascii="Courier New" w:hAnsi="Courier New"/>
                <w:sz w:val="17"/>
              </w:rPr>
              <w:t xml:space="preserve"> Vulnerability </w:t>
            </w:r>
            <w:r>
              <w:rPr>
                <w:rFonts w:ascii="Courier New" w:hAnsi="Courier New"/>
                <w:b/>
                <w:color w:val="006600"/>
                <w:sz w:val="17"/>
                <w:u w:val="single"/>
              </w:rPr>
              <w:t xml:space="preserve">or Severe Incident </w:t>
            </w:r>
            <w:r>
              <w:rPr>
                <w:rFonts w:ascii="Courier New" w:hAnsi="Courier New"/>
                <w:sz w:val="17"/>
              </w:rPr>
              <w:t xml:space="preserve">promptly but no later than 72 hours </w:t>
            </w:r>
            <w:r>
              <w:rPr>
                <w:rFonts w:ascii="Courier New" w:hAnsi="Courier New"/>
                <w:b/>
                <w:color w:val="006600"/>
                <w:sz w:val="17"/>
                <w:u w:val="single"/>
              </w:rPr>
              <w:t xml:space="preserve">of becoming aware, </w:t>
            </w:r>
            <w:r>
              <w:rPr>
                <w:rFonts w:ascii="Courier New" w:hAnsi="Courier New"/>
                <w:sz w:val="17"/>
              </w:rPr>
              <w:t xml:space="preserve">including CWE or CVE identifiers </w:t>
            </w:r>
            <w:r>
              <w:rPr>
                <w:rFonts w:ascii="Courier New" w:hAnsi="Courier New"/>
                <w:b/>
                <w:color w:val="006600"/>
                <w:sz w:val="17"/>
                <w:u w:val="single"/>
              </w:rPr>
              <w:t xml:space="preserve">and available compensating controls. </w:t>
            </w:r>
            <w:r>
              <w:rPr>
                <w:rFonts w:ascii="Courier New" w:hAnsi="Courier New"/>
                <w:sz w:val="17"/>
              </w:rPr>
              <w:t xml:space="preserve">Notice shall include description of safety impact... Within </w:t>
            </w:r>
            <w:r>
              <w:rPr>
                <w:rFonts w:ascii="Courier New" w:hAnsi="Courier New"/>
                <w:strike/>
                <w:color w:val="C00000"/>
                <w:sz w:val="17"/>
              </w:rPr>
              <w:t>3 Business days</w:t>
            </w:r>
            <w:r>
              <w:rPr>
                <w:rFonts w:ascii="Courier New" w:hAnsi="Courier New"/>
                <w:b/>
                <w:color w:val="006600"/>
                <w:sz w:val="17"/>
                <w:u w:val="single"/>
              </w:rPr>
              <w:t>14 days after a corrective measure is available</w:t>
            </w:r>
            <w:r>
              <w:rPr>
                <w:rFonts w:ascii="Courier New" w:hAnsi="Courier New"/>
                <w:sz w:val="17"/>
              </w:rPr>
              <w:t xml:space="preserve">, Vendor shall provide its </w:t>
            </w:r>
            <w:r>
              <w:rPr>
                <w:rFonts w:ascii="Courier New" w:hAnsi="Courier New"/>
                <w:strike/>
                <w:color w:val="C00000"/>
                <w:sz w:val="17"/>
              </w:rPr>
              <w:t>vulnerability assessment</w:t>
            </w:r>
            <w:r>
              <w:rPr>
                <w:rFonts w:ascii="Courier New" w:hAnsi="Courier New"/>
                <w:b/>
                <w:color w:val="006600"/>
                <w:sz w:val="17"/>
                <w:u w:val="single"/>
              </w:rPr>
              <w:t>final report</w:t>
            </w:r>
            <w:r>
              <w:rPr>
                <w:rFonts w:ascii="Courier New" w:hAnsi="Courier New"/>
                <w:sz w:val="17"/>
              </w:rPr>
              <w:t xml:space="preserve"> to Product User and Vendor's proposed remediation Plan.</w:t>
            </w:r>
            <w:r>
              <w:rPr>
                <w:rFonts w:ascii="Courier New" w:hAnsi="Courier New"/>
                <w:sz w:val="17"/>
              </w:rPr>
              <w:br/>
            </w:r>
            <w:r>
              <w:rPr>
                <w:rFonts w:ascii="Courier New" w:hAnsi="Courier New"/>
                <w:strike/>
                <w:color w:val="C00000"/>
                <w:sz w:val="17"/>
              </w:rPr>
              <w:t>At a minimum, CS Notices under this section shall be sent for the following classes of CWE and CVE in the Product's Known Vulnerability Report:</w:t>
            </w:r>
            <w:r>
              <w:rPr>
                <w:rFonts w:ascii="Courier New" w:hAnsi="Courier New"/>
                <w:strike/>
                <w:color w:val="C00000"/>
                <w:sz w:val="17"/>
              </w:rPr>
              <w:br/>
              <w:t>vi. Immediate CS Notice of Product and High-Risk Vulnerability with known exploits including CWE and CVE identifiers...</w:t>
            </w:r>
            <w:r>
              <w:rPr>
                <w:rFonts w:ascii="Courier New" w:hAnsi="Courier New"/>
                <w:strike/>
                <w:color w:val="C00000"/>
                <w:sz w:val="17"/>
              </w:rPr>
              <w:br/>
            </w:r>
            <w:r>
              <w:rPr>
                <w:rFonts w:ascii="Courier New" w:hAnsi="Courier New"/>
                <w:b/>
                <w:color w:val="006600"/>
                <w:sz w:val="17"/>
                <w:u w:val="single"/>
              </w:rPr>
              <w:t xml:space="preserve">vi. For other Significant Vulnerabilities, Vendor shall provide an advisory, including available compensating controls, no later than 30 days after confirmation, and a </w:t>
            </w:r>
            <w:r>
              <w:rPr>
                <w:rFonts w:ascii="Courier New" w:hAnsi="Courier New"/>
                <w:b/>
                <w:color w:val="006600"/>
                <w:sz w:val="17"/>
                <w:u w:val="single"/>
              </w:rPr>
              <w:lastRenderedPageBreak/>
              <w:t>remediation plan within 60 days.</w:t>
            </w:r>
            <w:r>
              <w:rPr>
                <w:rFonts w:ascii="Courier New" w:hAnsi="Courier New"/>
                <w:b/>
                <w:color w:val="006600"/>
                <w:sz w:val="17"/>
                <w:u w:val="single"/>
              </w:rPr>
              <w:br/>
            </w:r>
            <w:r>
              <w:rPr>
                <w:rFonts w:ascii="Courier New" w:hAnsi="Courier New"/>
                <w:sz w:val="17"/>
              </w:rPr>
              <w:t xml:space="preserve">vii. Unless directed otherwise by a governmental agency, immediate CS Notice of </w:t>
            </w:r>
            <w:r>
              <w:rPr>
                <w:rFonts w:ascii="Courier New" w:hAnsi="Courier New"/>
                <w:strike/>
                <w:color w:val="C00000"/>
                <w:sz w:val="17"/>
              </w:rPr>
              <w:t>security breaches</w:t>
            </w:r>
            <w:r>
              <w:rPr>
                <w:rFonts w:ascii="Courier New" w:hAnsi="Courier New"/>
                <w:b/>
                <w:color w:val="006600"/>
                <w:sz w:val="17"/>
                <w:u w:val="single"/>
              </w:rPr>
              <w:t>Vendor-Identified Incidents</w:t>
            </w:r>
            <w:r>
              <w:rPr>
                <w:rFonts w:ascii="Courier New" w:hAnsi="Courier New"/>
                <w:sz w:val="17"/>
              </w:rPr>
              <w:t xml:space="preserve"> that may impact Product performance and affect either Vendor's or Product User's </w:t>
            </w:r>
            <w:r>
              <w:rPr>
                <w:rFonts w:ascii="Courier New" w:hAnsi="Courier New"/>
                <w:strike/>
                <w:color w:val="C00000"/>
                <w:sz w:val="17"/>
              </w:rPr>
              <w:t>CII data</w:t>
            </w:r>
            <w:r>
              <w:rPr>
                <w:rFonts w:ascii="Courier New" w:hAnsi="Courier New"/>
                <w:b/>
                <w:color w:val="006600"/>
                <w:sz w:val="17"/>
                <w:u w:val="single"/>
              </w:rPr>
              <w:t>Protected Information</w:t>
            </w:r>
            <w:r>
              <w:rPr>
                <w:rFonts w:ascii="Courier New" w:hAnsi="Courier New"/>
                <w:sz w:val="17"/>
              </w:rPr>
              <w:t>.</w:t>
            </w:r>
            <w:r>
              <w:rPr>
                <w:rFonts w:ascii="Courier New" w:hAnsi="Courier New"/>
                <w:sz w:val="17"/>
              </w:rPr>
              <w:br/>
              <w:t>...</w:t>
            </w:r>
            <w:r>
              <w:rPr>
                <w:rFonts w:ascii="Courier New" w:hAnsi="Courier New"/>
                <w:sz w:val="17"/>
              </w:rPr>
              <w:br/>
              <w:t xml:space="preserve">x. Disclosure of all vulnerabilities that impact Bulk Power Systems, grid operations, or similar electric operations to E-ISAC </w:t>
            </w:r>
            <w:r>
              <w:rPr>
                <w:rFonts w:ascii="Courier New" w:hAnsi="Courier New"/>
                <w:strike/>
                <w:color w:val="C00000"/>
                <w:sz w:val="17"/>
              </w:rPr>
              <w:t>in accordance with reporting requirements of NERC Reliability Standard CIP-008</w:t>
            </w:r>
            <w:r>
              <w:rPr>
                <w:rFonts w:ascii="Courier New" w:hAnsi="Courier New"/>
                <w:b/>
                <w:color w:val="006600"/>
                <w:sz w:val="17"/>
                <w:u w:val="single"/>
              </w:rPr>
              <w:t>through Vendor's coordinated vulnerability disclosure policy and CISA coordination. Nothing herein alters Product User's independent reporting obligations under NERC CIP-008</w:t>
            </w:r>
            <w:r>
              <w:rPr>
                <w:rFonts w:ascii="Courier New" w:hAnsi="Courier New"/>
                <w:sz w:val="17"/>
              </w:rPr>
              <w:t>.</w:t>
            </w:r>
            <w:r>
              <w:rPr>
                <w:rFonts w:ascii="Courier New" w:hAnsi="Courier New"/>
                <w:sz w:val="17"/>
              </w:rPr>
              <w:br/>
            </w:r>
            <w:r>
              <w:rPr>
                <w:rFonts w:ascii="Courier New" w:hAnsi="Courier New"/>
                <w:sz w:val="17"/>
              </w:rPr>
              <w:br/>
            </w:r>
            <w:r>
              <w:rPr>
                <w:rFonts w:ascii="Courier New" w:hAnsi="Courier New"/>
                <w:b/>
                <w:color w:val="006600"/>
                <w:sz w:val="17"/>
                <w:u w:val="single"/>
              </w:rPr>
              <w:t>3.3 Regulatory Alignment and Equivalent Evidence.</w:t>
            </w:r>
            <w:r>
              <w:rPr>
                <w:rFonts w:ascii="Courier New" w:hAnsi="Courier New"/>
                <w:b/>
                <w:color w:val="006600"/>
                <w:sz w:val="17"/>
                <w:u w:val="single"/>
              </w:rPr>
              <w:br/>
              <w:t>The parties intend that Vendor satisfy obligations using processes and evidence maintained for Applicable Law and recognized standards. Unless Special Conditions provide otherwise, each of the following satisfies the corresponding obligation: (a) Secure-by-design attestation: NIST SP 800-218 (SSDF), IEC 62443-4-1 or 4-2 / ISASecure certification, or FDA Section 524B documentation; (b) CS Notices: regulatory filings or published advisories delivered within required timeframes; (c) SBOM: machine-readable SBOM in SPDX or CycloneDX format meeting CISA Minimum Elements; (d) Support Period: published end-of-support commitment specifying month and year.</w:t>
            </w:r>
            <w:r>
              <w:rPr>
                <w:rFonts w:ascii="Courier New" w:hAnsi="Courier New"/>
                <w:b/>
                <w:color w:val="006600"/>
                <w:sz w:val="17"/>
                <w:u w:val="single"/>
              </w:rPr>
              <w:br/>
            </w:r>
            <w:r>
              <w:rPr>
                <w:rFonts w:ascii="Courier New" w:hAnsi="Courier New"/>
                <w:b/>
                <w:color w:val="006600"/>
                <w:sz w:val="17"/>
                <w:u w:val="single"/>
              </w:rPr>
              <w:br/>
              <w:t>3.4 Audit and Inspection Rights.</w:t>
            </w:r>
            <w:r>
              <w:rPr>
                <w:rFonts w:ascii="Courier New" w:hAnsi="Courier New"/>
                <w:b/>
                <w:color w:val="006600"/>
                <w:sz w:val="17"/>
                <w:u w:val="single"/>
              </w:rPr>
              <w:br/>
              <w:t>Product User may perform a vulnerability audit or inspection of a Product, subject to: (a) at least 30 days' advance notice, except following a Severe Incident; (b) no more than once per calendar year; (c) acceptance of recent third-party certifications (SOC 2, IEC 62443, ISO 27001) first; (d) testing on non-production instances; and (e) confidentiality under Section 5.3.</w:t>
            </w:r>
            <w:r>
              <w:rPr>
                <w:rFonts w:ascii="Courier New" w:hAnsi="Courier New"/>
                <w:b/>
                <w:color w:val="006600"/>
                <w:sz w:val="17"/>
                <w:u w:val="single"/>
              </w:rPr>
              <w:br/>
            </w:r>
          </w:p>
          <w:p w14:paraId="6D41764F" w14:textId="77777777" w:rsidR="00F10304" w:rsidRDefault="00000000">
            <w:r>
              <w:rPr>
                <w:rFonts w:ascii="Courier New" w:hAnsi="Courier New"/>
                <w:sz w:val="17"/>
              </w:rPr>
              <w:t>SECTION 5. MISCELLANEOUS</w:t>
            </w:r>
            <w:r>
              <w:rPr>
                <w:rFonts w:ascii="Courier New" w:hAnsi="Courier New"/>
                <w:sz w:val="17"/>
              </w:rPr>
              <w:br/>
              <w:t xml:space="preserve">5.3 Confidentiality. ...neither party shall disclose... terms of Contract and Product information... except (i) in order to comply with Applicable Law... or </w:t>
            </w:r>
            <w:r>
              <w:rPr>
                <w:rFonts w:ascii="Courier New" w:hAnsi="Courier New"/>
                <w:b/>
                <w:color w:val="006600"/>
                <w:sz w:val="17"/>
                <w:u w:val="single"/>
              </w:rPr>
              <w:t>(v) security advisories, coordinated vulnerability disclosure, and sharing of SBOM, VEX, and threat information with CISA and E-ISAC under Traffic Light Protocol (TLP) handling.</w:t>
            </w:r>
            <w:r>
              <w:rPr>
                <w:rFonts w:ascii="Courier New" w:hAnsi="Courier New"/>
                <w:b/>
                <w:color w:val="006600"/>
                <w:sz w:val="17"/>
                <w:u w:val="single"/>
              </w:rPr>
              <w:br/>
            </w:r>
          </w:p>
        </w:tc>
      </w:tr>
    </w:tbl>
    <w:p w14:paraId="48E19AA6" w14:textId="77777777" w:rsidR="00F10304" w:rsidRDefault="00F10304">
      <w:pPr>
        <w:spacing w:after="120"/>
      </w:pPr>
    </w:p>
    <w:p w14:paraId="11F6AB06" w14:textId="77777777" w:rsidR="00F10304" w:rsidRDefault="00000000">
      <w:pPr>
        <w:keepNext/>
        <w:spacing w:before="280"/>
      </w:pPr>
      <w:r>
        <w:rPr>
          <w:b/>
          <w:color w:val="1B365D"/>
          <w:sz w:val="25"/>
        </w:rPr>
        <w:t>5. Tier 2: Model Special Conditions (For Addendum or FAQ)</w:t>
      </w:r>
    </w:p>
    <w:p w14:paraId="3F0BBB0E" w14:textId="77777777" w:rsidR="00F10304" w:rsidRDefault="00000000">
      <w:r>
        <w:t>To address critical, emerging threat vectors without overburdening the core addendum text, EIS Advisory recommends incorporating the following modular provisions either into Section 3 / Exhibit A or as standardized Model Special Conditions in Attachment 2 (FAQ):</w:t>
      </w:r>
    </w:p>
    <w:p w14:paraId="4013D291" w14:textId="77777777" w:rsidR="00F10304" w:rsidRDefault="00000000">
      <w:pPr>
        <w:keepNext/>
        <w:spacing w:before="200" w:after="60"/>
      </w:pPr>
      <w:r>
        <w:rPr>
          <w:b/>
          <w:color w:val="4B6B94"/>
          <w:sz w:val="22"/>
        </w:rPr>
        <w:t>Special Condition A: Supply Chain Provenance, Hardware Radios &amp; EO 14421 Alignment</w:t>
      </w:r>
    </w:p>
    <w:tbl>
      <w:tblPr>
        <w:tblW w:w="0" w:type="auto"/>
        <w:jc w:val="center"/>
        <w:tblLook w:val="04A0" w:firstRow="1" w:lastRow="0" w:firstColumn="1" w:lastColumn="0" w:noHBand="0" w:noVBand="1"/>
      </w:tblPr>
      <w:tblGrid>
        <w:gridCol w:w="9345"/>
      </w:tblGrid>
      <w:tr w:rsidR="00F10304" w14:paraId="35AD1D5F" w14:textId="77777777">
        <w:trPr>
          <w:jc w:val="center"/>
        </w:trPr>
        <w:tc>
          <w:tcPr>
            <w:tcW w:w="9360" w:type="dxa"/>
            <w:tcBorders>
              <w:left w:val="single" w:sz="12" w:space="0" w:color="1B365D"/>
            </w:tcBorders>
            <w:shd w:val="clear" w:color="auto" w:fill="F4F6F9"/>
            <w:tcMar>
              <w:top w:w="100" w:type="dxa"/>
              <w:left w:w="140" w:type="dxa"/>
              <w:bottom w:w="100" w:type="dxa"/>
              <w:right w:w="140" w:type="dxa"/>
            </w:tcMar>
          </w:tcPr>
          <w:p w14:paraId="5381CD48" w14:textId="77777777" w:rsidR="00F10304" w:rsidRDefault="00000000">
            <w:pPr>
              <w:spacing w:after="40"/>
            </w:pPr>
            <w:r>
              <w:rPr>
                <w:i/>
                <w:sz w:val="18"/>
              </w:rPr>
              <w:t>"Vendor shall provide a hardware bill of materials identifying all communication-capable components (cellular, Wi-Fi, Bluetooth, and satellite radios). Vendor attests that the Product contains no undocumented access paths, backdoors, or default unauthenticated accounts. Vendor shall disclose any legal obligations under foreign laws to disclose vulnerabilities to foreign governments, and warrants compliance with rules issued under Executive Order 14421 regarding Covered Foreign Entities."</w:t>
            </w:r>
          </w:p>
        </w:tc>
      </w:tr>
    </w:tbl>
    <w:p w14:paraId="4D4C93A9" w14:textId="77777777" w:rsidR="00F10304" w:rsidRDefault="00F10304"/>
    <w:p w14:paraId="0DC9A58C" w14:textId="77777777" w:rsidR="00F10304" w:rsidRDefault="00000000">
      <w:pPr>
        <w:keepNext/>
        <w:spacing w:before="200" w:after="60"/>
      </w:pPr>
      <w:r>
        <w:rPr>
          <w:b/>
          <w:color w:val="4B6B94"/>
          <w:sz w:val="22"/>
        </w:rPr>
        <w:lastRenderedPageBreak/>
        <w:t>Special Condition B: Artificial Intelligence Integration &amp; Operational Governance</w:t>
      </w:r>
    </w:p>
    <w:tbl>
      <w:tblPr>
        <w:tblW w:w="0" w:type="auto"/>
        <w:jc w:val="center"/>
        <w:tblLook w:val="04A0" w:firstRow="1" w:lastRow="0" w:firstColumn="1" w:lastColumn="0" w:noHBand="0" w:noVBand="1"/>
      </w:tblPr>
      <w:tblGrid>
        <w:gridCol w:w="9345"/>
      </w:tblGrid>
      <w:tr w:rsidR="00F10304" w14:paraId="41D7C8BA" w14:textId="77777777">
        <w:trPr>
          <w:jc w:val="center"/>
        </w:trPr>
        <w:tc>
          <w:tcPr>
            <w:tcW w:w="9360" w:type="dxa"/>
            <w:tcBorders>
              <w:left w:val="single" w:sz="12" w:space="0" w:color="1B365D"/>
            </w:tcBorders>
            <w:shd w:val="clear" w:color="auto" w:fill="F4F6F9"/>
            <w:tcMar>
              <w:top w:w="100" w:type="dxa"/>
              <w:left w:w="140" w:type="dxa"/>
              <w:bottom w:w="100" w:type="dxa"/>
              <w:right w:w="140" w:type="dxa"/>
            </w:tcMar>
          </w:tcPr>
          <w:p w14:paraId="0BE09599" w14:textId="77777777" w:rsidR="00F10304" w:rsidRDefault="00000000">
            <w:pPr>
              <w:spacing w:after="40"/>
            </w:pPr>
            <w:r>
              <w:rPr>
                <w:i/>
                <w:sz w:val="18"/>
              </w:rPr>
              <w:t>"Where the Product includes Machine Learning or AI functions supporting BPS operations: (a) AI functions shall execute locally on infrastructure controlled by Product User and operate safely without external cloud dependencies; (b) Vendor shall not use Product User operational data or telemetry to train models without express written consent; (c) Product shall incorporate an AI Prompt Firewall under Product User policy control to protect against prompt injection; and (d) AI functions shall maintain human override and a fail-safe state."</w:t>
            </w:r>
          </w:p>
        </w:tc>
      </w:tr>
    </w:tbl>
    <w:p w14:paraId="0E3C5F9D" w14:textId="77777777" w:rsidR="00F10304" w:rsidRDefault="00F10304"/>
    <w:p w14:paraId="3D2CCDEC" w14:textId="77777777" w:rsidR="00F10304" w:rsidRDefault="00000000">
      <w:pPr>
        <w:keepNext/>
        <w:spacing w:before="200" w:after="60"/>
      </w:pPr>
      <w:r>
        <w:rPr>
          <w:b/>
          <w:color w:val="4B6B94"/>
          <w:sz w:val="22"/>
        </w:rPr>
        <w:t>Special Condition C: Cryptographic Agility &amp; Post-Quantum Readiness</w:t>
      </w:r>
    </w:p>
    <w:tbl>
      <w:tblPr>
        <w:tblW w:w="0" w:type="auto"/>
        <w:jc w:val="center"/>
        <w:tblLook w:val="04A0" w:firstRow="1" w:lastRow="0" w:firstColumn="1" w:lastColumn="0" w:noHBand="0" w:noVBand="1"/>
      </w:tblPr>
      <w:tblGrid>
        <w:gridCol w:w="9345"/>
      </w:tblGrid>
      <w:tr w:rsidR="00F10304" w14:paraId="2FD8A5C9" w14:textId="77777777">
        <w:trPr>
          <w:jc w:val="center"/>
        </w:trPr>
        <w:tc>
          <w:tcPr>
            <w:tcW w:w="9360" w:type="dxa"/>
            <w:tcBorders>
              <w:left w:val="single" w:sz="12" w:space="0" w:color="1B365D"/>
            </w:tcBorders>
            <w:shd w:val="clear" w:color="auto" w:fill="F4F6F9"/>
            <w:tcMar>
              <w:top w:w="100" w:type="dxa"/>
              <w:left w:w="140" w:type="dxa"/>
              <w:bottom w:w="100" w:type="dxa"/>
              <w:right w:w="140" w:type="dxa"/>
            </w:tcMar>
          </w:tcPr>
          <w:p w14:paraId="7AE49FF0" w14:textId="77777777" w:rsidR="00F10304" w:rsidRDefault="00000000">
            <w:pPr>
              <w:spacing w:after="40"/>
            </w:pPr>
            <w:r>
              <w:rPr>
                <w:i/>
                <w:sz w:val="18"/>
              </w:rPr>
              <w:t>"Vendor shall provide a Cryptography Bill of Materials (CBOM) detailing algorithms, key lengths, and cryptographic libraries. Vendor warrants that cryptographic parameters can be updated via software/firmware without hardware replacement. For Products supported beyond 2030, Vendor shall maintain a migration roadmap aligned with NIST Post-Quantum Cryptography standards (FIPS 203, 204, 205)."</w:t>
            </w:r>
          </w:p>
        </w:tc>
      </w:tr>
    </w:tbl>
    <w:p w14:paraId="255CE391" w14:textId="77777777" w:rsidR="00F10304" w:rsidRDefault="00F10304"/>
    <w:p w14:paraId="7792F974" w14:textId="77777777" w:rsidR="00F10304" w:rsidRDefault="00000000">
      <w:pPr>
        <w:keepNext/>
        <w:spacing w:before="200" w:after="60"/>
      </w:pPr>
      <w:r>
        <w:rPr>
          <w:b/>
          <w:color w:val="4B6B94"/>
          <w:sz w:val="22"/>
        </w:rPr>
        <w:t>Special Condition D: Zero Trust Architecture &amp; Internal Network Security Monitoring (CIP-015)</w:t>
      </w:r>
    </w:p>
    <w:tbl>
      <w:tblPr>
        <w:tblW w:w="0" w:type="auto"/>
        <w:jc w:val="center"/>
        <w:tblLook w:val="04A0" w:firstRow="1" w:lastRow="0" w:firstColumn="1" w:lastColumn="0" w:noHBand="0" w:noVBand="1"/>
      </w:tblPr>
      <w:tblGrid>
        <w:gridCol w:w="9345"/>
      </w:tblGrid>
      <w:tr w:rsidR="00F10304" w14:paraId="22FB5BF1" w14:textId="77777777">
        <w:trPr>
          <w:jc w:val="center"/>
        </w:trPr>
        <w:tc>
          <w:tcPr>
            <w:tcW w:w="9360" w:type="dxa"/>
            <w:tcBorders>
              <w:left w:val="single" w:sz="12" w:space="0" w:color="1B365D"/>
            </w:tcBorders>
            <w:shd w:val="clear" w:color="auto" w:fill="F4F6F9"/>
            <w:tcMar>
              <w:top w:w="100" w:type="dxa"/>
              <w:left w:w="140" w:type="dxa"/>
              <w:bottom w:w="100" w:type="dxa"/>
              <w:right w:w="140" w:type="dxa"/>
            </w:tcMar>
          </w:tcPr>
          <w:p w14:paraId="5C78D7CB" w14:textId="77777777" w:rsidR="00F10304" w:rsidRDefault="00000000">
            <w:pPr>
              <w:spacing w:after="40"/>
            </w:pPr>
            <w:r>
              <w:rPr>
                <w:i/>
                <w:sz w:val="18"/>
              </w:rPr>
              <w:t>"Product shall support unique user identities, phishing-resistant multi-factor authentication (MFA), and role-based least privilege. Vendor shall document all communication ports, protocols, and data flows to support network segmentation and internal network security monitoring (INSM) under NERC CIP-015, and shall provide native security logging exportable to Product User monitoring systems."</w:t>
            </w:r>
          </w:p>
        </w:tc>
      </w:tr>
    </w:tbl>
    <w:p w14:paraId="2002F42F" w14:textId="77777777" w:rsidR="00F10304" w:rsidRDefault="00F10304"/>
    <w:p w14:paraId="2C5E7B6D" w14:textId="77777777" w:rsidR="00F10304" w:rsidRDefault="00000000">
      <w:pPr>
        <w:keepNext/>
        <w:spacing w:before="280"/>
      </w:pPr>
      <w:r>
        <w:rPr>
          <w:b/>
          <w:color w:val="1B365D"/>
          <w:sz w:val="25"/>
        </w:rPr>
        <w:t>6. Conclusion &amp; Requested Action</w:t>
      </w:r>
    </w:p>
    <w:p w14:paraId="3FB1E1F5" w14:textId="77777777" w:rsidR="00F10304" w:rsidRDefault="00000000">
      <w:r>
        <w:t>EIS Advisory respectfully requests that the WEQ Executive Committee adopt the Tier 1 technical and procedural modifications into Attachment 1 to ensure that the NAESB Cybersecurity Addendum is legally sound, commercially practical, and directly supportive of NERC CIP compliance. Furthermore, we recommend incorporating the Tier 2 provisions into Attachment 2 (FAQ) as recommended Model Special Conditions, establishing an agile path forward for securing the nation's critical energy infrastructure.</w:t>
      </w:r>
    </w:p>
    <w:p w14:paraId="26365A48" w14:textId="77777777" w:rsidR="00F10304" w:rsidRDefault="00000000">
      <w:pPr>
        <w:spacing w:before="240" w:line="288" w:lineRule="auto"/>
      </w:pPr>
      <w:r>
        <w:rPr>
          <w:b/>
        </w:rPr>
        <w:t>Respectfully submitted,</w:t>
      </w:r>
      <w:r>
        <w:rPr>
          <w:b/>
        </w:rPr>
        <w:br/>
      </w:r>
      <w:r>
        <w:rPr>
          <w:b/>
        </w:rPr>
        <w:br/>
        <w:t>Silvere Megelas</w:t>
      </w:r>
      <w:r>
        <w:rPr>
          <w:b/>
        </w:rPr>
        <w:br/>
      </w:r>
      <w:r>
        <w:t>Managing Member, EIS Advisory</w:t>
      </w:r>
      <w:r>
        <w:br/>
        <w:t>contact@eisadvisory.com</w:t>
      </w:r>
      <w:r>
        <w:br/>
      </w:r>
    </w:p>
    <w:sectPr w:rsidR="00F1030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6766026">
    <w:abstractNumId w:val="8"/>
  </w:num>
  <w:num w:numId="2" w16cid:durableId="507066846">
    <w:abstractNumId w:val="6"/>
  </w:num>
  <w:num w:numId="3" w16cid:durableId="1623001345">
    <w:abstractNumId w:val="5"/>
  </w:num>
  <w:num w:numId="4" w16cid:durableId="2038196449">
    <w:abstractNumId w:val="4"/>
  </w:num>
  <w:num w:numId="5" w16cid:durableId="1518160179">
    <w:abstractNumId w:val="7"/>
  </w:num>
  <w:num w:numId="6" w16cid:durableId="626860144">
    <w:abstractNumId w:val="3"/>
  </w:num>
  <w:num w:numId="7" w16cid:durableId="749157257">
    <w:abstractNumId w:val="2"/>
  </w:num>
  <w:num w:numId="8" w16cid:durableId="899055370">
    <w:abstractNumId w:val="1"/>
  </w:num>
  <w:num w:numId="9" w16cid:durableId="941109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E3369"/>
    <w:rsid w:val="00AA1D8D"/>
    <w:rsid w:val="00B47730"/>
    <w:rsid w:val="00BF7DFB"/>
    <w:rsid w:val="00CB0664"/>
    <w:rsid w:val="00F103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0F9BD9"/>
  <w14:defaultImageDpi w14:val="300"/>
  <w15:docId w15:val="{AB992AC5-5A16-4A82-9AC3-6145855B3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22222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2793</Words>
  <Characters>15922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Silvere Megelas</dc:creator>
  <cp:keywords/>
  <cp:lastModifiedBy>S. M.</cp:lastModifiedBy>
  <cp:revision>2</cp:revision>
  <dcterms:created xsi:type="dcterms:W3CDTF">2026-09-28T09:48:00Z</dcterms:created>
  <dcterms:modified xsi:type="dcterms:W3CDTF">2026-09-28T09:48:00Z</dcterms:modified>
  <cp:category/>
</cp:coreProperties>
</file>