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people.xml" ContentType="application/vnd.openxmlformats-officedocument.wordprocessingml.people+xml"/>
  <Override PartName="/word/numbering.xml" ContentType="application/vnd.openxmlformats-officedocument.wordprocessingml.numbering+xml"/>
  <Override PartName="/word/commentsExtended.xml" ContentType="application/vnd.openxmlformats-officedocument.wordprocessingml.commentsExtended+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238B5F" w14:textId="77777777" w:rsidR="00633669" w:rsidRDefault="00B9288D">
      <w:bookmarkStart w:id="0" w:name="_GoBack"/>
      <w:bookmarkEnd w:id="0"/>
      <w:r>
        <w:t>Duke Energy thanks the NAESB WEQ OASIS subcommittee for the significant improvements to the preemption process that are em</w:t>
      </w:r>
      <w:r w:rsidR="00460502">
        <w:t>bodied in this recommendation, such as:</w:t>
      </w:r>
    </w:p>
    <w:p w14:paraId="08A6A6F7" w14:textId="77777777" w:rsidR="00460502" w:rsidRDefault="00460502" w:rsidP="00460502">
      <w:pPr>
        <w:pStyle w:val="ListParagraph"/>
        <w:numPr>
          <w:ilvl w:val="0"/>
          <w:numId w:val="3"/>
        </w:numPr>
      </w:pPr>
      <w:r>
        <w:t>Improved communication to</w:t>
      </w:r>
      <w:r w:rsidR="00EF6CFE">
        <w:t xml:space="preserve"> each Customer with</w:t>
      </w:r>
      <w:r>
        <w:t xml:space="preserve"> </w:t>
      </w:r>
      <w:r w:rsidR="00EF6CFE">
        <w:t>a reservation</w:t>
      </w:r>
      <w:r>
        <w:t xml:space="preserve"> that </w:t>
      </w:r>
      <w:r w:rsidR="00EF6CFE">
        <w:t>is</w:t>
      </w:r>
      <w:r>
        <w:t xml:space="preserve"> subject to preemption with</w:t>
      </w:r>
      <w:r w:rsidR="005E1B5B">
        <w:t xml:space="preserve"> the</w:t>
      </w:r>
      <w:r>
        <w:t xml:space="preserve"> right of first refusal by </w:t>
      </w:r>
      <w:r w:rsidR="00EF6CFE">
        <w:t xml:space="preserve">requiring the Transmission Provider to deliver a record </w:t>
      </w:r>
      <w:r w:rsidR="005E1B5B">
        <w:t>showing an</w:t>
      </w:r>
      <w:r>
        <w:t xml:space="preserve"> acceptable matching profile </w:t>
      </w:r>
      <w:proofErr w:type="gramStart"/>
      <w:r>
        <w:t>and also</w:t>
      </w:r>
      <w:proofErr w:type="gramEnd"/>
      <w:r>
        <w:t xml:space="preserve"> </w:t>
      </w:r>
      <w:r w:rsidR="005E1B5B">
        <w:t>showing</w:t>
      </w:r>
      <w:r>
        <w:t xml:space="preserve"> the capacity that would remain if the request is preempted.</w:t>
      </w:r>
      <w:r w:rsidR="005E1B5B">
        <w:t xml:space="preserve">  In the current business practices, the Customer is told the assignment ref of the challenging request and the Customer needs to figure out what the matching profile needs to be.</w:t>
      </w:r>
    </w:p>
    <w:p w14:paraId="7C5FFC70" w14:textId="77777777" w:rsidR="00460502" w:rsidRDefault="00460502" w:rsidP="00460502">
      <w:pPr>
        <w:pStyle w:val="ListParagraph"/>
        <w:numPr>
          <w:ilvl w:val="0"/>
          <w:numId w:val="3"/>
        </w:numPr>
      </w:pPr>
      <w:r>
        <w:t>Modifying the capacity of the challenged request</w:t>
      </w:r>
      <w:r w:rsidR="00EF6CFE">
        <w:t xml:space="preserve"> (Defender)</w:t>
      </w:r>
      <w:r>
        <w:t xml:space="preserve"> </w:t>
      </w:r>
      <w:r w:rsidR="003511A8">
        <w:t xml:space="preserve">when it </w:t>
      </w:r>
      <w:r>
        <w:t>successfully matches the</w:t>
      </w:r>
      <w:r w:rsidR="001F6304">
        <w:t xml:space="preserve"> terms of the challenging request instead of the current practice of creating a new reservation to replace the challenged request.  This change permits all encumbrances such as tags and resales to remain in effect whereas the current standards require those things to be reestablished under the new reservation.</w:t>
      </w:r>
    </w:p>
    <w:p w14:paraId="0964430F" w14:textId="77777777" w:rsidR="001F6304" w:rsidRDefault="001F6304" w:rsidP="00460502">
      <w:pPr>
        <w:pStyle w:val="ListParagraph"/>
        <w:numPr>
          <w:ilvl w:val="0"/>
          <w:numId w:val="3"/>
        </w:numPr>
      </w:pPr>
      <w:r>
        <w:t xml:space="preserve">Improved documentation </w:t>
      </w:r>
      <w:r w:rsidR="003511A8">
        <w:t>that shows</w:t>
      </w:r>
      <w:r>
        <w:t xml:space="preserve"> a list of participants in the Preemption-ROFR Process and the status of each participant throughout the process by the creation of a new template.</w:t>
      </w:r>
    </w:p>
    <w:p w14:paraId="666D5F5A" w14:textId="77777777" w:rsidR="001F6304" w:rsidRDefault="001F6304" w:rsidP="00460502">
      <w:pPr>
        <w:pStyle w:val="ListParagraph"/>
        <w:numPr>
          <w:ilvl w:val="0"/>
          <w:numId w:val="3"/>
        </w:numPr>
      </w:pPr>
      <w:r>
        <w:t>Creation of a new optional</w:t>
      </w:r>
      <w:r w:rsidR="003511A8">
        <w:t xml:space="preserve"> email</w:t>
      </w:r>
      <w:r>
        <w:t xml:space="preserve"> notification process that will notify </w:t>
      </w:r>
      <w:r w:rsidR="003511A8">
        <w:t>C</w:t>
      </w:r>
      <w:r>
        <w:t>usto</w:t>
      </w:r>
      <w:r w:rsidR="00EF6CFE">
        <w:t>mers about any Preemption-ROFR P</w:t>
      </w:r>
      <w:r>
        <w:t xml:space="preserve">rocess </w:t>
      </w:r>
      <w:r w:rsidR="00EF6CFE">
        <w:t>where</w:t>
      </w:r>
      <w:r>
        <w:t xml:space="preserve"> their reservation or request is a participant.</w:t>
      </w:r>
    </w:p>
    <w:p w14:paraId="0CEFF5C9" w14:textId="77777777" w:rsidR="001F6304" w:rsidRDefault="001F6304" w:rsidP="00460502">
      <w:pPr>
        <w:pStyle w:val="ListParagraph"/>
        <w:numPr>
          <w:ilvl w:val="0"/>
          <w:numId w:val="3"/>
        </w:numPr>
      </w:pPr>
      <w:r>
        <w:t>Establishment of clear guidance on how to address situations where not all Defenders with ROFR can be granted</w:t>
      </w:r>
      <w:r w:rsidR="005E1B5B">
        <w:t xml:space="preserve"> their matching profiles</w:t>
      </w:r>
      <w:r w:rsidR="00F25F71">
        <w:t xml:space="preserve"> and </w:t>
      </w:r>
      <w:r>
        <w:t>establishing a priority list for evaluation of ROFR responses.</w:t>
      </w:r>
    </w:p>
    <w:p w14:paraId="6CB4DDAF" w14:textId="77777777" w:rsidR="00F25F71" w:rsidRDefault="00F25F71" w:rsidP="00B9288D">
      <w:r>
        <w:t>Duke includes a marked up copy of the recommendation with numerous editorial changes</w:t>
      </w:r>
      <w:r w:rsidR="005E1B5B">
        <w:t xml:space="preserve">/fixes </w:t>
      </w:r>
      <w:proofErr w:type="gramStart"/>
      <w:r w:rsidR="005E1B5B">
        <w:t>and also</w:t>
      </w:r>
      <w:proofErr w:type="gramEnd"/>
      <w:r w:rsidR="005E1B5B">
        <w:t xml:space="preserve"> recommends the following changes</w:t>
      </w:r>
      <w:r w:rsidR="00D75D1D">
        <w:t xml:space="preserve"> which are shown in blue</w:t>
      </w:r>
      <w:r w:rsidR="005E1B5B">
        <w:t>:</w:t>
      </w:r>
    </w:p>
    <w:p w14:paraId="71A96F38" w14:textId="77777777" w:rsidR="00633669" w:rsidRDefault="00633669" w:rsidP="00633669">
      <w:pPr>
        <w:pStyle w:val="ListParagraph"/>
        <w:numPr>
          <w:ilvl w:val="0"/>
          <w:numId w:val="2"/>
        </w:numPr>
      </w:pPr>
      <w:commentRangeStart w:id="1"/>
      <w:commentRangeStart w:id="2"/>
      <w:r>
        <w:t xml:space="preserve">Recommend </w:t>
      </w:r>
      <w:commentRangeEnd w:id="1"/>
      <w:r w:rsidR="00B73AD2">
        <w:rPr>
          <w:rStyle w:val="CommentReference"/>
          <w:rFonts w:ascii="Times New Roman" w:eastAsia="Times New Roman" w:hAnsi="Times New Roman" w:cs="Times New Roman"/>
        </w:rPr>
        <w:commentReference w:id="1"/>
      </w:r>
      <w:commentRangeEnd w:id="2"/>
      <w:r w:rsidR="000A60E2">
        <w:rPr>
          <w:rStyle w:val="CommentReference"/>
          <w:rFonts w:ascii="Times New Roman" w:eastAsia="Times New Roman" w:hAnsi="Times New Roman" w:cs="Times New Roman"/>
        </w:rPr>
        <w:commentReference w:id="2"/>
      </w:r>
      <w:r>
        <w:t xml:space="preserve">resetting competing request flag for Dependents of ROFR </w:t>
      </w:r>
      <w:proofErr w:type="gramStart"/>
      <w:r w:rsidR="00F25F71">
        <w:t>D</w:t>
      </w:r>
      <w:r>
        <w:t xml:space="preserve">efenders </w:t>
      </w:r>
      <w:r w:rsidR="00F25F71">
        <w:t xml:space="preserve"> who</w:t>
      </w:r>
      <w:proofErr w:type="gramEnd"/>
      <w:r w:rsidR="00F25F71">
        <w:t xml:space="preserve"> do not attempt to match the Challenger </w:t>
      </w:r>
      <w:r>
        <w:t>when the competing request flag is reset for the corresponding Defender.  X001-xx.4.6.5.1</w:t>
      </w:r>
      <w:r w:rsidR="00B9288D">
        <w:t xml:space="preserve"> and corresponding changes in x013-6.3 PREEMPTION WITH ROFR.</w:t>
      </w:r>
    </w:p>
    <w:p w14:paraId="0C1C9FDF" w14:textId="77777777" w:rsidR="00D75D1D" w:rsidRPr="00D75D1D" w:rsidRDefault="00633669" w:rsidP="00633669">
      <w:pPr>
        <w:ind w:left="1440"/>
        <w:rPr>
          <w:rFonts w:ascii="Arial" w:hAnsi="Arial" w:cs="Arial"/>
          <w:u w:val="single"/>
        </w:rPr>
      </w:pPr>
      <w:r w:rsidRPr="00C217D6">
        <w:rPr>
          <w:rFonts w:ascii="Arial" w:hAnsi="Arial" w:cs="Arial"/>
          <w:b/>
          <w:color w:val="FF0000"/>
          <w:u w:val="single"/>
        </w:rPr>
        <w:t>x001-xx.4.6.5.1</w:t>
      </w:r>
      <w:r w:rsidRPr="00C217D6">
        <w:rPr>
          <w:rFonts w:ascii="Arial" w:hAnsi="Arial" w:cs="Arial"/>
          <w:color w:val="FF0000"/>
          <w:u w:val="single"/>
        </w:rPr>
        <w:t xml:space="preserve"> </w:t>
      </w:r>
      <w:r w:rsidRPr="00C217D6">
        <w:rPr>
          <w:rFonts w:ascii="Arial" w:hAnsi="Arial" w:cs="Arial"/>
          <w:color w:val="FF0000"/>
          <w:u w:val="single"/>
        </w:rPr>
        <w:tab/>
        <w:t>For each Defender</w:t>
      </w:r>
      <w:r>
        <w:rPr>
          <w:rFonts w:ascii="Arial" w:hAnsi="Arial" w:cs="Arial"/>
          <w:color w:val="FF0000"/>
          <w:u w:val="single"/>
        </w:rPr>
        <w:t xml:space="preserve"> with ROFR</w:t>
      </w:r>
      <w:r w:rsidRPr="00C217D6">
        <w:rPr>
          <w:rFonts w:ascii="Arial" w:hAnsi="Arial" w:cs="Arial"/>
          <w:color w:val="FF0000"/>
          <w:u w:val="single"/>
        </w:rPr>
        <w:t xml:space="preserve"> that elected not to </w:t>
      </w:r>
      <w:r>
        <w:rPr>
          <w:rFonts w:ascii="Arial" w:hAnsi="Arial" w:cs="Arial"/>
          <w:color w:val="FF0000"/>
          <w:u w:val="single"/>
        </w:rPr>
        <w:t xml:space="preserve">submit a ROFR request </w:t>
      </w:r>
      <w:r w:rsidRPr="00C217D6">
        <w:rPr>
          <w:rFonts w:ascii="Arial" w:hAnsi="Arial" w:cs="Arial"/>
          <w:color w:val="FF0000"/>
          <w:u w:val="single"/>
        </w:rPr>
        <w:t xml:space="preserve">or failed to submit a valid </w:t>
      </w:r>
      <w:r>
        <w:rPr>
          <w:rFonts w:ascii="Arial" w:hAnsi="Arial" w:cs="Arial"/>
          <w:color w:val="FF0000"/>
          <w:u w:val="single"/>
        </w:rPr>
        <w:t>ROFR request</w:t>
      </w:r>
      <w:r w:rsidRPr="00C217D6">
        <w:rPr>
          <w:rFonts w:ascii="Arial" w:hAnsi="Arial" w:cs="Arial"/>
          <w:color w:val="FF0000"/>
          <w:u w:val="single"/>
        </w:rPr>
        <w:t>, the Transmission Provider shall set the Defender reserved MW to equal the remaining profile</w:t>
      </w:r>
      <w:r>
        <w:rPr>
          <w:rFonts w:ascii="Arial" w:hAnsi="Arial" w:cs="Arial"/>
          <w:color w:val="FF0000"/>
          <w:u w:val="single"/>
        </w:rPr>
        <w:t xml:space="preserve"> as calculated by the Transmission Provider</w:t>
      </w:r>
      <w:r w:rsidRPr="00C217D6">
        <w:rPr>
          <w:rFonts w:ascii="Arial" w:hAnsi="Arial" w:cs="Arial"/>
          <w:color w:val="FF0000"/>
          <w:u w:val="single"/>
        </w:rPr>
        <w:t>.</w:t>
      </w:r>
      <w:r>
        <w:rPr>
          <w:rFonts w:ascii="Arial" w:hAnsi="Arial" w:cs="Arial"/>
          <w:color w:val="FF0000"/>
          <w:u w:val="single"/>
        </w:rPr>
        <w:t xml:space="preserve">  </w:t>
      </w:r>
      <w:r w:rsidRPr="00633669">
        <w:rPr>
          <w:rFonts w:ascii="Arial" w:hAnsi="Arial" w:cs="Arial"/>
          <w:color w:val="4F81BD" w:themeColor="accent1"/>
          <w:u w:val="single"/>
        </w:rPr>
        <w:t xml:space="preserve">The Transmission Provider shall reset the competition flag to its original setting as they </w:t>
      </w:r>
      <w:proofErr w:type="gramStart"/>
      <w:r w:rsidRPr="00633669">
        <w:rPr>
          <w:rFonts w:ascii="Arial" w:hAnsi="Arial" w:cs="Arial"/>
          <w:color w:val="4F81BD" w:themeColor="accent1"/>
          <w:u w:val="single"/>
        </w:rPr>
        <w:t>take action</w:t>
      </w:r>
      <w:proofErr w:type="gramEnd"/>
      <w:r w:rsidRPr="00633669">
        <w:rPr>
          <w:rFonts w:ascii="Arial" w:hAnsi="Arial" w:cs="Arial"/>
          <w:color w:val="4F81BD" w:themeColor="accent1"/>
          <w:u w:val="single"/>
        </w:rPr>
        <w:t xml:space="preserve"> on each such Defender. The Transmission Provider shall also reset the competition flags for all Dependents associated with each such Defender.</w:t>
      </w:r>
    </w:p>
    <w:p w14:paraId="412DF079" w14:textId="77777777" w:rsidR="00D75D1D" w:rsidRDefault="00D75D1D">
      <w:pPr>
        <w:rPr>
          <w:rFonts w:ascii="Arial" w:hAnsi="Arial" w:cs="Arial"/>
          <w:color w:val="4F81BD" w:themeColor="accent1"/>
          <w:u w:val="single"/>
        </w:rPr>
      </w:pPr>
      <w:r>
        <w:rPr>
          <w:rFonts w:ascii="Arial" w:hAnsi="Arial" w:cs="Arial"/>
          <w:color w:val="4F81BD" w:themeColor="accent1"/>
          <w:u w:val="single"/>
        </w:rPr>
        <w:br w:type="page"/>
      </w:r>
    </w:p>
    <w:p w14:paraId="1A6F3038" w14:textId="77777777" w:rsidR="00633669" w:rsidRDefault="00633669" w:rsidP="00633669">
      <w:pPr>
        <w:ind w:left="1440"/>
        <w:rPr>
          <w:rFonts w:ascii="Arial" w:hAnsi="Arial" w:cs="Arial"/>
          <w:color w:val="4F81BD" w:themeColor="accent1"/>
          <w:u w:val="single"/>
        </w:rPr>
      </w:pPr>
    </w:p>
    <w:p w14:paraId="36999B27" w14:textId="77777777" w:rsidR="00633669" w:rsidRPr="00D75D1D" w:rsidRDefault="00F25F71" w:rsidP="00D75D1D">
      <w:pPr>
        <w:pStyle w:val="ListParagraph"/>
        <w:numPr>
          <w:ilvl w:val="0"/>
          <w:numId w:val="2"/>
        </w:numPr>
        <w:rPr>
          <w:color w:val="4F81BD" w:themeColor="accent1"/>
        </w:rPr>
      </w:pPr>
      <w:commentRangeStart w:id="3"/>
      <w:commentRangeStart w:id="4"/>
      <w:r>
        <w:t>Recommend</w:t>
      </w:r>
      <w:commentRangeEnd w:id="3"/>
      <w:r w:rsidR="00B73AD2">
        <w:rPr>
          <w:rStyle w:val="CommentReference"/>
          <w:rFonts w:ascii="Times New Roman" w:eastAsia="Times New Roman" w:hAnsi="Times New Roman" w:cs="Times New Roman"/>
        </w:rPr>
        <w:commentReference w:id="3"/>
      </w:r>
      <w:commentRangeEnd w:id="4"/>
      <w:r w:rsidR="002B7038">
        <w:rPr>
          <w:rStyle w:val="CommentReference"/>
          <w:rFonts w:ascii="Times New Roman" w:eastAsia="Times New Roman" w:hAnsi="Times New Roman" w:cs="Times New Roman"/>
        </w:rPr>
        <w:commentReference w:id="4"/>
      </w:r>
      <w:r>
        <w:t xml:space="preserve"> adding</w:t>
      </w:r>
      <w:r w:rsidR="00633669" w:rsidRPr="00633669">
        <w:t xml:space="preserve"> </w:t>
      </w:r>
      <w:r w:rsidR="00633669" w:rsidRPr="00D75D1D">
        <w:rPr>
          <w:b/>
        </w:rPr>
        <w:t>x001-xx-4.7.3</w:t>
      </w:r>
      <w:r w:rsidR="00633669" w:rsidRPr="00D75D1D">
        <w:rPr>
          <w:b/>
        </w:rPr>
        <w:tab/>
        <w:t>Cleanup of Redirects on a non-firm basis</w:t>
      </w:r>
      <w:r w:rsidR="00633669" w:rsidRPr="00633669">
        <w:t xml:space="preserve"> in the Conclusion of the Preemption-ROFR Process.</w:t>
      </w:r>
    </w:p>
    <w:p w14:paraId="3DE1F398" w14:textId="77777777" w:rsidR="00633669" w:rsidRPr="00633669" w:rsidRDefault="00633669" w:rsidP="00633669">
      <w:pPr>
        <w:ind w:left="1440"/>
        <w:rPr>
          <w:rFonts w:ascii="Arial" w:hAnsi="Arial" w:cs="Arial"/>
          <w:color w:val="4F81BD" w:themeColor="accent1"/>
          <w:u w:val="single"/>
        </w:rPr>
      </w:pPr>
      <w:r w:rsidRPr="00633669">
        <w:rPr>
          <w:rFonts w:ascii="Arial" w:hAnsi="Arial" w:cs="Arial"/>
          <w:b/>
          <w:color w:val="4F81BD" w:themeColor="accent1"/>
          <w:u w:val="single"/>
        </w:rPr>
        <w:t>x001-xx-4.7.3</w:t>
      </w:r>
      <w:r w:rsidRPr="00633669">
        <w:rPr>
          <w:rFonts w:ascii="Arial" w:hAnsi="Arial" w:cs="Arial"/>
          <w:b/>
          <w:color w:val="4F81BD" w:themeColor="accent1"/>
          <w:u w:val="single"/>
        </w:rPr>
        <w:tab/>
      </w:r>
      <w:r w:rsidRPr="00633669">
        <w:rPr>
          <w:rFonts w:ascii="Arial" w:hAnsi="Arial" w:cs="Arial"/>
          <w:color w:val="4F81BD" w:themeColor="accent1"/>
          <w:u w:val="single"/>
        </w:rPr>
        <w:t>Cleanup of Redirects on a non-firm basis</w:t>
      </w:r>
    </w:p>
    <w:p w14:paraId="204AF28D" w14:textId="77777777" w:rsidR="00633669" w:rsidRPr="00633669" w:rsidRDefault="00633669" w:rsidP="00633669">
      <w:pPr>
        <w:ind w:left="1440"/>
        <w:rPr>
          <w:rFonts w:ascii="Arial" w:hAnsi="Arial" w:cs="Arial"/>
          <w:b/>
          <w:color w:val="4F81BD" w:themeColor="accent1"/>
          <w:u w:val="single"/>
        </w:rPr>
      </w:pPr>
    </w:p>
    <w:p w14:paraId="7647C703" w14:textId="77777777" w:rsidR="00633669" w:rsidRPr="00633669" w:rsidRDefault="00633669" w:rsidP="00633669">
      <w:pPr>
        <w:ind w:left="1440"/>
        <w:rPr>
          <w:rFonts w:ascii="Arial" w:hAnsi="Arial" w:cs="Arial"/>
          <w:color w:val="FF0000"/>
          <w:u w:val="single"/>
        </w:rPr>
      </w:pPr>
      <w:r w:rsidRPr="00633669">
        <w:rPr>
          <w:rFonts w:ascii="Arial" w:hAnsi="Arial" w:cs="Arial"/>
          <w:b/>
          <w:color w:val="4F81BD" w:themeColor="accent1"/>
          <w:u w:val="single"/>
        </w:rPr>
        <w:t>x001-xx.4.7.3.1</w:t>
      </w:r>
      <w:r w:rsidRPr="00633669">
        <w:rPr>
          <w:rFonts w:ascii="Arial" w:hAnsi="Arial" w:cs="Arial"/>
          <w:b/>
          <w:color w:val="4F81BD" w:themeColor="accent1"/>
          <w:u w:val="single"/>
        </w:rPr>
        <w:tab/>
      </w:r>
      <w:r w:rsidRPr="00633669">
        <w:rPr>
          <w:rFonts w:ascii="Arial" w:hAnsi="Arial" w:cs="Arial"/>
          <w:color w:val="4F81BD" w:themeColor="accent1"/>
          <w:u w:val="single"/>
        </w:rPr>
        <w:t>Each preempted Transmission Customer that has redirected a Defender on a non-firm basis shall be responsible for relinquishing capacity for those Redirect reservations where there is no longer reserved capacity held to support those Redirects</w:t>
      </w:r>
      <w:r w:rsidRPr="00633669">
        <w:rPr>
          <w:rFonts w:ascii="Arial" w:hAnsi="Arial" w:cs="Arial"/>
          <w:color w:val="FF0000"/>
          <w:u w:val="single"/>
        </w:rPr>
        <w:t xml:space="preserve">. </w:t>
      </w:r>
    </w:p>
    <w:p w14:paraId="3AAABC58" w14:textId="77777777" w:rsidR="00633669" w:rsidRDefault="00633669" w:rsidP="00633669">
      <w:pPr>
        <w:pStyle w:val="ListParagraph"/>
        <w:numPr>
          <w:ilvl w:val="0"/>
          <w:numId w:val="2"/>
        </w:numPr>
      </w:pPr>
      <w:commentRangeStart w:id="5"/>
      <w:commentRangeStart w:id="6"/>
      <w:r w:rsidRPr="00633669">
        <w:t>Recommend</w:t>
      </w:r>
      <w:r>
        <w:t xml:space="preserve"> </w:t>
      </w:r>
      <w:commentRangeEnd w:id="5"/>
      <w:r w:rsidR="00B73AD2">
        <w:rPr>
          <w:rStyle w:val="CommentReference"/>
          <w:rFonts w:ascii="Times New Roman" w:eastAsia="Times New Roman" w:hAnsi="Times New Roman" w:cs="Times New Roman"/>
        </w:rPr>
        <w:commentReference w:id="5"/>
      </w:r>
      <w:commentRangeEnd w:id="6"/>
      <w:r w:rsidR="00E940E3">
        <w:rPr>
          <w:rStyle w:val="CommentReference"/>
          <w:rFonts w:ascii="Times New Roman" w:eastAsia="Times New Roman" w:hAnsi="Times New Roman" w:cs="Times New Roman"/>
        </w:rPr>
        <w:commentReference w:id="6"/>
      </w:r>
      <w:r>
        <w:t>changing the Transmission Provider Evaluation Time Limit from 2 to 30 days for Secondary Network Tran</w:t>
      </w:r>
      <w:r w:rsidR="00B9288D">
        <w:t xml:space="preserve">smission Service with a request interval of “year” in Table 105-A since these requests fall outside of the normal ATC calculation window and will need to be addressed in other study methods.  The recommendation of </w:t>
      </w:r>
      <w:r w:rsidR="00460502">
        <w:t>30 days is consistent with the time allotted for DNR requests with a request interval of “year”.</w:t>
      </w:r>
    </w:p>
    <w:p w14:paraId="4308585B" w14:textId="77777777" w:rsidR="00F25F71" w:rsidRDefault="00F25F71" w:rsidP="00F25F71"/>
    <w:p w14:paraId="3232737A" w14:textId="77777777" w:rsidR="00F25F71" w:rsidRPr="00633669" w:rsidRDefault="00F25F71" w:rsidP="00F25F71"/>
    <w:sectPr w:rsidR="00F25F71" w:rsidRPr="00633669">
      <w:headerReference w:type="default" r:id="rId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Wood, James T." w:date="2017-08-08T16:12:00Z" w:initials="WJT">
    <w:p w14:paraId="41794AFD" w14:textId="77777777" w:rsidR="00B73AD2" w:rsidRDefault="00B73AD2">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DUKE Comments and Redlines: 44</w:t>
      </w:r>
    </w:p>
  </w:comment>
  <w:comment w:id="2" w:author="Wood, James T." w:date="2017-09-08T14:10:00Z" w:initials="WJT">
    <w:p w14:paraId="4126F273" w14:textId="1AEE4630" w:rsidR="000A60E2" w:rsidRDefault="000A60E2">
      <w:pPr>
        <w:pStyle w:val="CommentText"/>
      </w:pPr>
      <w:r>
        <w:rPr>
          <w:rStyle w:val="CommentReference"/>
        </w:rPr>
        <w:annotationRef/>
      </w:r>
      <w:r w:rsidR="00686D1B">
        <w:t>08/16/17-08/17/17</w:t>
      </w:r>
      <w:r>
        <w:t xml:space="preserve"> Subcommittee disposition:</w:t>
      </w:r>
      <w:r w:rsidRPr="007E1EB6">
        <w:t xml:space="preserve"> </w:t>
      </w:r>
      <w:r>
        <w:t>accepted</w:t>
      </w:r>
    </w:p>
  </w:comment>
  <w:comment w:id="3" w:author="Wood, James T." w:date="2017-08-08T16:13:00Z" w:initials="WJT">
    <w:p w14:paraId="653EABD1" w14:textId="77777777" w:rsidR="00B73AD2" w:rsidRDefault="00B73AD2">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DUKE Comments and Redlines: 48</w:t>
      </w:r>
    </w:p>
  </w:comment>
  <w:comment w:id="4" w:author="Wood, James T." w:date="2017-09-08T15:39:00Z" w:initials="WJT">
    <w:p w14:paraId="6184C66B" w14:textId="322C3CD5" w:rsidR="002B7038" w:rsidRDefault="002B7038" w:rsidP="002B7038">
      <w:pPr>
        <w:pStyle w:val="CommentText"/>
      </w:pPr>
      <w:r>
        <w:rPr>
          <w:rStyle w:val="CommentReference"/>
        </w:rPr>
        <w:annotationRef/>
      </w:r>
      <w:r w:rsidR="00686D1B">
        <w:t>08/16/17-08/17/17</w:t>
      </w:r>
      <w:r>
        <w:t xml:space="preserve"> Subcommittee disposition:</w:t>
      </w:r>
    </w:p>
    <w:p w14:paraId="3A8FFEBD" w14:textId="3DBCF234" w:rsidR="002B7038" w:rsidRDefault="002B7038" w:rsidP="002B7038">
      <w:pPr>
        <w:pStyle w:val="CommentText"/>
      </w:pPr>
      <w:r>
        <w:t>accepted with added words “on the Parent Reservation”</w:t>
      </w:r>
    </w:p>
  </w:comment>
  <w:comment w:id="5" w:author="Wood, James T." w:date="2017-08-08T16:14:00Z" w:initials="WJT">
    <w:p w14:paraId="30525DF3" w14:textId="77777777" w:rsidR="00B73AD2" w:rsidRDefault="00B73AD2">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DUKE Comments and Redlines: 49</w:t>
      </w:r>
    </w:p>
  </w:comment>
  <w:comment w:id="6" w:author="Wood, James T." w:date="2017-10-04T09:33:00Z" w:initials="WJT">
    <w:p w14:paraId="2535AA96" w14:textId="77777777" w:rsidR="00E940E3" w:rsidRDefault="00E940E3" w:rsidP="00E940E3">
      <w:pPr>
        <w:pStyle w:val="CommentText"/>
      </w:pPr>
      <w:r>
        <w:rPr>
          <w:rStyle w:val="CommentReference"/>
        </w:rPr>
        <w:annotationRef/>
      </w:r>
      <w:r>
        <w:rPr>
          <w:rStyle w:val="CommentReference"/>
        </w:rPr>
        <w:annotationRef/>
      </w:r>
      <w:r>
        <w:rPr>
          <w:rStyle w:val="CommentReference"/>
        </w:rPr>
        <w:annotationRef/>
      </w:r>
      <w:r>
        <w:t>09/26/17-09/28/17 Subcommittee disposition: accepted</w:t>
      </w:r>
    </w:p>
    <w:p w14:paraId="0F006A07" w14:textId="1DF0428C" w:rsidR="00E940E3" w:rsidRDefault="00E940E3">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1794AFD" w15:done="0"/>
  <w15:commentEx w15:paraId="4126F273" w15:paraIdParent="41794AFD" w15:done="0"/>
  <w15:commentEx w15:paraId="653EABD1" w15:done="0"/>
  <w15:commentEx w15:paraId="3A8FFEBD" w15:paraIdParent="653EABD1" w15:done="0"/>
  <w15:commentEx w15:paraId="30525DF3" w15:done="0"/>
  <w15:commentEx w15:paraId="0F006A07" w15:paraIdParent="30525DF3"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FBD13" w14:textId="77777777" w:rsidR="00EF6CFE" w:rsidRDefault="00EF6CFE" w:rsidP="00EF6CFE">
      <w:pPr>
        <w:spacing w:after="0" w:line="240" w:lineRule="auto"/>
      </w:pPr>
      <w:r>
        <w:separator/>
      </w:r>
    </w:p>
  </w:endnote>
  <w:endnote w:type="continuationSeparator" w:id="0">
    <w:p w14:paraId="3477C9B7" w14:textId="77777777" w:rsidR="00EF6CFE" w:rsidRDefault="00EF6CFE" w:rsidP="00EF6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9D8C6" w14:textId="77777777" w:rsidR="00EF6CFE" w:rsidRDefault="00EF6CFE" w:rsidP="00EF6CFE">
      <w:pPr>
        <w:spacing w:after="0" w:line="240" w:lineRule="auto"/>
      </w:pPr>
      <w:r>
        <w:separator/>
      </w:r>
    </w:p>
  </w:footnote>
  <w:footnote w:type="continuationSeparator" w:id="0">
    <w:p w14:paraId="6AEF932D" w14:textId="77777777" w:rsidR="00EF6CFE" w:rsidRDefault="00EF6CFE" w:rsidP="00EF6C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6B18A" w14:textId="77777777" w:rsidR="00EF6CFE" w:rsidRDefault="00EF6CFE" w:rsidP="00EF6CFE">
    <w:pPr>
      <w:pStyle w:val="Header"/>
      <w:jc w:val="center"/>
      <w:rPr>
        <w:rFonts w:ascii="Arial" w:hAnsi="Arial" w:cs="Arial"/>
        <w:color w:val="000000"/>
        <w:sz w:val="16"/>
        <w:szCs w:val="16"/>
      </w:rPr>
    </w:pPr>
    <w:r>
      <w:rPr>
        <w:rFonts w:ascii="Arial" w:hAnsi="Arial" w:cs="Arial"/>
        <w:color w:val="000000"/>
        <w:sz w:val="16"/>
        <w:szCs w:val="16"/>
      </w:rPr>
      <w:t>Recommendation to Support WEQ 2017 Annual Plan Items 2.a.i.1/R05019 and 5.a/R09003</w:t>
    </w:r>
  </w:p>
  <w:p w14:paraId="74E5C4C9" w14:textId="77777777" w:rsidR="00EF6CFE" w:rsidRDefault="00EF6CFE" w:rsidP="00EF6CFE">
    <w:pPr>
      <w:pStyle w:val="Header"/>
      <w:jc w:val="center"/>
    </w:pPr>
    <w:r>
      <w:rPr>
        <w:rFonts w:ascii="Arial" w:hAnsi="Arial" w:cs="Arial"/>
        <w:b/>
        <w:color w:val="000000"/>
        <w:sz w:val="16"/>
        <w:szCs w:val="16"/>
      </w:rPr>
      <w:t>Comments Submitted by Alan Pritchard, Duke Energy</w:t>
    </w:r>
  </w:p>
  <w:p w14:paraId="2DBB4211" w14:textId="77777777" w:rsidR="00EF6CFE" w:rsidRDefault="00EF6C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776C53"/>
    <w:multiLevelType w:val="hybridMultilevel"/>
    <w:tmpl w:val="FE409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A82A5D"/>
    <w:multiLevelType w:val="hybridMultilevel"/>
    <w:tmpl w:val="F39E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126272"/>
    <w:multiLevelType w:val="hybridMultilevel"/>
    <w:tmpl w:val="21EEF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ood, James T.">
    <w15:presenceInfo w15:providerId="AD" w15:userId="S-1-5-21-126249482-871834763-32515855-67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669"/>
    <w:rsid w:val="00010BD9"/>
    <w:rsid w:val="000A60E2"/>
    <w:rsid w:val="001F6304"/>
    <w:rsid w:val="002B7038"/>
    <w:rsid w:val="003511A8"/>
    <w:rsid w:val="00460502"/>
    <w:rsid w:val="0050198F"/>
    <w:rsid w:val="005E1B5B"/>
    <w:rsid w:val="00633669"/>
    <w:rsid w:val="00686D1B"/>
    <w:rsid w:val="008E33CD"/>
    <w:rsid w:val="00B73AD2"/>
    <w:rsid w:val="00B9288D"/>
    <w:rsid w:val="00D75D1D"/>
    <w:rsid w:val="00E940E3"/>
    <w:rsid w:val="00EF6CFE"/>
    <w:rsid w:val="00F25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72823"/>
  <w15:docId w15:val="{FD802616-18A3-4615-973A-0E2413259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669"/>
    <w:pPr>
      <w:ind w:left="720"/>
      <w:contextualSpacing/>
    </w:pPr>
  </w:style>
  <w:style w:type="paragraph" w:styleId="CommentText">
    <w:name w:val="annotation text"/>
    <w:basedOn w:val="Normal"/>
    <w:link w:val="CommentTextChar"/>
    <w:rsid w:val="0063366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633669"/>
    <w:rPr>
      <w:rFonts w:ascii="Times New Roman" w:eastAsia="Times New Roman" w:hAnsi="Times New Roman" w:cs="Times New Roman"/>
      <w:sz w:val="20"/>
      <w:szCs w:val="20"/>
    </w:rPr>
  </w:style>
  <w:style w:type="character" w:styleId="CommentReference">
    <w:name w:val="annotation reference"/>
    <w:rsid w:val="00633669"/>
    <w:rPr>
      <w:sz w:val="16"/>
      <w:szCs w:val="16"/>
    </w:rPr>
  </w:style>
  <w:style w:type="paragraph" w:styleId="BalloonText">
    <w:name w:val="Balloon Text"/>
    <w:basedOn w:val="Normal"/>
    <w:link w:val="BalloonTextChar"/>
    <w:uiPriority w:val="99"/>
    <w:semiHidden/>
    <w:unhideWhenUsed/>
    <w:rsid w:val="006336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669"/>
    <w:rPr>
      <w:rFonts w:ascii="Tahoma" w:hAnsi="Tahoma" w:cs="Tahoma"/>
      <w:sz w:val="16"/>
      <w:szCs w:val="16"/>
    </w:rPr>
  </w:style>
  <w:style w:type="paragraph" w:styleId="Header">
    <w:name w:val="header"/>
    <w:basedOn w:val="Normal"/>
    <w:link w:val="HeaderChar"/>
    <w:uiPriority w:val="99"/>
    <w:unhideWhenUsed/>
    <w:rsid w:val="00EF6C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CFE"/>
  </w:style>
  <w:style w:type="paragraph" w:styleId="Footer">
    <w:name w:val="footer"/>
    <w:basedOn w:val="Normal"/>
    <w:link w:val="FooterChar"/>
    <w:uiPriority w:val="99"/>
    <w:unhideWhenUsed/>
    <w:rsid w:val="00EF6C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CFE"/>
  </w:style>
  <w:style w:type="paragraph" w:styleId="CommentSubject">
    <w:name w:val="annotation subject"/>
    <w:basedOn w:val="CommentText"/>
    <w:next w:val="CommentText"/>
    <w:link w:val="CommentSubjectChar"/>
    <w:uiPriority w:val="99"/>
    <w:semiHidden/>
    <w:unhideWhenUsed/>
    <w:rsid w:val="00B73AD2"/>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73AD2"/>
    <w:rPr>
      <w:rFonts w:ascii="Times New Roman" w:eastAsia="Times New Roman" w:hAnsi="Times New Roman" w:cs="Times New Roman"/>
      <w:b/>
      <w:bCs/>
      <w:sz w:val="20"/>
      <w:szCs w:val="20"/>
    </w:rPr>
  </w:style>
  <w:style w:type="paragraph" w:customStyle="1" w:styleId="QuickA">
    <w:name w:val="Quick A."/>
    <w:basedOn w:val="Normal"/>
    <w:rsid w:val="002B7038"/>
    <w:pPr>
      <w:spacing w:after="0" w:line="240" w:lineRule="auto"/>
      <w:ind w:left="720" w:hanging="720"/>
    </w:pPr>
    <w:rPr>
      <w:rFonts w:ascii="Arial" w:eastAsia="Times New Roman" w:hAnsi="Arial"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37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Duke Energy</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Pritchard, Alan C</dc:creator>
  <cp:lastModifiedBy>Wood, James T.</cp:lastModifiedBy>
  <cp:revision>2</cp:revision>
  <dcterms:created xsi:type="dcterms:W3CDTF">2017-10-05T16:11:00Z</dcterms:created>
  <dcterms:modified xsi:type="dcterms:W3CDTF">2017-10-05T16:11:00Z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324627584</vt:i4>
  </property>
  <property fmtid="{D5CDD505-2E9C-101B-9397-08002B2CF9AE}" pid="3" name="_NewReviewCycle">
    <vt:lpwstr/>
  </property>
  <property fmtid="{D5CDD505-2E9C-101B-9397-08002B2CF9AE}" pid="4" name="_EmailSubject">
    <vt:lpwstr>OASIS Subcommittee Clean Files</vt:lpwstr>
  </property>
  <property fmtid="{D5CDD505-2E9C-101B-9397-08002B2CF9AE}" pid="5" name="_AuthorEmail">
    <vt:lpwstr>JTWOOD@southernco.com</vt:lpwstr>
  </property>
  <property fmtid="{D5CDD505-2E9C-101B-9397-08002B2CF9AE}" pid="6" name="_AuthorEmailDisplayName">
    <vt:lpwstr>Wood, James T.</vt:lpwstr>
  </property>
</Properties>
</file>