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November 26, 2012</w:t>
      </w:r>
    </w:p>
    <w:p>
      <w:pPr>
        <w:tabs>
          <w:tab w:val="left" w:pos="900"/>
        </w:tabs>
        <w:spacing w:after="120"/>
        <w:ind w:left="907" w:hanging="907"/>
      </w:pPr>
      <w:r>
        <w:rPr>
          <w:b/>
        </w:rPr>
        <w:t>TO:</w:t>
      </w:r>
      <w:r>
        <w:tab/>
        <w:t>All Interested Parties</w:t>
      </w:r>
    </w:p>
    <w:p>
      <w:pPr>
        <w:tabs>
          <w:tab w:val="left" w:pos="900"/>
        </w:tabs>
        <w:ind w:left="907" w:hanging="907"/>
        <w:jc w:val="both"/>
        <w:rPr>
          <w:bCs/>
        </w:rPr>
      </w:pPr>
      <w:r>
        <w:rPr>
          <w:b/>
          <w:bCs/>
        </w:rPr>
        <w:t>FROM:</w:t>
      </w:r>
      <w:r>
        <w:rPr>
          <w:b/>
          <w:bCs/>
        </w:rPr>
        <w:tab/>
      </w:r>
      <w:r>
        <w:rPr>
          <w:b/>
          <w:bCs/>
        </w:rPr>
        <w:tab/>
      </w:r>
      <w:r>
        <w:rPr>
          <w:bCs/>
        </w:rPr>
        <w:t>Jonathan Booe, NAESB Deputy Director</w:t>
      </w:r>
    </w:p>
    <w:p>
      <w:pPr>
        <w:pBdr>
          <w:bottom w:val="single" w:sz="12" w:space="1" w:color="auto"/>
        </w:pBdr>
        <w:tabs>
          <w:tab w:val="left" w:pos="900"/>
        </w:tabs>
        <w:spacing w:before="120"/>
        <w:ind w:left="900" w:hanging="900"/>
        <w:jc w:val="both"/>
        <w:rPr>
          <w:bCs/>
        </w:rPr>
      </w:pPr>
      <w:r>
        <w:rPr>
          <w:b/>
          <w:bCs/>
        </w:rPr>
        <w:t>RE:</w:t>
      </w:r>
      <w:r>
        <w:rPr>
          <w:b/>
          <w:bCs/>
        </w:rPr>
        <w:tab/>
        <w:t>Electric Industry Registry Update</w:t>
      </w:r>
    </w:p>
    <w:p>
      <w:pPr>
        <w:jc w:val="center"/>
        <w:rPr>
          <w:b/>
        </w:rPr>
      </w:pPr>
    </w:p>
    <w:p>
      <w:pPr>
        <w:spacing w:before="120"/>
        <w:rPr>
          <w:b/>
          <w:bCs/>
        </w:rPr>
      </w:pPr>
      <w:r>
        <w:rPr>
          <w:b/>
        </w:rPr>
        <w:t>Update on the Electric Industry Registry Efforts –</w:t>
      </w:r>
    </w:p>
    <w:p>
      <w:pPr>
        <w:spacing w:before="120"/>
      </w:pPr>
      <w:r>
        <w:rPr>
          <w:bCs/>
        </w:rPr>
        <w:t xml:space="preserve">As scheduled and announced by the NAESB, NERC and OATI, </w:t>
      </w:r>
      <w:r>
        <w:t xml:space="preserve">the Electric Industry Registry (EIR), also known as OATI’s </w:t>
      </w:r>
      <w:proofErr w:type="spellStart"/>
      <w:r>
        <w:t>webRegistry</w:t>
      </w:r>
      <w:proofErr w:type="spellEnd"/>
      <w:r>
        <w:t xml:space="preserve">, was put into production and published on November 13, 2012 at 12:00 am Central.  At that time the EIR became the official industry registry and registry publication and its predecessor, the NERC TSIN Registry, was decommissioned.  This decision was made by NAESB and NERC at the conclusion of the cutover test which took place from November 6, 2012 through November 12, 2012.  During this time, no changes were allowed in either the NERC TSIN or the </w:t>
      </w:r>
      <w:proofErr w:type="spellStart"/>
      <w:r>
        <w:t>webRegistry</w:t>
      </w:r>
      <w:proofErr w:type="spellEnd"/>
      <w:r>
        <w:t xml:space="preserve"> system except as requested and manually entered by OATI as authorized by NAESB.  The decision to execute the cutover was based upon the following information provided by OATI representing the state of the EIR just before the cutover:</w:t>
      </w:r>
    </w:p>
    <w:p/>
    <w:p>
      <w:pPr>
        <w:rPr>
          <w:u w:val="single"/>
        </w:rPr>
      </w:pPr>
      <w:r>
        <w:rPr>
          <w:u w:val="single"/>
        </w:rPr>
        <w:t>Entity Registration</w:t>
      </w:r>
    </w:p>
    <w:p>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Registered entity roles = 1192</w:t>
      </w:r>
    </w:p>
    <w:p>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Entities registered in TSIN with an active tag but not registered in EIR = 24</w:t>
      </w:r>
    </w:p>
    <w:p>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The unregistered entities can be found through the following hyperlink:</w:t>
      </w:r>
      <w:r>
        <w:rPr>
          <w:color w:val="1F497D"/>
        </w:rPr>
        <w:t xml:space="preserve"> </w:t>
      </w:r>
      <w:hyperlink r:id="rId8" w:history="1">
        <w:r>
          <w:rPr>
            <w:rStyle w:val="Hyperlink"/>
            <w:rFonts w:ascii="Times New Roman" w:hAnsi="Times New Roman"/>
            <w:sz w:val="20"/>
            <w:szCs w:val="20"/>
          </w:rPr>
          <w:t>http://www.naesb.org/misc/unregistered_entities.csv</w:t>
        </w:r>
      </w:hyperlink>
    </w:p>
    <w:p>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 xml:space="preserve">A description of the contact efforts of OATI to reach the entities and their results can be found through the following hyperlinks: </w:t>
      </w:r>
    </w:p>
    <w:p>
      <w:pPr>
        <w:pStyle w:val="ListParagraph"/>
        <w:numPr>
          <w:ilvl w:val="2"/>
          <w:numId w:val="12"/>
        </w:numPr>
        <w:rPr>
          <w:rFonts w:ascii="Times New Roman" w:hAnsi="Times New Roman" w:cs="Times New Roman"/>
          <w:sz w:val="20"/>
          <w:szCs w:val="20"/>
        </w:rPr>
      </w:pPr>
      <w:r>
        <w:rPr>
          <w:rFonts w:ascii="Times New Roman" w:hAnsi="Times New Roman" w:cs="Times New Roman"/>
          <w:sz w:val="20"/>
          <w:szCs w:val="20"/>
        </w:rPr>
        <w:t xml:space="preserve">Contact efforts: </w:t>
      </w:r>
      <w:hyperlink r:id="rId9" w:history="1">
        <w:r>
          <w:rPr>
            <w:rStyle w:val="Hyperlink"/>
            <w:rFonts w:ascii="Times New Roman" w:hAnsi="Times New Roman"/>
            <w:sz w:val="20"/>
            <w:szCs w:val="20"/>
          </w:rPr>
          <w:t>http://www.naesb.org/pdf4/description_oati_outreach_efforts.pdf</w:t>
        </w:r>
      </w:hyperlink>
      <w:r>
        <w:rPr>
          <w:rFonts w:ascii="Times New Roman" w:hAnsi="Times New Roman" w:cs="Times New Roman"/>
          <w:sz w:val="20"/>
          <w:szCs w:val="20"/>
        </w:rPr>
        <w:t xml:space="preserve"> </w:t>
      </w:r>
    </w:p>
    <w:p>
      <w:pPr>
        <w:pStyle w:val="ListParagraph"/>
        <w:numPr>
          <w:ilvl w:val="2"/>
          <w:numId w:val="12"/>
        </w:numPr>
        <w:rPr>
          <w:rFonts w:ascii="Times New Roman" w:hAnsi="Times New Roman" w:cs="Times New Roman"/>
          <w:sz w:val="20"/>
          <w:szCs w:val="20"/>
        </w:rPr>
      </w:pPr>
      <w:r>
        <w:rPr>
          <w:rFonts w:ascii="Times New Roman" w:hAnsi="Times New Roman" w:cs="Times New Roman"/>
          <w:sz w:val="20"/>
          <w:szCs w:val="20"/>
        </w:rPr>
        <w:t xml:space="preserve">Results: </w:t>
      </w:r>
      <w:hyperlink r:id="rId10" w:history="1">
        <w:r>
          <w:rPr>
            <w:rStyle w:val="Hyperlink"/>
            <w:rFonts w:ascii="Times New Roman" w:hAnsi="Times New Roman"/>
            <w:sz w:val="20"/>
            <w:szCs w:val="20"/>
          </w:rPr>
          <w:t>http://www.naesb.org/pdf4/results_oati_outreach_efforts.xlsb</w:t>
        </w:r>
      </w:hyperlink>
      <w:r>
        <w:rPr>
          <w:rFonts w:ascii="Times New Roman" w:hAnsi="Times New Roman" w:cs="Times New Roman"/>
          <w:sz w:val="20"/>
          <w:szCs w:val="20"/>
        </w:rPr>
        <w:t xml:space="preserve"> </w:t>
      </w:r>
    </w:p>
    <w:p/>
    <w:p>
      <w:pPr>
        <w:rPr>
          <w:u w:val="single"/>
        </w:rPr>
      </w:pPr>
      <w:r>
        <w:rPr>
          <w:u w:val="single"/>
        </w:rPr>
        <w:t>POR/POD Points</w:t>
      </w:r>
    </w:p>
    <w:p>
      <w:pPr>
        <w:pStyle w:val="ListParagraph"/>
        <w:numPr>
          <w:ilvl w:val="0"/>
          <w:numId w:val="13"/>
        </w:numPr>
        <w:rPr>
          <w:rFonts w:ascii="Times New Roman" w:hAnsi="Times New Roman" w:cs="Times New Roman"/>
          <w:sz w:val="20"/>
          <w:szCs w:val="20"/>
          <w:u w:val="single"/>
        </w:rPr>
      </w:pPr>
      <w:r>
        <w:rPr>
          <w:rFonts w:ascii="Times New Roman" w:hAnsi="Times New Roman" w:cs="Times New Roman"/>
          <w:sz w:val="20"/>
          <w:szCs w:val="20"/>
        </w:rPr>
        <w:t>Registered POR/POD points = 2286</w:t>
      </w:r>
    </w:p>
    <w:p>
      <w:pPr>
        <w:pStyle w:val="ListParagraph"/>
        <w:numPr>
          <w:ilvl w:val="0"/>
          <w:numId w:val="13"/>
        </w:numPr>
        <w:rPr>
          <w:rFonts w:ascii="Times New Roman" w:hAnsi="Times New Roman" w:cs="Times New Roman"/>
          <w:sz w:val="20"/>
          <w:szCs w:val="20"/>
          <w:u w:val="single"/>
        </w:rPr>
      </w:pPr>
      <w:r>
        <w:rPr>
          <w:rFonts w:ascii="Times New Roman" w:hAnsi="Times New Roman" w:cs="Times New Roman"/>
          <w:sz w:val="20"/>
          <w:szCs w:val="20"/>
        </w:rPr>
        <w:t>POR/POD points registered in TSIN with an active tag but not registered in the EIR = 52</w:t>
      </w:r>
    </w:p>
    <w:p>
      <w:pPr>
        <w:pStyle w:val="ListParagraph"/>
        <w:numPr>
          <w:ilvl w:val="1"/>
          <w:numId w:val="13"/>
        </w:numPr>
        <w:rPr>
          <w:rFonts w:ascii="Times New Roman" w:hAnsi="Times New Roman" w:cs="Times New Roman"/>
          <w:sz w:val="20"/>
          <w:szCs w:val="20"/>
          <w:u w:val="single"/>
        </w:rPr>
      </w:pPr>
      <w:r>
        <w:rPr>
          <w:rFonts w:ascii="Times New Roman" w:hAnsi="Times New Roman" w:cs="Times New Roman"/>
          <w:sz w:val="20"/>
          <w:szCs w:val="20"/>
        </w:rPr>
        <w:t xml:space="preserve">The unregistered points can be found through the following hyperlink: </w:t>
      </w:r>
      <w:hyperlink r:id="rId11" w:history="1">
        <w:r>
          <w:rPr>
            <w:rStyle w:val="Hyperlink"/>
            <w:rFonts w:ascii="Times New Roman" w:hAnsi="Times New Roman"/>
            <w:sz w:val="20"/>
            <w:szCs w:val="20"/>
          </w:rPr>
          <w:t>http://www.naesb.org/misc/unregistered_por_pod_points.csv</w:t>
        </w:r>
      </w:hyperlink>
    </w:p>
    <w:p>
      <w:pPr>
        <w:rPr>
          <w:u w:val="single"/>
        </w:rPr>
      </w:pPr>
    </w:p>
    <w:p>
      <w:r>
        <w:rPr>
          <w:u w:val="single"/>
        </w:rPr>
        <w:t>Source/Sink Points</w:t>
      </w:r>
    </w:p>
    <w:p>
      <w:pPr>
        <w:pStyle w:val="ListParagraph"/>
        <w:numPr>
          <w:ilvl w:val="0"/>
          <w:numId w:val="13"/>
        </w:numPr>
        <w:rPr>
          <w:rFonts w:ascii="Times New Roman" w:hAnsi="Times New Roman" w:cs="Times New Roman"/>
          <w:sz w:val="20"/>
          <w:szCs w:val="20"/>
          <w:u w:val="single"/>
        </w:rPr>
      </w:pPr>
      <w:r>
        <w:rPr>
          <w:rFonts w:ascii="Times New Roman" w:hAnsi="Times New Roman" w:cs="Times New Roman"/>
          <w:sz w:val="20"/>
          <w:szCs w:val="20"/>
        </w:rPr>
        <w:t>Registered Source/Sink points = 5835</w:t>
      </w:r>
    </w:p>
    <w:p>
      <w:pPr>
        <w:pStyle w:val="ListParagraph"/>
        <w:numPr>
          <w:ilvl w:val="0"/>
          <w:numId w:val="13"/>
        </w:numPr>
        <w:rPr>
          <w:rFonts w:ascii="Times New Roman" w:hAnsi="Times New Roman" w:cs="Times New Roman"/>
          <w:sz w:val="20"/>
          <w:szCs w:val="20"/>
          <w:u w:val="single"/>
        </w:rPr>
      </w:pPr>
      <w:r>
        <w:rPr>
          <w:rFonts w:ascii="Times New Roman" w:hAnsi="Times New Roman" w:cs="Times New Roman"/>
          <w:sz w:val="20"/>
          <w:szCs w:val="20"/>
        </w:rPr>
        <w:t>Source/Sink points registered in TSIN with an active tag but not registered in the EIR = 96</w:t>
      </w:r>
    </w:p>
    <w:p>
      <w:pPr>
        <w:pStyle w:val="ListParagraph"/>
        <w:numPr>
          <w:ilvl w:val="1"/>
          <w:numId w:val="13"/>
        </w:numPr>
        <w:rPr>
          <w:rFonts w:ascii="Times New Roman" w:hAnsi="Times New Roman" w:cs="Times New Roman"/>
          <w:sz w:val="20"/>
          <w:szCs w:val="20"/>
          <w:u w:val="single"/>
        </w:rPr>
      </w:pPr>
      <w:r>
        <w:rPr>
          <w:rFonts w:ascii="Times New Roman" w:hAnsi="Times New Roman" w:cs="Times New Roman"/>
          <w:sz w:val="20"/>
          <w:szCs w:val="20"/>
        </w:rPr>
        <w:t xml:space="preserve">The unregistered points can be found through the following hyperlink: </w:t>
      </w:r>
      <w:hyperlink r:id="rId12" w:history="1">
        <w:r>
          <w:rPr>
            <w:rStyle w:val="Hyperlink"/>
            <w:rFonts w:ascii="Times New Roman" w:hAnsi="Times New Roman"/>
            <w:sz w:val="20"/>
            <w:szCs w:val="20"/>
          </w:rPr>
          <w:t>http://www.naesb.org/misc/unregistered_source_sink_points.csv</w:t>
        </w:r>
      </w:hyperlink>
    </w:p>
    <w:p/>
    <w:p>
      <w:r>
        <w:t xml:space="preserve">Entities requiring an emergency change to the EIR were allowed to do so by contacting the OATI help desk who sought approval from NAESB before executing an emergency publication.  In total, four emergency publications were made during the cutover period.    </w:t>
      </w:r>
    </w:p>
    <w:p>
      <w:pPr>
        <w:spacing w:before="120"/>
        <w:rPr>
          <w:bCs/>
        </w:rPr>
      </w:pPr>
      <w:r>
        <w:t xml:space="preserve">NAESB, through the JESS leadership, is discussing the next steps for the EIR including the expansion of the EIR to include adjacency data (WECC registry) and the development of a plan to support the vendor community as the CSV and MDB formats are retired.  NAESB and OATI will continue to hold regular meetings to discuss these issues and any others that may arise while the system is in production. </w:t>
      </w:r>
    </w:p>
    <w:sectPr>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12" w:space="1" w:color="auto"/>
      </w:pBdr>
      <w:jc w:val="right"/>
      <w:rPr>
        <w:sz w:val="18"/>
        <w:szCs w:val="18"/>
      </w:rPr>
    </w:pPr>
    <w:r>
      <w:rPr>
        <w:sz w:val="18"/>
        <w:szCs w:val="18"/>
      </w:rPr>
      <w:t>NAESB Electric Industry Registry Update</w:t>
    </w:r>
  </w:p>
  <w:p>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jc w:val="right"/>
      <w:rPr>
        <w:b/>
        <w:sz w:val="28"/>
      </w:rPr>
    </w:pPr>
    <w:r>
      <w:rPr>
        <w:noProof/>
      </w:rPr>
      <w:pict>
        <v:group id="Group 1" o:spid="_x0000_s2049"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2050" style="position:absolute;left:8440;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place">
        <w:r>
          <w:t>Texas</w:t>
        </w:r>
      </w:smartTag>
      <w:r>
        <w:t xml:space="preserve"> </w:t>
      </w:r>
      <w:smartTag w:uri="urn:schemas-microsoft-com:office:smarttags" w:element="place">
        <w:r>
          <w:t>77002</w:t>
        </w:r>
      </w:smartTag>
    </w:smartTag>
  </w:p>
  <w:p>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sz w:val="0"/>
      <w:szCs w:val="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sz w:val="0"/>
      <w:szCs w:val="0"/>
    </w:rPr>
  </w:style>
  <w:style w:type="paragraph" w:styleId="ListParagraph">
    <w:name w:val="List Paragraph"/>
    <w:basedOn w:val="Normal"/>
    <w:uiPriority w:val="34"/>
    <w:qFormat/>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unregistered_entities.cs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sb.org/misc/unregistered_source_sink_points.cs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esb.org/misc/unregistered_por_pod_points.cs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sb.org/pdf4/results_oati_outreach_efforts.xlsb" TargetMode="External"/><Relationship Id="rId4" Type="http://schemas.openxmlformats.org/officeDocument/2006/relationships/settings" Target="settings.xml"/><Relationship Id="rId9" Type="http://schemas.openxmlformats.org/officeDocument/2006/relationships/hyperlink" Target="http://www.naesb.org/pdf4/description_oati_outreach_effort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Veronica Thomason</cp:lastModifiedBy>
  <cp:revision>2</cp:revision>
  <cp:lastPrinted>2011-11-02T20:41:00Z</cp:lastPrinted>
  <dcterms:created xsi:type="dcterms:W3CDTF">2012-12-10T16:53:00Z</dcterms:created>
  <dcterms:modified xsi:type="dcterms:W3CDTF">2012-12-10T16:53:00Z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