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17" w:type="dxa"/>
        <w:tblLayout w:type="fixed"/>
        <w:tblCellMar>
          <w:top w:w="60" w:type="dxa"/>
          <w:left w:w="17" w:type="dxa"/>
          <w:right w:w="17" w:type="dxa"/>
        </w:tblCellMar>
        <w:tblLook w:val="0000" w:firstRow="0" w:lastRow="0" w:firstColumn="0" w:lastColumn="0" w:noHBand="0" w:noVBand="0"/>
      </w:tblPr>
      <w:tblGrid>
        <w:gridCol w:w="360"/>
        <w:gridCol w:w="360"/>
        <w:gridCol w:w="540"/>
        <w:gridCol w:w="540"/>
        <w:gridCol w:w="5040"/>
        <w:gridCol w:w="1170"/>
        <w:gridCol w:w="1620"/>
      </w:tblGrid>
      <w:tr>
        <w:trPr>
          <w:cantSplit/>
          <w:tblHeader/>
        </w:trPr>
        <w:tc>
          <w:tcPr>
            <w:tcW w:w="9630" w:type="dxa"/>
            <w:gridSpan w:val="7"/>
            <w:tcBorders>
              <w:bottom w:val="single" w:sz="4" w:space="0" w:color="auto"/>
            </w:tcBorders>
          </w:tcPr>
          <w:p>
            <w:pPr>
              <w:pStyle w:val="TableText"/>
              <w:spacing w:before="120" w:after="120"/>
              <w:jc w:val="center"/>
              <w:rPr>
                <w:rFonts w:ascii="Times New Roman" w:hAnsi="Times New Roman"/>
                <w:b/>
                <w:sz w:val="18"/>
                <w:szCs w:val="18"/>
              </w:rPr>
            </w:pPr>
            <w:bookmarkStart w:id="0" w:name="OLE_LINK3"/>
            <w:bookmarkStart w:id="1" w:name="OLE_LINK4"/>
            <w:r>
              <w:rPr>
                <w:rFonts w:ascii="Times New Roman" w:hAnsi="Times New Roman"/>
                <w:b/>
                <w:sz w:val="18"/>
                <w:szCs w:val="18"/>
              </w:rPr>
              <w:t>NORTH AMERICAN ENERGY STANDARDS BOARD</w:t>
            </w:r>
            <w:bookmarkStart w:id="2" w:name="OLE_LINK1"/>
            <w:bookmarkStart w:id="3" w:name="OLE_LINK2"/>
            <w:r>
              <w:rPr>
                <w:rFonts w:ascii="Times New Roman" w:hAnsi="Times New Roman"/>
                <w:b/>
                <w:sz w:val="18"/>
                <w:szCs w:val="18"/>
              </w:rPr>
              <w:br/>
            </w:r>
            <w:bookmarkStart w:id="4" w:name="_GoBack"/>
            <w:bookmarkEnd w:id="4"/>
            <w:r>
              <w:rPr>
                <w:rFonts w:ascii="Times New Roman" w:hAnsi="Times New Roman"/>
                <w:b/>
                <w:sz w:val="18"/>
                <w:szCs w:val="18"/>
              </w:rPr>
              <w:t xml:space="preserve">2013 ANNUAL PLAN for the WHOLESALE ELECTRIC QUADRANT </w:t>
            </w:r>
            <w:r>
              <w:rPr>
                <w:rFonts w:ascii="Times New Roman" w:hAnsi="Times New Roman"/>
                <w:b/>
                <w:sz w:val="18"/>
                <w:szCs w:val="18"/>
              </w:rPr>
              <w:br/>
            </w:r>
            <w:bookmarkEnd w:id="0"/>
            <w:bookmarkEnd w:id="1"/>
            <w:bookmarkEnd w:id="2"/>
            <w:bookmarkEnd w:id="3"/>
            <w:r>
              <w:rPr>
                <w:rFonts w:ascii="Times New Roman" w:hAnsi="Times New Roman"/>
                <w:b/>
                <w:sz w:val="18"/>
                <w:szCs w:val="18"/>
              </w:rPr>
              <w:t>Approved by the Board of Directors on December 6, 2012</w:t>
            </w:r>
          </w:p>
        </w:tc>
      </w:tr>
      <w:tr>
        <w:trPr>
          <w:cantSplit/>
          <w:tblHeader/>
        </w:trPr>
        <w:tc>
          <w:tcPr>
            <w:tcW w:w="360" w:type="dxa"/>
            <w:tcBorders>
              <w:top w:val="single" w:sz="4" w:space="0" w:color="auto"/>
              <w:bottom w:val="single" w:sz="4" w:space="0" w:color="auto"/>
            </w:tcBorders>
          </w:tcPr>
          <w:p>
            <w:pPr>
              <w:pStyle w:val="TableText"/>
              <w:spacing w:before="60" w:after="60"/>
              <w:rPr>
                <w:rFonts w:ascii="Times New Roman" w:hAnsi="Times New Roman"/>
                <w:b/>
                <w:sz w:val="18"/>
                <w:szCs w:val="18"/>
              </w:rPr>
            </w:pPr>
          </w:p>
        </w:tc>
        <w:tc>
          <w:tcPr>
            <w:tcW w:w="6480" w:type="dxa"/>
            <w:gridSpan w:val="4"/>
            <w:tcBorders>
              <w:top w:val="single" w:sz="4" w:space="0" w:color="auto"/>
              <w:bottom w:val="single" w:sz="4" w:space="0" w:color="auto"/>
            </w:tcBorders>
          </w:tcPr>
          <w:p>
            <w:pPr>
              <w:pStyle w:val="TableText"/>
              <w:spacing w:before="60" w:after="60"/>
              <w:jc w:val="center"/>
              <w:rPr>
                <w:rFonts w:ascii="Times New Roman" w:hAnsi="Times New Roman"/>
                <w:b/>
                <w:sz w:val="18"/>
                <w:szCs w:val="18"/>
              </w:rPr>
            </w:pPr>
            <w:r>
              <w:rPr>
                <w:rFonts w:ascii="Times New Roman" w:hAnsi="Times New Roman"/>
                <w:b/>
                <w:sz w:val="18"/>
                <w:szCs w:val="18"/>
              </w:rPr>
              <w:t>Item Description</w:t>
            </w:r>
          </w:p>
        </w:tc>
        <w:tc>
          <w:tcPr>
            <w:tcW w:w="1170" w:type="dxa"/>
            <w:tcBorders>
              <w:top w:val="single" w:sz="4" w:space="0" w:color="auto"/>
              <w:bottom w:val="single" w:sz="4" w:space="0" w:color="auto"/>
            </w:tcBorders>
          </w:tcPr>
          <w:p>
            <w:pPr>
              <w:pStyle w:val="TableText"/>
              <w:spacing w:before="60" w:after="60"/>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620" w:type="dxa"/>
            <w:tcBorders>
              <w:top w:val="single" w:sz="4" w:space="0" w:color="auto"/>
              <w:bottom w:val="single" w:sz="4" w:space="0" w:color="auto"/>
            </w:tcBorders>
          </w:tcPr>
          <w:p>
            <w:pPr>
              <w:pStyle w:val="TableText"/>
              <w:spacing w:before="60" w:after="60"/>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trPr>
          <w:cantSplit/>
        </w:trPr>
        <w:tc>
          <w:tcPr>
            <w:tcW w:w="360" w:type="dxa"/>
            <w:tcBorders>
              <w:top w:val="single" w:sz="4" w:space="0" w:color="auto"/>
            </w:tcBorders>
          </w:tcPr>
          <w:p>
            <w:pPr>
              <w:pStyle w:val="TableText"/>
              <w:spacing w:before="40" w:after="40"/>
              <w:ind w:left="144"/>
              <w:rPr>
                <w:rFonts w:ascii="Times New Roman" w:hAnsi="Times New Roman"/>
                <w:b/>
                <w:color w:val="auto"/>
                <w:sz w:val="18"/>
                <w:szCs w:val="18"/>
              </w:rPr>
            </w:pPr>
            <w:r>
              <w:rPr>
                <w:rFonts w:ascii="Times New Roman" w:hAnsi="Times New Roman"/>
                <w:b/>
                <w:color w:val="auto"/>
                <w:sz w:val="18"/>
                <w:szCs w:val="18"/>
              </w:rPr>
              <w:t>1</w:t>
            </w:r>
          </w:p>
        </w:tc>
        <w:tc>
          <w:tcPr>
            <w:tcW w:w="9270" w:type="dxa"/>
            <w:gridSpan w:val="6"/>
            <w:tcBorders>
              <w:top w:val="single" w:sz="4" w:space="0" w:color="auto"/>
            </w:tcBorders>
          </w:tcPr>
          <w:p>
            <w:pPr>
              <w:pStyle w:val="TableText"/>
              <w:widowControl w:val="0"/>
              <w:spacing w:before="40" w:after="40"/>
              <w:ind w:left="144"/>
              <w:rPr>
                <w:rFonts w:ascii="Times New Roman" w:hAnsi="Times New Roman"/>
                <w:i/>
                <w:color w:val="auto"/>
                <w:sz w:val="18"/>
                <w:szCs w:val="18"/>
              </w:rPr>
            </w:pPr>
            <w:r>
              <w:rPr>
                <w:rFonts w:ascii="Times New Roman" w:hAnsi="Times New Roman"/>
                <w:b/>
                <w:color w:val="auto"/>
                <w:sz w:val="18"/>
                <w:szCs w:val="18"/>
              </w:rPr>
              <w:t xml:space="preserve">Develop business practices standards as needed to complement reliability standards </w:t>
            </w:r>
          </w:p>
        </w:tc>
      </w:tr>
      <w:tr>
        <w:trPr>
          <w:cantSplit/>
        </w:trPr>
        <w:tc>
          <w:tcPr>
            <w:tcW w:w="360" w:type="dxa"/>
          </w:tcPr>
          <w:p>
            <w:pPr>
              <w:pStyle w:val="TableText"/>
              <w:spacing w:before="40" w:after="40"/>
              <w:ind w:left="144"/>
              <w:rPr>
                <w:rFonts w:ascii="Times New Roman" w:hAnsi="Times New Roman"/>
                <w:color w:val="auto"/>
                <w:sz w:val="18"/>
                <w:szCs w:val="18"/>
              </w:rPr>
            </w:pPr>
          </w:p>
        </w:tc>
        <w:tc>
          <w:tcPr>
            <w:tcW w:w="9270" w:type="dxa"/>
            <w:gridSpan w:val="6"/>
          </w:tcPr>
          <w:p>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 xml:space="preserve">Develop business practice standards to support and complement NERC reliability standards, NERC policies and NERC standards authorization requests (SARs) using the NERC/NAESB Coordination Joint Standards Development Process as appropriate.  Current NAESB activities underway to develop business practice standards that are supportive of this annual plan item are: </w:t>
            </w:r>
          </w:p>
        </w:tc>
      </w:tr>
      <w:tr>
        <w:trPr>
          <w:cantSplit/>
        </w:trPr>
        <w:tc>
          <w:tcPr>
            <w:tcW w:w="360" w:type="dxa"/>
          </w:tcPr>
          <w:p>
            <w:pPr>
              <w:pStyle w:val="TableText"/>
              <w:spacing w:before="40" w:after="40"/>
              <w:ind w:left="144"/>
              <w:rPr>
                <w:rFonts w:ascii="Times New Roman" w:hAnsi="Times New Roman"/>
                <w:color w:val="auto"/>
                <w:sz w:val="18"/>
                <w:szCs w:val="18"/>
              </w:rPr>
            </w:pPr>
          </w:p>
        </w:tc>
        <w:tc>
          <w:tcPr>
            <w:tcW w:w="360" w:type="dxa"/>
          </w:tcPr>
          <w:p>
            <w:pPr>
              <w:pStyle w:val="TableText"/>
              <w:spacing w:before="40" w:after="40"/>
              <w:ind w:left="144"/>
              <w:rPr>
                <w:rFonts w:ascii="Times New Roman" w:hAnsi="Times New Roman"/>
                <w:sz w:val="18"/>
                <w:szCs w:val="18"/>
              </w:rPr>
            </w:pPr>
            <w:r>
              <w:rPr>
                <w:rFonts w:ascii="Times New Roman" w:hAnsi="Times New Roman"/>
                <w:sz w:val="18"/>
                <w:szCs w:val="18"/>
              </w:rPr>
              <w:t>a)</w:t>
            </w:r>
          </w:p>
        </w:tc>
        <w:tc>
          <w:tcPr>
            <w:tcW w:w="6120" w:type="dxa"/>
            <w:gridSpan w:val="3"/>
          </w:tcPr>
          <w:p>
            <w:pPr>
              <w:pStyle w:val="TableText"/>
              <w:spacing w:before="40" w:after="40"/>
              <w:ind w:left="144"/>
              <w:rPr>
                <w:rFonts w:ascii="Times New Roman" w:hAnsi="Times New Roman"/>
                <w:sz w:val="18"/>
                <w:szCs w:val="18"/>
              </w:rPr>
            </w:pPr>
            <w:r>
              <w:rPr>
                <w:rFonts w:ascii="Times New Roman" w:hAnsi="Times New Roman"/>
                <w:sz w:val="18"/>
                <w:szCs w:val="18"/>
              </w:rPr>
              <w:t>Parallel Flow Visualization/Mitigation for Reliability Coordinators in the Eastern Interconnection – Permanent Solution</w:t>
            </w:r>
            <w:r>
              <w:rPr>
                <w:rStyle w:val="FootnoteReference"/>
                <w:rFonts w:ascii="Times New Roman" w:hAnsi="Times New Roman"/>
                <w:sz w:val="18"/>
                <w:szCs w:val="18"/>
              </w:rPr>
              <w:footnoteReference w:id="1"/>
            </w:r>
            <w:r>
              <w:rPr>
                <w:rFonts w:ascii="Times New Roman" w:hAnsi="Times New Roman"/>
                <w:sz w:val="18"/>
                <w:szCs w:val="18"/>
              </w:rPr>
              <w:t xml:space="preserve">  </w:t>
            </w:r>
          </w:p>
          <w:p>
            <w:pPr>
              <w:pStyle w:val="TableText"/>
              <w:spacing w:before="40" w:after="40"/>
              <w:ind w:left="144"/>
              <w:rPr>
                <w:rFonts w:ascii="Times New Roman" w:hAnsi="Times New Roman"/>
                <w:sz w:val="18"/>
                <w:szCs w:val="18"/>
              </w:rPr>
            </w:pPr>
            <w:r>
              <w:rPr>
                <w:rFonts w:ascii="Times New Roman" w:hAnsi="Times New Roman"/>
                <w:sz w:val="18"/>
                <w:szCs w:val="18"/>
              </w:rPr>
              <w:t>Note: Consideration should be given to provisional item 4.  Work is being coordinated with the NERC IDC Working Group.</w:t>
            </w:r>
          </w:p>
          <w:p>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 Started</w:t>
            </w:r>
          </w:p>
        </w:tc>
        <w:tc>
          <w:tcPr>
            <w:tcW w:w="1170" w:type="dxa"/>
          </w:tcPr>
          <w:p>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1</w:t>
            </w:r>
            <w:r>
              <w:rPr>
                <w:rFonts w:ascii="Times New Roman" w:hAnsi="Times New Roman"/>
                <w:sz w:val="18"/>
                <w:szCs w:val="18"/>
                <w:vertAlign w:val="superscript"/>
              </w:rPr>
              <w:t>st</w:t>
            </w:r>
            <w:r>
              <w:rPr>
                <w:rFonts w:ascii="Times New Roman" w:hAnsi="Times New Roman"/>
                <w:sz w:val="18"/>
                <w:szCs w:val="18"/>
              </w:rPr>
              <w:t xml:space="preserve"> Q, 2013</w:t>
            </w:r>
          </w:p>
        </w:tc>
        <w:tc>
          <w:tcPr>
            <w:tcW w:w="1620" w:type="dxa"/>
          </w:tcPr>
          <w:p>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trPr>
          <w:cantSplit/>
        </w:trPr>
        <w:tc>
          <w:tcPr>
            <w:tcW w:w="360" w:type="dxa"/>
          </w:tcPr>
          <w:p>
            <w:pPr>
              <w:pStyle w:val="TableText"/>
              <w:spacing w:before="40" w:after="40"/>
              <w:ind w:left="144"/>
              <w:rPr>
                <w:rFonts w:ascii="Times New Roman" w:hAnsi="Times New Roman"/>
                <w:color w:val="auto"/>
                <w:sz w:val="18"/>
                <w:szCs w:val="18"/>
              </w:rPr>
            </w:pPr>
          </w:p>
        </w:tc>
        <w:tc>
          <w:tcPr>
            <w:tcW w:w="360" w:type="dxa"/>
          </w:tcPr>
          <w:p>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b)</w:t>
            </w:r>
          </w:p>
        </w:tc>
        <w:tc>
          <w:tcPr>
            <w:tcW w:w="6120" w:type="dxa"/>
            <w:gridSpan w:val="3"/>
          </w:tcPr>
          <w:p>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Perform consistency review of WEQ-008 Transmission Loading Relief Business Practice Standards and develop recommendation.</w:t>
            </w:r>
            <w:r>
              <w:rPr>
                <w:rStyle w:val="FootnoteReference"/>
                <w:rFonts w:ascii="Times New Roman" w:hAnsi="Times New Roman"/>
                <w:sz w:val="18"/>
                <w:szCs w:val="18"/>
              </w:rPr>
              <w:footnoteReference w:id="2"/>
            </w:r>
            <w:r>
              <w:rPr>
                <w:rFonts w:ascii="Times New Roman" w:hAnsi="Times New Roman"/>
                <w:sz w:val="18"/>
                <w:szCs w:val="18"/>
              </w:rPr>
              <w:t xml:space="preserve">  </w:t>
            </w:r>
          </w:p>
          <w:p>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Not Started </w:t>
            </w:r>
          </w:p>
        </w:tc>
        <w:tc>
          <w:tcPr>
            <w:tcW w:w="1170" w:type="dxa"/>
          </w:tcPr>
          <w:p>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2013</w:t>
            </w:r>
          </w:p>
        </w:tc>
        <w:tc>
          <w:tcPr>
            <w:tcW w:w="1620" w:type="dxa"/>
          </w:tcPr>
          <w:p>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trPr>
          <w:cantSplit/>
        </w:trPr>
        <w:tc>
          <w:tcPr>
            <w:tcW w:w="360" w:type="dxa"/>
          </w:tcPr>
          <w:p>
            <w:pPr>
              <w:pStyle w:val="TableText"/>
              <w:spacing w:before="40" w:after="40"/>
              <w:ind w:left="144"/>
              <w:rPr>
                <w:rFonts w:ascii="Times New Roman" w:hAnsi="Times New Roman"/>
                <w:color w:val="auto"/>
                <w:sz w:val="18"/>
                <w:szCs w:val="18"/>
              </w:rPr>
            </w:pPr>
          </w:p>
        </w:tc>
        <w:tc>
          <w:tcPr>
            <w:tcW w:w="360" w:type="dxa"/>
          </w:tcPr>
          <w:p>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c)</w:t>
            </w:r>
          </w:p>
        </w:tc>
        <w:tc>
          <w:tcPr>
            <w:tcW w:w="6120" w:type="dxa"/>
            <w:gridSpan w:val="3"/>
          </w:tcPr>
          <w:p>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Disturbance Control Standard (DCS) (BAL-002) Coordination with NERC </w:t>
            </w:r>
            <w:hyperlink r:id="rId9" w:history="1">
              <w:r>
                <w:rPr>
                  <w:rStyle w:val="Hyperlink"/>
                  <w:rFonts w:ascii="Times New Roman" w:hAnsi="Times New Roman"/>
                  <w:sz w:val="18"/>
                  <w:szCs w:val="18"/>
                </w:rPr>
                <w:t>Project 2010-14.1 Phase 1 of Balancing Authority Reliability-based Controls: Reserves</w:t>
              </w:r>
            </w:hyperlink>
          </w:p>
          <w:p>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Monitor. </w:t>
            </w:r>
          </w:p>
        </w:tc>
        <w:tc>
          <w:tcPr>
            <w:tcW w:w="1170" w:type="dxa"/>
          </w:tcPr>
          <w:p>
            <w:pPr>
              <w:pStyle w:val="TableText"/>
              <w:widowControl w:val="0"/>
              <w:spacing w:before="40" w:after="40"/>
              <w:ind w:left="144"/>
              <w:jc w:val="center"/>
              <w:rPr>
                <w:rFonts w:ascii="Times New Roman" w:hAnsi="Times New Roman"/>
                <w:color w:val="auto"/>
                <w:sz w:val="18"/>
                <w:szCs w:val="18"/>
                <w:vertAlign w:val="superscript"/>
              </w:rPr>
            </w:pPr>
            <w:r>
              <w:rPr>
                <w:rFonts w:ascii="Times New Roman" w:hAnsi="Times New Roman"/>
                <w:color w:val="auto"/>
                <w:sz w:val="18"/>
                <w:szCs w:val="18"/>
              </w:rPr>
              <w:t>2013</w:t>
            </w:r>
          </w:p>
        </w:tc>
        <w:tc>
          <w:tcPr>
            <w:tcW w:w="1620" w:type="dxa"/>
          </w:tcPr>
          <w:p>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BPS/TIMTF</w:t>
            </w:r>
          </w:p>
        </w:tc>
      </w:tr>
      <w:tr>
        <w:trPr>
          <w:cantSplit/>
        </w:trPr>
        <w:tc>
          <w:tcPr>
            <w:tcW w:w="360" w:type="dxa"/>
          </w:tcPr>
          <w:p>
            <w:pPr>
              <w:pStyle w:val="TableText"/>
              <w:spacing w:before="40" w:after="40"/>
              <w:ind w:left="144"/>
              <w:rPr>
                <w:rFonts w:ascii="Times New Roman" w:hAnsi="Times New Roman"/>
                <w:color w:val="auto"/>
                <w:sz w:val="18"/>
                <w:szCs w:val="18"/>
              </w:rPr>
            </w:pPr>
          </w:p>
        </w:tc>
        <w:tc>
          <w:tcPr>
            <w:tcW w:w="360" w:type="dxa"/>
          </w:tcPr>
          <w:p>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d)</w:t>
            </w:r>
          </w:p>
        </w:tc>
        <w:tc>
          <w:tcPr>
            <w:tcW w:w="6120" w:type="dxa"/>
            <w:gridSpan w:val="3"/>
          </w:tcPr>
          <w:p>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Revise TLR level 5 to be treated similarly to TLR Level 3 in terms of treating the next hour allocation separately from that of current hour. (</w:t>
            </w:r>
            <w:hyperlink r:id="rId10" w:history="1">
              <w:r>
                <w:rPr>
                  <w:rStyle w:val="Hyperlink"/>
                  <w:sz w:val="18"/>
                  <w:szCs w:val="18"/>
                </w:rPr>
                <w:t>R11020</w:t>
              </w:r>
            </w:hyperlink>
            <w:r>
              <w:rPr>
                <w:rFonts w:ascii="Times New Roman" w:hAnsi="Times New Roman"/>
                <w:sz w:val="18"/>
                <w:szCs w:val="18"/>
              </w:rPr>
              <w:t>)</w:t>
            </w:r>
          </w:p>
          <w:p>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tcPr>
          <w:p>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2013</w:t>
            </w:r>
          </w:p>
        </w:tc>
        <w:tc>
          <w:tcPr>
            <w:tcW w:w="1620" w:type="dxa"/>
          </w:tcPr>
          <w:p>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trPr>
          <w:cantSplit/>
        </w:trPr>
        <w:tc>
          <w:tcPr>
            <w:tcW w:w="360" w:type="dxa"/>
          </w:tcPr>
          <w:p>
            <w:pPr>
              <w:pStyle w:val="TableText"/>
              <w:spacing w:before="40" w:after="40"/>
              <w:ind w:left="144"/>
              <w:rPr>
                <w:rFonts w:ascii="Times New Roman" w:hAnsi="Times New Roman"/>
                <w:color w:val="auto"/>
                <w:sz w:val="18"/>
                <w:szCs w:val="18"/>
                <w:highlight w:val="yellow"/>
              </w:rPr>
            </w:pPr>
          </w:p>
        </w:tc>
        <w:tc>
          <w:tcPr>
            <w:tcW w:w="360" w:type="dxa"/>
          </w:tcPr>
          <w:p>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e)</w:t>
            </w:r>
          </w:p>
        </w:tc>
        <w:tc>
          <w:tcPr>
            <w:tcW w:w="6120" w:type="dxa"/>
            <w:gridSpan w:val="3"/>
          </w:tcPr>
          <w:p>
            <w:pPr>
              <w:pStyle w:val="Signature"/>
              <w:spacing w:before="40" w:after="40"/>
              <w:ind w:left="163"/>
              <w:rPr>
                <w:sz w:val="18"/>
                <w:szCs w:val="18"/>
              </w:rPr>
            </w:pPr>
            <w:r>
              <w:rPr>
                <w:sz w:val="18"/>
                <w:szCs w:val="18"/>
              </w:rPr>
              <w:t xml:space="preserve">Develop and or modify business practices related to support of NERC effort on the NERC Resources and Transmission Adequacy (NERC </w:t>
            </w:r>
            <w:hyperlink r:id="rId11" w:history="1">
              <w:r>
                <w:rPr>
                  <w:rStyle w:val="Hyperlink"/>
                  <w:sz w:val="18"/>
                  <w:szCs w:val="18"/>
                </w:rPr>
                <w:t>Project 2009-05 Resource Adequacy Assessments</w:t>
              </w:r>
            </w:hyperlink>
            <w:r>
              <w:rPr>
                <w:sz w:val="18"/>
                <w:szCs w:val="18"/>
              </w:rPr>
              <w:t xml:space="preserve">).  </w:t>
            </w:r>
          </w:p>
          <w:p>
            <w:pPr>
              <w:pStyle w:val="Signature"/>
              <w:spacing w:before="40" w:after="40"/>
              <w:ind w:left="163"/>
              <w:rPr>
                <w:sz w:val="18"/>
                <w:szCs w:val="18"/>
              </w:rPr>
            </w:pPr>
            <w:r>
              <w:rPr>
                <w:sz w:val="18"/>
                <w:szCs w:val="18"/>
              </w:rPr>
              <w:t>Status: Not Started</w:t>
            </w:r>
          </w:p>
        </w:tc>
        <w:tc>
          <w:tcPr>
            <w:tcW w:w="1170" w:type="dxa"/>
          </w:tcPr>
          <w:p>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trPr>
          <w:cantSplit/>
        </w:trPr>
        <w:tc>
          <w:tcPr>
            <w:tcW w:w="360" w:type="dxa"/>
          </w:tcPr>
          <w:p>
            <w:pPr>
              <w:pStyle w:val="TableText"/>
              <w:spacing w:before="40" w:after="40"/>
              <w:ind w:left="144"/>
              <w:rPr>
                <w:rFonts w:ascii="Times New Roman" w:hAnsi="Times New Roman"/>
                <w:color w:val="auto"/>
                <w:sz w:val="18"/>
                <w:szCs w:val="18"/>
                <w:highlight w:val="yellow"/>
              </w:rPr>
            </w:pPr>
          </w:p>
        </w:tc>
        <w:tc>
          <w:tcPr>
            <w:tcW w:w="360" w:type="dxa"/>
          </w:tcPr>
          <w:p>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f)</w:t>
            </w:r>
          </w:p>
        </w:tc>
        <w:tc>
          <w:tcPr>
            <w:tcW w:w="6120" w:type="dxa"/>
            <w:gridSpan w:val="3"/>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z w:val="18"/>
                <w:szCs w:val="18"/>
              </w:rPr>
            </w:pPr>
            <w:r>
              <w:rPr>
                <w:sz w:val="18"/>
                <w:szCs w:val="18"/>
              </w:rPr>
              <w:t xml:space="preserve">Develop, modify or delete business practices to support Time Error, Automatic Generation Control (AGC), and Inadvertent Accounting (BAL-005, and BAL-006) (NERC </w:t>
            </w:r>
            <w:hyperlink r:id="rId12" w:history="1">
              <w:r>
                <w:rPr>
                  <w:rStyle w:val="Hyperlink"/>
                  <w:sz w:val="18"/>
                  <w:szCs w:val="18"/>
                </w:rPr>
                <w:t>Project 2010-14.2 Phase 2 of Balancing Authority Reliability-based Controls: Time Error, AGC, and Inadvertent</w:t>
              </w:r>
            </w:hyperlink>
            <w:r>
              <w:rPr>
                <w:sz w:val="18"/>
                <w:szCs w:val="18"/>
              </w:rPr>
              <w:t>). The NERC project may impact WEQ-006 Manual Time Error Correction and WEQ-007 Inadvertent Interchange Payback.</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sz w:val="18"/>
                <w:szCs w:val="18"/>
              </w:rPr>
              <w:t>Status: Not Started</w:t>
            </w:r>
          </w:p>
        </w:tc>
        <w:tc>
          <w:tcPr>
            <w:tcW w:w="1170" w:type="dxa"/>
          </w:tcPr>
          <w:p>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trPr>
          <w:cantSplit/>
        </w:trPr>
        <w:tc>
          <w:tcPr>
            <w:tcW w:w="360" w:type="dxa"/>
          </w:tcPr>
          <w:p>
            <w:pPr>
              <w:pStyle w:val="TableText"/>
              <w:spacing w:before="40" w:after="40"/>
              <w:ind w:left="144"/>
              <w:rPr>
                <w:rFonts w:ascii="Times New Roman" w:hAnsi="Times New Roman"/>
                <w:color w:val="auto"/>
                <w:sz w:val="18"/>
                <w:szCs w:val="18"/>
                <w:highlight w:val="yellow"/>
              </w:rPr>
            </w:pPr>
          </w:p>
        </w:tc>
        <w:tc>
          <w:tcPr>
            <w:tcW w:w="360" w:type="dxa"/>
          </w:tcPr>
          <w:p>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g)</w:t>
            </w:r>
          </w:p>
        </w:tc>
        <w:tc>
          <w:tcPr>
            <w:tcW w:w="6120" w:type="dxa"/>
            <w:gridSpan w:val="3"/>
          </w:tcPr>
          <w:p>
            <w:pPr>
              <w:pStyle w:val="TableText"/>
              <w:tabs>
                <w:tab w:val="num" w:pos="433"/>
              </w:tabs>
              <w:spacing w:before="40" w:after="40"/>
              <w:ind w:left="144"/>
              <w:rPr>
                <w:rStyle w:val="Hyperlink"/>
                <w:rFonts w:ascii="Times New Roman" w:hAnsi="Times New Roman"/>
                <w:sz w:val="18"/>
                <w:szCs w:val="18"/>
              </w:rPr>
            </w:pPr>
            <w:r>
              <w:rPr>
                <w:rFonts w:ascii="Times New Roman" w:hAnsi="Times New Roman"/>
                <w:sz w:val="18"/>
                <w:szCs w:val="18"/>
              </w:rPr>
              <w:t xml:space="preserve">Coordinate with NERC on changes to the definition of Bulk Electric System NERC </w:t>
            </w:r>
            <w:hyperlink r:id="rId13" w:history="1">
              <w:r>
                <w:rPr>
                  <w:rStyle w:val="Hyperlink"/>
                  <w:rFonts w:ascii="Times New Roman" w:hAnsi="Times New Roman"/>
                  <w:sz w:val="18"/>
                  <w:szCs w:val="18"/>
                </w:rPr>
                <w:t xml:space="preserve">Project </w:t>
              </w:r>
              <w:proofErr w:type="gramStart"/>
              <w:r>
                <w:rPr>
                  <w:rStyle w:val="Hyperlink"/>
                  <w:rFonts w:ascii="Times New Roman" w:hAnsi="Times New Roman"/>
                  <w:sz w:val="18"/>
                  <w:szCs w:val="18"/>
                </w:rPr>
                <w:t>2010-17 Definition of Bulk Electric System</w:t>
              </w:r>
            </w:hyperlink>
            <w:r>
              <w:rPr>
                <w:rFonts w:ascii="Times New Roman" w:hAnsi="Times New Roman"/>
                <w:sz w:val="18"/>
                <w:szCs w:val="18"/>
              </w:rPr>
              <w:t xml:space="preserve"> (Phase 2)</w:t>
            </w:r>
            <w:proofErr w:type="gramEnd"/>
            <w:r>
              <w:rPr>
                <w:rFonts w:ascii="Times New Roman" w:hAnsi="Times New Roman"/>
                <w:sz w:val="18"/>
                <w:szCs w:val="18"/>
              </w:rPr>
              <w:t xml:space="preserve">.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z w:val="18"/>
                <w:szCs w:val="18"/>
              </w:rPr>
            </w:pPr>
            <w:r>
              <w:rPr>
                <w:sz w:val="18"/>
                <w:szCs w:val="18"/>
              </w:rPr>
              <w:t xml:space="preserve">Status:  </w:t>
            </w:r>
            <w:r>
              <w:rPr>
                <w:rStyle w:val="Hyperlink"/>
                <w:sz w:val="18"/>
                <w:szCs w:val="18"/>
              </w:rPr>
              <w:t>Not started.  Dependent on NERC completing its project.</w:t>
            </w:r>
          </w:p>
        </w:tc>
        <w:tc>
          <w:tcPr>
            <w:tcW w:w="1170" w:type="dxa"/>
          </w:tcPr>
          <w:p>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2013</w:t>
            </w:r>
          </w:p>
        </w:tc>
        <w:tc>
          <w:tcPr>
            <w:tcW w:w="1620" w:type="dxa"/>
          </w:tcPr>
          <w:p>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SRS</w:t>
            </w:r>
          </w:p>
        </w:tc>
      </w:tr>
      <w:tr>
        <w:trPr>
          <w:cantSplit/>
        </w:trPr>
        <w:tc>
          <w:tcPr>
            <w:tcW w:w="360" w:type="dxa"/>
          </w:tcPr>
          <w:p>
            <w:pPr>
              <w:pStyle w:val="TableText"/>
              <w:keepNext/>
              <w:spacing w:before="40" w:after="40"/>
              <w:ind w:left="144"/>
              <w:rPr>
                <w:rFonts w:ascii="Times New Roman" w:hAnsi="Times New Roman"/>
                <w:b/>
                <w:color w:val="auto"/>
                <w:sz w:val="18"/>
                <w:szCs w:val="18"/>
              </w:rPr>
            </w:pPr>
            <w:r>
              <w:rPr>
                <w:rFonts w:ascii="Times New Roman" w:hAnsi="Times New Roman"/>
                <w:b/>
                <w:color w:val="auto"/>
                <w:sz w:val="18"/>
                <w:szCs w:val="18"/>
              </w:rPr>
              <w:lastRenderedPageBreak/>
              <w:t>2</w:t>
            </w:r>
          </w:p>
        </w:tc>
        <w:tc>
          <w:tcPr>
            <w:tcW w:w="9270" w:type="dxa"/>
            <w:gridSpan w:val="6"/>
          </w:tcPr>
          <w:p>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Develop business practice standards in support of the FERC RM05-25-000 and RM05-17-000 (OATT Reform)</w:t>
            </w:r>
            <w:r>
              <w:rPr>
                <w:rStyle w:val="FootnoteReference"/>
                <w:rFonts w:ascii="Times New Roman" w:hAnsi="Times New Roman"/>
                <w:b/>
                <w:color w:val="auto"/>
                <w:sz w:val="18"/>
                <w:szCs w:val="18"/>
              </w:rPr>
              <w:footnoteReference w:id="3"/>
            </w:r>
          </w:p>
        </w:tc>
      </w:tr>
      <w:tr>
        <w:trPr>
          <w:cantSplit/>
        </w:trPr>
        <w:tc>
          <w:tcPr>
            <w:tcW w:w="360" w:type="dxa"/>
          </w:tcPr>
          <w:p>
            <w:pPr>
              <w:pStyle w:val="TableText"/>
              <w:keepNext/>
              <w:spacing w:before="40" w:after="40"/>
              <w:ind w:left="144"/>
              <w:rPr>
                <w:rFonts w:ascii="Times New Roman" w:hAnsi="Times New Roman"/>
                <w:color w:val="auto"/>
                <w:sz w:val="18"/>
                <w:szCs w:val="18"/>
              </w:rPr>
            </w:pPr>
          </w:p>
        </w:tc>
        <w:tc>
          <w:tcPr>
            <w:tcW w:w="360" w:type="dxa"/>
          </w:tcPr>
          <w:p>
            <w:pPr>
              <w:pStyle w:val="TableText"/>
              <w:widowControl w:val="0"/>
              <w:spacing w:before="40" w:after="40"/>
              <w:ind w:left="144"/>
              <w:rPr>
                <w:rFonts w:ascii="Times New Roman" w:hAnsi="Times New Roman"/>
                <w:sz w:val="18"/>
                <w:szCs w:val="18"/>
              </w:rPr>
            </w:pPr>
            <w:r>
              <w:rPr>
                <w:rFonts w:ascii="Times New Roman" w:hAnsi="Times New Roman"/>
                <w:sz w:val="18"/>
                <w:szCs w:val="18"/>
              </w:rPr>
              <w:t>a)</w:t>
            </w:r>
          </w:p>
        </w:tc>
        <w:tc>
          <w:tcPr>
            <w:tcW w:w="8910" w:type="dxa"/>
            <w:gridSpan w:val="5"/>
          </w:tcPr>
          <w:p>
            <w:pPr>
              <w:pStyle w:val="TableText"/>
              <w:tabs>
                <w:tab w:val="num" w:pos="73"/>
              </w:tabs>
              <w:spacing w:before="40" w:after="40"/>
              <w:ind w:left="144"/>
              <w:rPr>
                <w:rFonts w:ascii="Times New Roman" w:hAnsi="Times New Roman"/>
                <w:sz w:val="18"/>
                <w:szCs w:val="18"/>
              </w:rPr>
            </w:pPr>
            <w:r>
              <w:rPr>
                <w:rFonts w:ascii="Times New Roman" w:hAnsi="Times New Roman"/>
                <w:sz w:val="18"/>
                <w:szCs w:val="18"/>
              </w:rPr>
              <w:t xml:space="preserve">Develop version 2 business practice standards to better coordinate the use of the transmission system among neighboring transmission providers.  </w:t>
            </w:r>
          </w:p>
          <w:p>
            <w:pPr>
              <w:pStyle w:val="TableText"/>
              <w:widowControl w:val="0"/>
              <w:spacing w:before="40" w:after="40"/>
              <w:ind w:left="144"/>
              <w:rPr>
                <w:rFonts w:ascii="Times New Roman" w:hAnsi="Times New Roman"/>
                <w:sz w:val="18"/>
                <w:szCs w:val="18"/>
              </w:rPr>
            </w:pPr>
            <w:r>
              <w:rPr>
                <w:rFonts w:ascii="Times New Roman" w:hAnsi="Times New Roman"/>
                <w:sz w:val="18"/>
                <w:szCs w:val="18"/>
              </w:rPr>
              <w:t>Status: Underway</w:t>
            </w:r>
          </w:p>
          <w:p>
            <w:pPr>
              <w:pStyle w:val="TableText"/>
              <w:widowControl w:val="0"/>
              <w:spacing w:before="40" w:after="40"/>
              <w:ind w:left="144"/>
              <w:rPr>
                <w:rFonts w:ascii="Times New Roman" w:hAnsi="Times New Roman"/>
                <w:sz w:val="18"/>
                <w:szCs w:val="18"/>
              </w:rPr>
            </w:pPr>
            <w:r>
              <w:rPr>
                <w:rFonts w:ascii="Times New Roman" w:hAnsi="Times New Roman"/>
                <w:sz w:val="18"/>
                <w:szCs w:val="18"/>
              </w:rPr>
              <w:t xml:space="preserve">Request R050004 was expanded to include the </w:t>
            </w:r>
            <w:hyperlink r:id="rId14" w:history="1">
              <w:r>
                <w:rPr>
                  <w:rStyle w:val="Hyperlink"/>
                  <w:rFonts w:ascii="Times New Roman" w:hAnsi="Times New Roman"/>
                  <w:sz w:val="18"/>
                  <w:szCs w:val="18"/>
                </w:rPr>
                <w:t>Order No. 890 (Docket Nos.RM05-17-000 and RM02-25-000)</w:t>
              </w:r>
            </w:hyperlink>
            <w:proofErr w:type="gramStart"/>
            <w:r>
              <w:rPr>
                <w:rFonts w:ascii="Times New Roman" w:hAnsi="Times New Roman"/>
                <w:sz w:val="18"/>
                <w:szCs w:val="18"/>
              </w:rPr>
              <w:t>,  (</w:t>
            </w:r>
            <w:proofErr w:type="gramEnd"/>
            <w:r>
              <w:fldChar w:fldCharType="begin"/>
            </w:r>
            <w:r>
              <w:instrText xml:space="preserve"> HYPERLINK "http://www.naesb.org/doc_view2.asp?doc=ferc122807.pdf" </w:instrText>
            </w:r>
            <w:r>
              <w:fldChar w:fldCharType="separate"/>
            </w:r>
            <w:r>
              <w:rPr>
                <w:rStyle w:val="Hyperlink"/>
                <w:rFonts w:ascii="Times New Roman" w:hAnsi="Times New Roman"/>
                <w:sz w:val="18"/>
                <w:szCs w:val="18"/>
              </w:rPr>
              <w:t>Order No. 890-A (Docket Nos. RM05-17-001, 002 and RM05-25-001, 002</w:t>
            </w:r>
            <w:r>
              <w:rPr>
                <w:rStyle w:val="Hyperlink"/>
                <w:rFonts w:ascii="Times New Roman" w:hAnsi="Times New Roman"/>
                <w:sz w:val="18"/>
                <w:szCs w:val="18"/>
              </w:rPr>
              <w:fldChar w:fldCharType="end"/>
            </w:r>
            <w:r>
              <w:rPr>
                <w:rFonts w:ascii="Times New Roman" w:hAnsi="Times New Roman"/>
                <w:sz w:val="18"/>
                <w:szCs w:val="18"/>
              </w:rPr>
              <w:t xml:space="preserve">), and </w:t>
            </w:r>
            <w:hyperlink r:id="rId15" w:history="1">
              <w:r>
                <w:rPr>
                  <w:rStyle w:val="Hyperlink"/>
                  <w:rFonts w:ascii="Times New Roman" w:hAnsi="Times New Roman"/>
                  <w:sz w:val="18"/>
                  <w:szCs w:val="18"/>
                </w:rPr>
                <w:t>Order No. 890-B (Docket Nos. RM05-17-03 and RM05-25-03)</w:t>
              </w:r>
            </w:hyperlink>
            <w:r>
              <w:rPr>
                <w:rFonts w:ascii="Times New Roman" w:hAnsi="Times New Roman"/>
                <w:sz w:val="18"/>
                <w:szCs w:val="18"/>
              </w:rPr>
              <w:t xml:space="preserve"> “Preventing Undue Discrimination and Preference in Transmission Services” </w:t>
            </w:r>
          </w:p>
        </w:tc>
      </w:tr>
      <w:tr>
        <w:tc>
          <w:tcPr>
            <w:tcW w:w="360" w:type="dxa"/>
          </w:tcPr>
          <w:p>
            <w:pPr>
              <w:pStyle w:val="TableText"/>
              <w:keepNext/>
              <w:keepLines/>
              <w:spacing w:before="40" w:after="40"/>
              <w:ind w:left="144"/>
              <w:rPr>
                <w:rFonts w:ascii="Times New Roman" w:hAnsi="Times New Roman"/>
                <w:color w:val="auto"/>
                <w:sz w:val="18"/>
                <w:szCs w:val="18"/>
              </w:rPr>
            </w:pPr>
          </w:p>
        </w:tc>
        <w:tc>
          <w:tcPr>
            <w:tcW w:w="360" w:type="dxa"/>
          </w:tcPr>
          <w:p>
            <w:pPr>
              <w:pStyle w:val="TableText"/>
              <w:keepNext/>
              <w:keepLines/>
              <w:widowControl w:val="0"/>
              <w:spacing w:before="40" w:after="40"/>
              <w:ind w:left="144"/>
              <w:rPr>
                <w:rFonts w:ascii="Times New Roman" w:hAnsi="Times New Roman"/>
                <w:sz w:val="18"/>
                <w:szCs w:val="18"/>
              </w:rPr>
            </w:pPr>
          </w:p>
        </w:tc>
        <w:tc>
          <w:tcPr>
            <w:tcW w:w="540" w:type="dxa"/>
          </w:tcPr>
          <w:p>
            <w:pPr>
              <w:pStyle w:val="TableText"/>
              <w:keepNext/>
              <w:keepLines/>
              <w:tabs>
                <w:tab w:val="num" w:pos="73"/>
              </w:tabs>
              <w:spacing w:before="40" w:after="40"/>
              <w:ind w:left="144"/>
              <w:rPr>
                <w:rFonts w:ascii="Times New Roman" w:hAnsi="Times New Roman"/>
                <w:sz w:val="18"/>
                <w:szCs w:val="18"/>
              </w:rPr>
            </w:pPr>
            <w:r>
              <w:rPr>
                <w:rFonts w:ascii="Times New Roman" w:hAnsi="Times New Roman"/>
                <w:sz w:val="18"/>
                <w:szCs w:val="18"/>
              </w:rPr>
              <w:t>i)</w:t>
            </w:r>
          </w:p>
        </w:tc>
        <w:tc>
          <w:tcPr>
            <w:tcW w:w="8370" w:type="dxa"/>
            <w:gridSpan w:val="4"/>
          </w:tcPr>
          <w:p>
            <w:pPr>
              <w:pStyle w:val="TableText"/>
              <w:keepNext/>
              <w:keepLines/>
              <w:widowControl w:val="0"/>
              <w:spacing w:before="40" w:after="40"/>
              <w:ind w:left="144"/>
              <w:rPr>
                <w:rFonts w:ascii="Times New Roman" w:hAnsi="Times New Roman"/>
                <w:color w:val="auto"/>
                <w:sz w:val="18"/>
                <w:szCs w:val="18"/>
              </w:rPr>
            </w:pPr>
            <w:r>
              <w:rPr>
                <w:rFonts w:ascii="Times New Roman" w:hAnsi="Times New Roman"/>
                <w:sz w:val="18"/>
                <w:szCs w:val="18"/>
              </w:rPr>
              <w:t xml:space="preserve">Group 4:  Pre-Emption; Request No. </w:t>
            </w:r>
            <w:hyperlink r:id="rId16" w:history="1">
              <w:r>
                <w:rPr>
                  <w:rStyle w:val="Hyperlink"/>
                  <w:rFonts w:ascii="Times New Roman" w:hAnsi="Times New Roman"/>
                  <w:sz w:val="18"/>
                  <w:szCs w:val="18"/>
                </w:rPr>
                <w:t>R05019</w:t>
              </w:r>
            </w:hyperlink>
          </w:p>
        </w:tc>
      </w:tr>
      <w:tr>
        <w:trPr>
          <w:cantSplit/>
        </w:trPr>
        <w:tc>
          <w:tcPr>
            <w:tcW w:w="360" w:type="dxa"/>
          </w:tcPr>
          <w:p>
            <w:pPr>
              <w:pStyle w:val="TableText"/>
              <w:keepNext/>
              <w:keepLines/>
              <w:spacing w:before="40" w:after="40"/>
              <w:ind w:left="144"/>
              <w:rPr>
                <w:rFonts w:ascii="Times New Roman" w:hAnsi="Times New Roman"/>
                <w:color w:val="auto"/>
                <w:sz w:val="18"/>
                <w:szCs w:val="18"/>
              </w:rPr>
            </w:pPr>
          </w:p>
        </w:tc>
        <w:tc>
          <w:tcPr>
            <w:tcW w:w="360" w:type="dxa"/>
          </w:tcPr>
          <w:p>
            <w:pPr>
              <w:pStyle w:val="TableText"/>
              <w:keepNext/>
              <w:keepLines/>
              <w:widowControl w:val="0"/>
              <w:spacing w:before="40" w:after="40"/>
              <w:ind w:left="144"/>
              <w:rPr>
                <w:rFonts w:ascii="Times New Roman" w:hAnsi="Times New Roman"/>
                <w:sz w:val="18"/>
                <w:szCs w:val="18"/>
              </w:rPr>
            </w:pPr>
          </w:p>
        </w:tc>
        <w:tc>
          <w:tcPr>
            <w:tcW w:w="540" w:type="dxa"/>
          </w:tcPr>
          <w:p>
            <w:pPr>
              <w:pStyle w:val="TableText"/>
              <w:keepNext/>
              <w:keepLines/>
              <w:tabs>
                <w:tab w:val="num" w:pos="73"/>
              </w:tabs>
              <w:spacing w:before="40" w:after="40"/>
              <w:rPr>
                <w:rFonts w:ascii="Times New Roman" w:hAnsi="Times New Roman"/>
                <w:sz w:val="18"/>
                <w:szCs w:val="18"/>
              </w:rPr>
            </w:pPr>
          </w:p>
        </w:tc>
        <w:tc>
          <w:tcPr>
            <w:tcW w:w="5580" w:type="dxa"/>
            <w:gridSpan w:val="2"/>
          </w:tcPr>
          <w:p>
            <w:pPr>
              <w:pStyle w:val="TableText"/>
              <w:keepNext/>
              <w:keepLines/>
              <w:numPr>
                <w:ilvl w:val="0"/>
                <w:numId w:val="13"/>
              </w:numPr>
              <w:tabs>
                <w:tab w:val="clear" w:pos="630"/>
                <w:tab w:val="num" w:pos="523"/>
              </w:tabs>
              <w:spacing w:before="40" w:after="40"/>
              <w:ind w:left="523"/>
              <w:rPr>
                <w:rFonts w:ascii="Times New Roman" w:hAnsi="Times New Roman"/>
                <w:sz w:val="18"/>
                <w:szCs w:val="18"/>
              </w:rPr>
            </w:pPr>
            <w:r>
              <w:rPr>
                <w:rFonts w:ascii="Times New Roman" w:hAnsi="Times New Roman"/>
                <w:sz w:val="18"/>
                <w:szCs w:val="18"/>
              </w:rPr>
              <w:t>Pre-Emption</w:t>
            </w:r>
          </w:p>
          <w:p>
            <w:pPr>
              <w:pStyle w:val="TableText"/>
              <w:keepNext/>
              <w:keepLines/>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Status:  Started</w:t>
            </w:r>
          </w:p>
        </w:tc>
        <w:tc>
          <w:tcPr>
            <w:tcW w:w="1170" w:type="dxa"/>
          </w:tcPr>
          <w:p>
            <w:pPr>
              <w:pStyle w:val="TableText"/>
              <w:keepNext/>
              <w:keepLines/>
              <w:widowControl w:val="0"/>
              <w:spacing w:before="40" w:after="40"/>
              <w:ind w:left="144"/>
              <w:jc w:val="center"/>
              <w:rPr>
                <w:rFonts w:ascii="Times New Roman" w:hAnsi="Times New Roman"/>
                <w:sz w:val="18"/>
                <w:szCs w:val="18"/>
              </w:rPr>
            </w:pPr>
            <w:r>
              <w:rPr>
                <w:rFonts w:ascii="Times New Roman" w:hAnsi="Times New Roman"/>
                <w:sz w:val="18"/>
                <w:szCs w:val="18"/>
              </w:rPr>
              <w:t>3</w:t>
            </w:r>
            <w:r>
              <w:rPr>
                <w:rFonts w:ascii="Times New Roman" w:hAnsi="Times New Roman"/>
                <w:sz w:val="18"/>
                <w:szCs w:val="18"/>
                <w:vertAlign w:val="superscript"/>
              </w:rPr>
              <w:t>rd</w:t>
            </w:r>
            <w:r>
              <w:rPr>
                <w:rFonts w:ascii="Times New Roman" w:hAnsi="Times New Roman"/>
                <w:sz w:val="18"/>
                <w:szCs w:val="18"/>
              </w:rPr>
              <w:t xml:space="preserve"> Q, 2013</w:t>
            </w:r>
          </w:p>
        </w:tc>
        <w:tc>
          <w:tcPr>
            <w:tcW w:w="1620" w:type="dxa"/>
          </w:tcPr>
          <w:p>
            <w:pPr>
              <w:pStyle w:val="TableText"/>
              <w:keepNext/>
              <w:keepLines/>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trPr>
          <w:cantSplit/>
        </w:trPr>
        <w:tc>
          <w:tcPr>
            <w:tcW w:w="360" w:type="dxa"/>
          </w:tcPr>
          <w:p>
            <w:pPr>
              <w:pStyle w:val="TableText"/>
              <w:spacing w:before="40" w:after="40"/>
              <w:ind w:left="144"/>
              <w:rPr>
                <w:rFonts w:ascii="Times New Roman" w:hAnsi="Times New Roman"/>
                <w:color w:val="auto"/>
                <w:sz w:val="18"/>
                <w:szCs w:val="18"/>
              </w:rPr>
            </w:pPr>
          </w:p>
        </w:tc>
        <w:tc>
          <w:tcPr>
            <w:tcW w:w="360" w:type="dxa"/>
          </w:tcPr>
          <w:p>
            <w:pPr>
              <w:pStyle w:val="TableText"/>
              <w:widowControl w:val="0"/>
              <w:spacing w:before="40" w:after="40"/>
              <w:ind w:left="144"/>
              <w:rPr>
                <w:rFonts w:ascii="Times New Roman" w:hAnsi="Times New Roman"/>
                <w:sz w:val="18"/>
                <w:szCs w:val="18"/>
              </w:rPr>
            </w:pPr>
          </w:p>
        </w:tc>
        <w:tc>
          <w:tcPr>
            <w:tcW w:w="540" w:type="dxa"/>
          </w:tcPr>
          <w:p>
            <w:pPr>
              <w:pStyle w:val="TableText"/>
              <w:tabs>
                <w:tab w:val="num" w:pos="73"/>
              </w:tabs>
              <w:spacing w:before="40" w:after="40"/>
              <w:rPr>
                <w:rFonts w:ascii="Times New Roman" w:hAnsi="Times New Roman"/>
                <w:sz w:val="18"/>
                <w:szCs w:val="18"/>
              </w:rPr>
            </w:pPr>
          </w:p>
        </w:tc>
        <w:tc>
          <w:tcPr>
            <w:tcW w:w="5580" w:type="dxa"/>
            <w:gridSpan w:val="2"/>
          </w:tcPr>
          <w:p>
            <w:pPr>
              <w:pStyle w:val="TableText"/>
              <w:numPr>
                <w:ilvl w:val="0"/>
                <w:numId w:val="13"/>
              </w:numPr>
              <w:tabs>
                <w:tab w:val="num" w:pos="523"/>
              </w:tabs>
              <w:spacing w:before="40" w:after="40"/>
              <w:ind w:left="523"/>
              <w:rPr>
                <w:rFonts w:ascii="Times New Roman" w:hAnsi="Times New Roman"/>
                <w:sz w:val="18"/>
                <w:szCs w:val="18"/>
              </w:rPr>
            </w:pPr>
            <w:r>
              <w:rPr>
                <w:rFonts w:ascii="Times New Roman" w:hAnsi="Times New Roman"/>
                <w:sz w:val="18"/>
                <w:szCs w:val="18"/>
              </w:rPr>
              <w:t xml:space="preserve">Request No. </w:t>
            </w:r>
            <w:hyperlink r:id="rId17" w:history="1">
              <w:r>
                <w:rPr>
                  <w:rStyle w:val="Hyperlink"/>
                  <w:rFonts w:ascii="Times New Roman" w:hAnsi="Times New Roman"/>
                  <w:sz w:val="18"/>
                  <w:szCs w:val="18"/>
                </w:rPr>
                <w:t>R05019</w:t>
              </w:r>
            </w:hyperlink>
          </w:p>
          <w:p>
            <w:pPr>
              <w:pStyle w:val="TableText"/>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Status:  Started</w:t>
            </w:r>
          </w:p>
        </w:tc>
        <w:tc>
          <w:tcPr>
            <w:tcW w:w="1170" w:type="dxa"/>
          </w:tcPr>
          <w:p>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3</w:t>
            </w:r>
            <w:r>
              <w:rPr>
                <w:rFonts w:ascii="Times New Roman" w:hAnsi="Times New Roman"/>
                <w:sz w:val="18"/>
                <w:szCs w:val="18"/>
                <w:vertAlign w:val="superscript"/>
              </w:rPr>
              <w:t>rd</w:t>
            </w:r>
            <w:r>
              <w:rPr>
                <w:rFonts w:ascii="Times New Roman" w:hAnsi="Times New Roman"/>
                <w:sz w:val="18"/>
                <w:szCs w:val="18"/>
              </w:rPr>
              <w:t xml:space="preserve"> Q, 2013</w:t>
            </w:r>
          </w:p>
        </w:tc>
        <w:tc>
          <w:tcPr>
            <w:tcW w:w="1620" w:type="dxa"/>
          </w:tcPr>
          <w:p>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trPr>
          <w:cantSplit/>
        </w:trPr>
        <w:tc>
          <w:tcPr>
            <w:tcW w:w="360" w:type="dxa"/>
          </w:tcPr>
          <w:p>
            <w:pPr>
              <w:pStyle w:val="TableText"/>
              <w:keepNext/>
              <w:spacing w:before="40" w:after="40"/>
              <w:ind w:left="144"/>
              <w:rPr>
                <w:rFonts w:ascii="Times New Roman" w:hAnsi="Times New Roman"/>
                <w:color w:val="auto"/>
                <w:sz w:val="18"/>
                <w:szCs w:val="18"/>
              </w:rPr>
            </w:pPr>
          </w:p>
        </w:tc>
        <w:tc>
          <w:tcPr>
            <w:tcW w:w="360" w:type="dxa"/>
          </w:tcPr>
          <w:p>
            <w:pPr>
              <w:pStyle w:val="TableText"/>
              <w:widowControl w:val="0"/>
              <w:spacing w:before="40" w:after="40"/>
              <w:ind w:left="144"/>
              <w:rPr>
                <w:rFonts w:ascii="Times New Roman" w:hAnsi="Times New Roman"/>
                <w:sz w:val="18"/>
                <w:szCs w:val="18"/>
              </w:rPr>
            </w:pPr>
          </w:p>
        </w:tc>
        <w:tc>
          <w:tcPr>
            <w:tcW w:w="540" w:type="dxa"/>
          </w:tcPr>
          <w:p>
            <w:pPr>
              <w:pStyle w:val="TableText"/>
              <w:tabs>
                <w:tab w:val="num" w:pos="73"/>
              </w:tabs>
              <w:spacing w:before="40" w:after="40"/>
              <w:ind w:left="144"/>
              <w:rPr>
                <w:rFonts w:ascii="Times New Roman" w:hAnsi="Times New Roman"/>
                <w:sz w:val="18"/>
                <w:szCs w:val="18"/>
              </w:rPr>
            </w:pPr>
            <w:r>
              <w:rPr>
                <w:rFonts w:ascii="Times New Roman" w:hAnsi="Times New Roman"/>
                <w:sz w:val="18"/>
                <w:szCs w:val="18"/>
              </w:rPr>
              <w:t>ii)</w:t>
            </w:r>
          </w:p>
        </w:tc>
        <w:tc>
          <w:tcPr>
            <w:tcW w:w="8370" w:type="dxa"/>
            <w:gridSpan w:val="4"/>
          </w:tcPr>
          <w:p>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Group 6:  Miscellaneous (Paragraph 1627</w:t>
            </w:r>
            <w:r>
              <w:rPr>
                <w:rStyle w:val="FootnoteReference"/>
                <w:rFonts w:ascii="Times New Roman" w:hAnsi="Times New Roman"/>
                <w:sz w:val="18"/>
                <w:szCs w:val="18"/>
              </w:rPr>
              <w:footnoteReference w:id="4"/>
            </w:r>
            <w:r>
              <w:rPr>
                <w:rFonts w:ascii="Times New Roman" w:hAnsi="Times New Roman"/>
                <w:sz w:val="18"/>
                <w:szCs w:val="18"/>
              </w:rPr>
              <w:t xml:space="preserve"> of FERC Order No. 890)</w:t>
            </w:r>
          </w:p>
        </w:tc>
      </w:tr>
      <w:tr>
        <w:trPr>
          <w:cantSplit/>
        </w:trPr>
        <w:tc>
          <w:tcPr>
            <w:tcW w:w="360" w:type="dxa"/>
          </w:tcPr>
          <w:p>
            <w:pPr>
              <w:pStyle w:val="TableText"/>
              <w:spacing w:before="40" w:after="40"/>
              <w:ind w:left="144"/>
              <w:rPr>
                <w:rFonts w:ascii="Times New Roman" w:hAnsi="Times New Roman"/>
                <w:color w:val="auto"/>
                <w:sz w:val="18"/>
                <w:szCs w:val="18"/>
              </w:rPr>
            </w:pPr>
          </w:p>
        </w:tc>
        <w:tc>
          <w:tcPr>
            <w:tcW w:w="360" w:type="dxa"/>
          </w:tcPr>
          <w:p>
            <w:pPr>
              <w:pStyle w:val="TableText"/>
              <w:widowControl w:val="0"/>
              <w:spacing w:before="40" w:after="40"/>
              <w:ind w:left="144"/>
              <w:rPr>
                <w:rFonts w:ascii="Times New Roman" w:hAnsi="Times New Roman"/>
                <w:sz w:val="18"/>
                <w:szCs w:val="18"/>
              </w:rPr>
            </w:pPr>
          </w:p>
        </w:tc>
        <w:tc>
          <w:tcPr>
            <w:tcW w:w="540" w:type="dxa"/>
          </w:tcPr>
          <w:p>
            <w:pPr>
              <w:pStyle w:val="TableText"/>
              <w:tabs>
                <w:tab w:val="num" w:pos="73"/>
              </w:tabs>
              <w:spacing w:before="40" w:after="40"/>
              <w:ind w:left="144"/>
              <w:rPr>
                <w:rFonts w:ascii="Times New Roman" w:hAnsi="Times New Roman"/>
                <w:sz w:val="18"/>
                <w:szCs w:val="18"/>
              </w:rPr>
            </w:pPr>
          </w:p>
        </w:tc>
        <w:tc>
          <w:tcPr>
            <w:tcW w:w="5580" w:type="dxa"/>
            <w:gridSpan w:val="2"/>
          </w:tcPr>
          <w:p>
            <w:pPr>
              <w:pStyle w:val="TableText"/>
              <w:numPr>
                <w:ilvl w:val="0"/>
                <w:numId w:val="25"/>
              </w:numPr>
              <w:tabs>
                <w:tab w:val="clear" w:pos="864"/>
                <w:tab w:val="num" w:pos="523"/>
              </w:tabs>
              <w:spacing w:before="40" w:after="40"/>
              <w:ind w:left="523"/>
              <w:rPr>
                <w:rFonts w:ascii="Times New Roman" w:hAnsi="Times New Roman"/>
                <w:sz w:val="18"/>
                <w:szCs w:val="18"/>
              </w:rPr>
            </w:pPr>
            <w:r>
              <w:rPr>
                <w:rFonts w:ascii="Times New Roman" w:hAnsi="Times New Roman"/>
                <w:sz w:val="18"/>
                <w:szCs w:val="18"/>
              </w:rPr>
              <w:t>Paragraphs 1627 of Order 890 – Posting of additional information on OASIS regarding firm transmission curtailments</w:t>
            </w:r>
          </w:p>
          <w:p>
            <w:pPr>
              <w:pStyle w:val="TableText"/>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Status:  Not Started</w:t>
            </w:r>
          </w:p>
        </w:tc>
        <w:tc>
          <w:tcPr>
            <w:tcW w:w="1170" w:type="dxa"/>
          </w:tcPr>
          <w:p>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TBD (follows the completion of AP 1(a))</w:t>
            </w:r>
          </w:p>
        </w:tc>
        <w:tc>
          <w:tcPr>
            <w:tcW w:w="1620" w:type="dxa"/>
          </w:tcPr>
          <w:p>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trPr>
          <w:cantSplit/>
        </w:trPr>
        <w:tc>
          <w:tcPr>
            <w:tcW w:w="360" w:type="dxa"/>
          </w:tcPr>
          <w:p>
            <w:pPr>
              <w:pStyle w:val="TableText"/>
              <w:spacing w:before="40" w:after="40"/>
              <w:ind w:left="144"/>
              <w:rPr>
                <w:rFonts w:ascii="Times New Roman" w:hAnsi="Times New Roman"/>
                <w:color w:val="auto"/>
                <w:sz w:val="18"/>
                <w:szCs w:val="18"/>
              </w:rPr>
            </w:pPr>
          </w:p>
        </w:tc>
        <w:tc>
          <w:tcPr>
            <w:tcW w:w="360" w:type="dxa"/>
          </w:tcPr>
          <w:p>
            <w:pPr>
              <w:pStyle w:val="TableText"/>
              <w:widowControl w:val="0"/>
              <w:spacing w:before="40" w:after="40"/>
              <w:ind w:left="144"/>
              <w:rPr>
                <w:rFonts w:ascii="Times New Roman" w:hAnsi="Times New Roman"/>
                <w:sz w:val="18"/>
                <w:szCs w:val="18"/>
              </w:rPr>
            </w:pPr>
          </w:p>
        </w:tc>
        <w:tc>
          <w:tcPr>
            <w:tcW w:w="540" w:type="dxa"/>
          </w:tcPr>
          <w:p>
            <w:pPr>
              <w:pStyle w:val="TableText"/>
              <w:tabs>
                <w:tab w:val="num" w:pos="73"/>
              </w:tabs>
              <w:spacing w:before="40" w:after="40"/>
              <w:ind w:left="144"/>
              <w:rPr>
                <w:rFonts w:ascii="Times New Roman" w:hAnsi="Times New Roman"/>
                <w:sz w:val="18"/>
                <w:szCs w:val="18"/>
              </w:rPr>
            </w:pPr>
          </w:p>
        </w:tc>
        <w:tc>
          <w:tcPr>
            <w:tcW w:w="5580" w:type="dxa"/>
            <w:gridSpan w:val="2"/>
          </w:tcPr>
          <w:p>
            <w:pPr>
              <w:pStyle w:val="TableText"/>
              <w:numPr>
                <w:ilvl w:val="0"/>
                <w:numId w:val="25"/>
              </w:numPr>
              <w:tabs>
                <w:tab w:val="clear" w:pos="864"/>
                <w:tab w:val="num" w:pos="523"/>
              </w:tabs>
              <w:spacing w:before="40" w:after="40"/>
              <w:ind w:left="523"/>
              <w:rPr>
                <w:rFonts w:ascii="Times New Roman" w:hAnsi="Times New Roman"/>
                <w:sz w:val="18"/>
                <w:szCs w:val="18"/>
              </w:rPr>
            </w:pPr>
            <w:proofErr w:type="spellStart"/>
            <w:r>
              <w:rPr>
                <w:rFonts w:ascii="Times New Roman" w:hAnsi="Times New Roman"/>
                <w:sz w:val="18"/>
                <w:szCs w:val="18"/>
              </w:rPr>
              <w:t>Redispatch</w:t>
            </w:r>
            <w:proofErr w:type="spellEnd"/>
            <w:r>
              <w:rPr>
                <w:rFonts w:ascii="Times New Roman" w:hAnsi="Times New Roman"/>
                <w:sz w:val="18"/>
                <w:szCs w:val="18"/>
              </w:rPr>
              <w:t xml:space="preserve"> Cost Posting to allow for posting of third party offers of planning </w:t>
            </w:r>
            <w:proofErr w:type="spellStart"/>
            <w:r>
              <w:rPr>
                <w:rFonts w:ascii="Times New Roman" w:hAnsi="Times New Roman"/>
                <w:sz w:val="18"/>
                <w:szCs w:val="18"/>
              </w:rPr>
              <w:t>redispatch</w:t>
            </w:r>
            <w:proofErr w:type="spellEnd"/>
            <w:r>
              <w:rPr>
                <w:rFonts w:ascii="Times New Roman" w:hAnsi="Times New Roman"/>
                <w:sz w:val="18"/>
                <w:szCs w:val="18"/>
              </w:rPr>
              <w:t xml:space="preserve"> services.</w:t>
            </w:r>
          </w:p>
          <w:p>
            <w:pPr>
              <w:pStyle w:val="TableText"/>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Status:  Not Started</w:t>
            </w:r>
          </w:p>
        </w:tc>
        <w:tc>
          <w:tcPr>
            <w:tcW w:w="1170" w:type="dxa"/>
          </w:tcPr>
          <w:p>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TBD (follows the completion of AP 1(a))</w:t>
            </w:r>
          </w:p>
        </w:tc>
        <w:tc>
          <w:tcPr>
            <w:tcW w:w="1620" w:type="dxa"/>
          </w:tcPr>
          <w:p>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trPr>
          <w:cantSplit/>
        </w:trPr>
        <w:tc>
          <w:tcPr>
            <w:tcW w:w="360" w:type="dxa"/>
          </w:tcPr>
          <w:p>
            <w:pPr>
              <w:pStyle w:val="TableText"/>
              <w:keepNext/>
              <w:spacing w:before="40" w:after="40"/>
              <w:ind w:left="144"/>
              <w:rPr>
                <w:rFonts w:ascii="Times New Roman" w:hAnsi="Times New Roman"/>
                <w:b/>
                <w:color w:val="auto"/>
                <w:sz w:val="18"/>
                <w:szCs w:val="18"/>
              </w:rPr>
            </w:pPr>
            <w:r>
              <w:rPr>
                <w:rFonts w:ascii="Times New Roman" w:hAnsi="Times New Roman"/>
                <w:b/>
                <w:color w:val="auto"/>
                <w:sz w:val="18"/>
                <w:szCs w:val="18"/>
              </w:rPr>
              <w:t>3</w:t>
            </w:r>
          </w:p>
        </w:tc>
        <w:tc>
          <w:tcPr>
            <w:tcW w:w="9270" w:type="dxa"/>
            <w:gridSpan w:val="6"/>
          </w:tcPr>
          <w:p>
            <w:pPr>
              <w:pStyle w:val="TableText"/>
              <w:widowControl w:val="0"/>
              <w:spacing w:before="40" w:after="40"/>
              <w:ind w:left="144"/>
              <w:rPr>
                <w:rFonts w:ascii="Times New Roman" w:hAnsi="Times New Roman"/>
                <w:b/>
                <w:color w:val="auto"/>
                <w:sz w:val="18"/>
                <w:szCs w:val="18"/>
              </w:rPr>
            </w:pPr>
            <w:r>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trPr>
          <w:cantSplit/>
        </w:trPr>
        <w:tc>
          <w:tcPr>
            <w:tcW w:w="360" w:type="dxa"/>
          </w:tcPr>
          <w:p>
            <w:pPr>
              <w:pStyle w:val="TableText"/>
              <w:spacing w:before="40" w:after="40"/>
              <w:ind w:left="144"/>
              <w:rPr>
                <w:rFonts w:ascii="Times New Roman" w:hAnsi="Times New Roman"/>
                <w:color w:val="auto"/>
                <w:sz w:val="18"/>
                <w:szCs w:val="18"/>
              </w:rPr>
            </w:pPr>
          </w:p>
        </w:tc>
        <w:tc>
          <w:tcPr>
            <w:tcW w:w="360" w:type="dxa"/>
          </w:tcPr>
          <w:p>
            <w:pPr>
              <w:spacing w:before="40" w:after="40"/>
              <w:ind w:left="144"/>
              <w:rPr>
                <w:sz w:val="18"/>
                <w:szCs w:val="18"/>
              </w:rPr>
            </w:pPr>
            <w:r>
              <w:rPr>
                <w:sz w:val="18"/>
                <w:szCs w:val="18"/>
              </w:rPr>
              <w:t>a)</w:t>
            </w:r>
          </w:p>
        </w:tc>
        <w:tc>
          <w:tcPr>
            <w:tcW w:w="8910" w:type="dxa"/>
            <w:gridSpan w:val="5"/>
          </w:tcPr>
          <w:p>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Develop and/or maintain business practice standards as needed for OASIS and electronic scheduling. Specific items to address include:</w:t>
            </w:r>
          </w:p>
        </w:tc>
      </w:tr>
      <w:tr>
        <w:trPr>
          <w:cantSplit/>
        </w:trPr>
        <w:tc>
          <w:tcPr>
            <w:tcW w:w="360" w:type="dxa"/>
          </w:tcPr>
          <w:p>
            <w:pPr>
              <w:pStyle w:val="TableText"/>
              <w:spacing w:before="40" w:after="40"/>
              <w:ind w:left="144"/>
              <w:rPr>
                <w:rFonts w:ascii="Times New Roman" w:hAnsi="Times New Roman"/>
                <w:color w:val="auto"/>
                <w:sz w:val="18"/>
                <w:szCs w:val="18"/>
              </w:rPr>
            </w:pPr>
          </w:p>
        </w:tc>
        <w:tc>
          <w:tcPr>
            <w:tcW w:w="360" w:type="dxa"/>
          </w:tcPr>
          <w:p>
            <w:pPr>
              <w:spacing w:before="40" w:after="40"/>
              <w:ind w:left="144"/>
              <w:rPr>
                <w:sz w:val="18"/>
                <w:szCs w:val="18"/>
              </w:rPr>
            </w:pPr>
          </w:p>
        </w:tc>
        <w:tc>
          <w:tcPr>
            <w:tcW w:w="540" w:type="dxa"/>
          </w:tcPr>
          <w:p>
            <w:pPr>
              <w:spacing w:before="40" w:after="40"/>
              <w:ind w:left="144"/>
              <w:rPr>
                <w:sz w:val="18"/>
                <w:szCs w:val="18"/>
              </w:rPr>
            </w:pPr>
            <w:r>
              <w:rPr>
                <w:sz w:val="18"/>
                <w:szCs w:val="18"/>
              </w:rPr>
              <w:t>i)</w:t>
            </w:r>
          </w:p>
        </w:tc>
        <w:tc>
          <w:tcPr>
            <w:tcW w:w="8370" w:type="dxa"/>
            <w:gridSpan w:val="4"/>
          </w:tcPr>
          <w:p>
            <w:pPr>
              <w:spacing w:before="40" w:after="40"/>
              <w:ind w:left="144"/>
              <w:rPr>
                <w:sz w:val="18"/>
                <w:szCs w:val="18"/>
              </w:rPr>
            </w:pPr>
            <w:r>
              <w:rPr>
                <w:sz w:val="18"/>
                <w:szCs w:val="18"/>
              </w:rPr>
              <w:t>Make remaining incremental enhancements to OASIS as an outgrowth of the NAESB March 29, 2005 conference on the future of OASIS (</w:t>
            </w:r>
            <w:hyperlink r:id="rId18" w:history="1">
              <w:r>
                <w:rPr>
                  <w:rStyle w:val="Hyperlink"/>
                  <w:sz w:val="18"/>
                  <w:szCs w:val="18"/>
                </w:rPr>
                <w:t>R05026</w:t>
              </w:r>
            </w:hyperlink>
            <w:r>
              <w:rPr>
                <w:sz w:val="18"/>
                <w:szCs w:val="18"/>
              </w:rPr>
              <w:t xml:space="preserve">).   </w:t>
            </w:r>
          </w:p>
          <w:p>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 xml:space="preserve">Scoping </w:t>
            </w:r>
            <w:hyperlink r:id="rId19" w:history="1">
              <w:r>
                <w:rPr>
                  <w:rStyle w:val="Hyperlink"/>
                  <w:rFonts w:ascii="Times New Roman" w:hAnsi="Times New Roman"/>
                  <w:sz w:val="18"/>
                  <w:szCs w:val="18"/>
                </w:rPr>
                <w:t>statement</w:t>
              </w:r>
            </w:hyperlink>
            <w:r>
              <w:rPr>
                <w:rFonts w:ascii="Times New Roman" w:hAnsi="Times New Roman"/>
                <w:sz w:val="18"/>
                <w:szCs w:val="18"/>
              </w:rPr>
              <w:t xml:space="preserve"> completed by SRS. There were a number of assignments from the Standards Request.  The outstanding items are included below:  </w:t>
            </w:r>
          </w:p>
        </w:tc>
      </w:tr>
      <w:tr>
        <w:trPr>
          <w:cantSplit/>
        </w:trPr>
        <w:tc>
          <w:tcPr>
            <w:tcW w:w="360" w:type="dxa"/>
          </w:tcPr>
          <w:p>
            <w:pPr>
              <w:pStyle w:val="TableText"/>
              <w:spacing w:before="40" w:after="40"/>
              <w:ind w:left="144"/>
              <w:rPr>
                <w:rFonts w:ascii="Times New Roman" w:hAnsi="Times New Roman"/>
                <w:color w:val="auto"/>
                <w:sz w:val="18"/>
                <w:szCs w:val="18"/>
              </w:rPr>
            </w:pPr>
          </w:p>
        </w:tc>
        <w:tc>
          <w:tcPr>
            <w:tcW w:w="360" w:type="dxa"/>
          </w:tcPr>
          <w:p>
            <w:pPr>
              <w:spacing w:before="40" w:after="40"/>
              <w:ind w:left="144"/>
              <w:rPr>
                <w:sz w:val="18"/>
                <w:szCs w:val="18"/>
              </w:rPr>
            </w:pPr>
          </w:p>
        </w:tc>
        <w:tc>
          <w:tcPr>
            <w:tcW w:w="540" w:type="dxa"/>
          </w:tcPr>
          <w:p>
            <w:pPr>
              <w:spacing w:before="40" w:after="40"/>
              <w:ind w:left="144"/>
              <w:rPr>
                <w:sz w:val="18"/>
                <w:szCs w:val="18"/>
              </w:rPr>
            </w:pPr>
          </w:p>
        </w:tc>
        <w:tc>
          <w:tcPr>
            <w:tcW w:w="540" w:type="dxa"/>
          </w:tcPr>
          <w:p>
            <w:pPr>
              <w:spacing w:before="40" w:after="40"/>
              <w:ind w:left="144"/>
              <w:rPr>
                <w:sz w:val="18"/>
                <w:szCs w:val="18"/>
              </w:rPr>
            </w:pPr>
            <w:r>
              <w:rPr>
                <w:sz w:val="18"/>
                <w:szCs w:val="18"/>
              </w:rPr>
              <w:t>1)</w:t>
            </w:r>
          </w:p>
        </w:tc>
        <w:tc>
          <w:tcPr>
            <w:tcW w:w="5040" w:type="dxa"/>
          </w:tcPr>
          <w:p>
            <w:pPr>
              <w:spacing w:before="40" w:after="40"/>
              <w:ind w:left="144"/>
              <w:rPr>
                <w:sz w:val="18"/>
                <w:szCs w:val="18"/>
              </w:rPr>
            </w:pPr>
            <w:r>
              <w:rPr>
                <w:sz w:val="18"/>
                <w:szCs w:val="18"/>
              </w:rPr>
              <w:t>Eliminate Masking of TSR tag source and sink when requested status is denied, withdrawn refused, displaced, invalid, declined, annulled or retracted</w:t>
            </w:r>
          </w:p>
          <w:p>
            <w:pPr>
              <w:spacing w:before="40" w:after="40"/>
              <w:ind w:left="144"/>
              <w:rPr>
                <w:sz w:val="18"/>
                <w:szCs w:val="18"/>
              </w:rPr>
            </w:pPr>
            <w:r>
              <w:rPr>
                <w:sz w:val="18"/>
                <w:szCs w:val="18"/>
              </w:rPr>
              <w:t>Status:  Not Started</w:t>
            </w:r>
          </w:p>
        </w:tc>
        <w:tc>
          <w:tcPr>
            <w:tcW w:w="1170" w:type="dxa"/>
          </w:tcPr>
          <w:p>
            <w:pPr>
              <w:spacing w:before="40" w:after="40"/>
              <w:jc w:val="center"/>
              <w:rPr>
                <w:sz w:val="18"/>
                <w:szCs w:val="18"/>
              </w:rPr>
            </w:pPr>
            <w:r>
              <w:rPr>
                <w:sz w:val="18"/>
                <w:szCs w:val="18"/>
              </w:rPr>
              <w:t>2013</w:t>
            </w:r>
          </w:p>
        </w:tc>
        <w:tc>
          <w:tcPr>
            <w:tcW w:w="1620" w:type="dxa"/>
          </w:tcPr>
          <w:p>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trPr>
          <w:cantSplit/>
        </w:trPr>
        <w:tc>
          <w:tcPr>
            <w:tcW w:w="360" w:type="dxa"/>
          </w:tcPr>
          <w:p>
            <w:pPr>
              <w:pStyle w:val="TableText"/>
              <w:spacing w:before="40" w:after="40"/>
              <w:ind w:left="144"/>
              <w:rPr>
                <w:rFonts w:ascii="Times New Roman" w:hAnsi="Times New Roman"/>
                <w:color w:val="auto"/>
                <w:sz w:val="18"/>
                <w:szCs w:val="18"/>
              </w:rPr>
            </w:pPr>
          </w:p>
        </w:tc>
        <w:tc>
          <w:tcPr>
            <w:tcW w:w="360" w:type="dxa"/>
          </w:tcPr>
          <w:p>
            <w:pPr>
              <w:spacing w:before="40" w:after="40"/>
              <w:ind w:left="144"/>
              <w:rPr>
                <w:sz w:val="18"/>
                <w:szCs w:val="18"/>
              </w:rPr>
            </w:pPr>
          </w:p>
        </w:tc>
        <w:tc>
          <w:tcPr>
            <w:tcW w:w="540" w:type="dxa"/>
          </w:tcPr>
          <w:p>
            <w:pPr>
              <w:spacing w:before="40" w:after="40"/>
              <w:ind w:left="144"/>
              <w:rPr>
                <w:sz w:val="18"/>
                <w:szCs w:val="18"/>
              </w:rPr>
            </w:pPr>
          </w:p>
        </w:tc>
        <w:tc>
          <w:tcPr>
            <w:tcW w:w="540" w:type="dxa"/>
          </w:tcPr>
          <w:p>
            <w:pPr>
              <w:spacing w:before="40" w:after="40"/>
              <w:ind w:left="144"/>
              <w:rPr>
                <w:sz w:val="18"/>
                <w:szCs w:val="18"/>
              </w:rPr>
            </w:pPr>
            <w:r>
              <w:rPr>
                <w:sz w:val="18"/>
                <w:szCs w:val="18"/>
              </w:rPr>
              <w:t>2)</w:t>
            </w:r>
          </w:p>
        </w:tc>
        <w:tc>
          <w:tcPr>
            <w:tcW w:w="5040" w:type="dxa"/>
          </w:tcPr>
          <w:p>
            <w:pPr>
              <w:spacing w:before="40" w:after="40"/>
              <w:ind w:left="144"/>
              <w:rPr>
                <w:sz w:val="18"/>
                <w:szCs w:val="18"/>
              </w:rPr>
            </w:pPr>
            <w:r>
              <w:rPr>
                <w:sz w:val="18"/>
                <w:szCs w:val="18"/>
              </w:rPr>
              <w:t>Initiate standard that eliminates the disparity of posting “sensitive” information.  This standard should also include procedures of user certification that allows access to this class of information.</w:t>
            </w:r>
          </w:p>
          <w:p>
            <w:pPr>
              <w:spacing w:before="40" w:after="40"/>
              <w:ind w:left="144"/>
              <w:rPr>
                <w:sz w:val="18"/>
                <w:szCs w:val="18"/>
              </w:rPr>
            </w:pPr>
            <w:r>
              <w:rPr>
                <w:sz w:val="18"/>
                <w:szCs w:val="18"/>
              </w:rPr>
              <w:t>Status: Underway  (upon further development of this item by NAESB, a completion date will be determined)</w:t>
            </w:r>
          </w:p>
        </w:tc>
        <w:tc>
          <w:tcPr>
            <w:tcW w:w="1170" w:type="dxa"/>
          </w:tcPr>
          <w:p>
            <w:pPr>
              <w:spacing w:before="40" w:after="40"/>
              <w:jc w:val="center"/>
              <w:rPr>
                <w:sz w:val="18"/>
                <w:szCs w:val="18"/>
              </w:rPr>
            </w:pPr>
            <w:r>
              <w:rPr>
                <w:sz w:val="18"/>
                <w:szCs w:val="18"/>
              </w:rPr>
              <w:t>2013</w:t>
            </w:r>
          </w:p>
        </w:tc>
        <w:tc>
          <w:tcPr>
            <w:tcW w:w="1620" w:type="dxa"/>
          </w:tcPr>
          <w:p>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trPr>
          <w:cantSplit/>
        </w:trPr>
        <w:tc>
          <w:tcPr>
            <w:tcW w:w="360" w:type="dxa"/>
          </w:tcPr>
          <w:p>
            <w:pPr>
              <w:pStyle w:val="TableText"/>
              <w:spacing w:before="40" w:after="40"/>
              <w:ind w:left="144"/>
              <w:rPr>
                <w:rFonts w:ascii="Times New Roman" w:hAnsi="Times New Roman"/>
                <w:color w:val="auto"/>
                <w:sz w:val="18"/>
                <w:szCs w:val="18"/>
              </w:rPr>
            </w:pPr>
          </w:p>
        </w:tc>
        <w:tc>
          <w:tcPr>
            <w:tcW w:w="360" w:type="dxa"/>
          </w:tcPr>
          <w:p>
            <w:pPr>
              <w:spacing w:before="40" w:after="40"/>
              <w:ind w:left="144"/>
              <w:rPr>
                <w:sz w:val="18"/>
                <w:szCs w:val="18"/>
              </w:rPr>
            </w:pPr>
          </w:p>
        </w:tc>
        <w:tc>
          <w:tcPr>
            <w:tcW w:w="540" w:type="dxa"/>
          </w:tcPr>
          <w:p>
            <w:pPr>
              <w:spacing w:before="40" w:after="40"/>
              <w:ind w:left="144"/>
              <w:rPr>
                <w:sz w:val="18"/>
                <w:szCs w:val="18"/>
              </w:rPr>
            </w:pPr>
          </w:p>
        </w:tc>
        <w:tc>
          <w:tcPr>
            <w:tcW w:w="540" w:type="dxa"/>
          </w:tcPr>
          <w:p>
            <w:pPr>
              <w:spacing w:before="40" w:after="40"/>
              <w:ind w:left="144"/>
              <w:rPr>
                <w:sz w:val="18"/>
                <w:szCs w:val="18"/>
              </w:rPr>
            </w:pPr>
            <w:r>
              <w:rPr>
                <w:sz w:val="18"/>
                <w:szCs w:val="18"/>
              </w:rPr>
              <w:t>3)</w:t>
            </w:r>
          </w:p>
        </w:tc>
        <w:tc>
          <w:tcPr>
            <w:tcW w:w="5040" w:type="dxa"/>
          </w:tcPr>
          <w:p>
            <w:pPr>
              <w:spacing w:before="40" w:after="40"/>
              <w:ind w:left="144"/>
              <w:rPr>
                <w:sz w:val="18"/>
                <w:szCs w:val="18"/>
              </w:rPr>
            </w:pPr>
            <w:r>
              <w:rPr>
                <w:sz w:val="18"/>
                <w:szCs w:val="18"/>
              </w:rPr>
              <w:t>Enhance the TSR result postings to allow showing of (i) limiting transmission elements and (ii) available generation dispatch options that would allow acceptance of reservation request.</w:t>
            </w:r>
          </w:p>
          <w:p>
            <w:pPr>
              <w:spacing w:before="40" w:after="40"/>
              <w:ind w:left="144"/>
              <w:rPr>
                <w:sz w:val="18"/>
                <w:szCs w:val="18"/>
              </w:rPr>
            </w:pPr>
            <w:r>
              <w:rPr>
                <w:sz w:val="18"/>
                <w:szCs w:val="18"/>
              </w:rPr>
              <w:t>Status:  Not Started  (upon initiation of this item by NAESB, a completion date will be determined)</w:t>
            </w:r>
          </w:p>
        </w:tc>
        <w:tc>
          <w:tcPr>
            <w:tcW w:w="1170" w:type="dxa"/>
          </w:tcPr>
          <w:p>
            <w:pPr>
              <w:spacing w:before="40" w:after="40"/>
              <w:jc w:val="center"/>
              <w:rPr>
                <w:sz w:val="18"/>
                <w:szCs w:val="18"/>
              </w:rPr>
            </w:pPr>
            <w:r>
              <w:rPr>
                <w:sz w:val="18"/>
                <w:szCs w:val="18"/>
              </w:rPr>
              <w:t xml:space="preserve">2013 </w:t>
            </w:r>
          </w:p>
        </w:tc>
        <w:tc>
          <w:tcPr>
            <w:tcW w:w="1620" w:type="dxa"/>
          </w:tcPr>
          <w:p>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trPr>
          <w:cantSplit/>
        </w:trPr>
        <w:tc>
          <w:tcPr>
            <w:tcW w:w="360" w:type="dxa"/>
          </w:tcPr>
          <w:p>
            <w:pPr>
              <w:pStyle w:val="TableText"/>
              <w:spacing w:before="40" w:after="40"/>
              <w:ind w:left="144"/>
              <w:rPr>
                <w:rFonts w:ascii="Times New Roman" w:hAnsi="Times New Roman"/>
                <w:color w:val="auto"/>
                <w:sz w:val="18"/>
                <w:szCs w:val="18"/>
              </w:rPr>
            </w:pPr>
          </w:p>
        </w:tc>
        <w:tc>
          <w:tcPr>
            <w:tcW w:w="360" w:type="dxa"/>
          </w:tcPr>
          <w:p>
            <w:pPr>
              <w:spacing w:before="40" w:after="40"/>
              <w:ind w:left="144"/>
              <w:rPr>
                <w:sz w:val="18"/>
                <w:szCs w:val="18"/>
              </w:rPr>
            </w:pPr>
          </w:p>
        </w:tc>
        <w:tc>
          <w:tcPr>
            <w:tcW w:w="540" w:type="dxa"/>
          </w:tcPr>
          <w:p>
            <w:pPr>
              <w:spacing w:before="40" w:after="40"/>
              <w:ind w:left="144"/>
              <w:rPr>
                <w:sz w:val="18"/>
                <w:szCs w:val="18"/>
              </w:rPr>
            </w:pPr>
            <w:r>
              <w:rPr>
                <w:sz w:val="18"/>
                <w:szCs w:val="18"/>
              </w:rPr>
              <w:t>ii)</w:t>
            </w:r>
          </w:p>
        </w:tc>
        <w:tc>
          <w:tcPr>
            <w:tcW w:w="5580" w:type="dxa"/>
            <w:gridSpan w:val="2"/>
          </w:tcPr>
          <w:p>
            <w:pPr>
              <w:spacing w:before="40" w:after="40"/>
              <w:ind w:left="144"/>
              <w:rPr>
                <w:sz w:val="18"/>
                <w:szCs w:val="18"/>
              </w:rPr>
            </w:pPr>
            <w:r>
              <w:rPr>
                <w:sz w:val="18"/>
                <w:szCs w:val="18"/>
              </w:rPr>
              <w:t xml:space="preserve">Review and correct WEQ-004 Coordinate Interchange Business Practice Standard as needed based on activities in NERC </w:t>
            </w:r>
            <w:hyperlink r:id="rId20" w:history="1">
              <w:r>
                <w:rPr>
                  <w:rStyle w:val="Hyperlink"/>
                  <w:sz w:val="18"/>
                  <w:szCs w:val="18"/>
                </w:rPr>
                <w:t>Project 2008-12, Coordinate Interchange Standards Revisions</w:t>
              </w:r>
            </w:hyperlink>
            <w:r>
              <w:rPr>
                <w:sz w:val="18"/>
                <w:szCs w:val="18"/>
              </w:rPr>
              <w:t xml:space="preserve"> and supporting EOP-002-2 R4 and R6.</w:t>
            </w:r>
            <w:r>
              <w:rPr>
                <w:rStyle w:val="FootnoteReference"/>
                <w:sz w:val="18"/>
                <w:szCs w:val="18"/>
              </w:rPr>
              <w:footnoteReference w:id="5"/>
            </w:r>
            <w:r>
              <w:rPr>
                <w:sz w:val="18"/>
                <w:szCs w:val="18"/>
              </w:rPr>
              <w:t xml:space="preserve">  </w:t>
            </w:r>
          </w:p>
          <w:p>
            <w:pPr>
              <w:spacing w:before="40" w:after="40"/>
              <w:ind w:left="144"/>
              <w:rPr>
                <w:sz w:val="18"/>
                <w:szCs w:val="18"/>
              </w:rPr>
            </w:pPr>
            <w:r>
              <w:rPr>
                <w:sz w:val="18"/>
                <w:szCs w:val="18"/>
              </w:rPr>
              <w:t>Status: Underway.  Completion date dependent upon coordination activities with NERC, and Project 2008-12 is delayed by NERC due to other higher priority development.  It is expected that NERC will begin its effort in 2</w:t>
            </w:r>
            <w:r>
              <w:rPr>
                <w:sz w:val="18"/>
                <w:szCs w:val="18"/>
                <w:vertAlign w:val="superscript"/>
              </w:rPr>
              <w:t>nd</w:t>
            </w:r>
            <w:r>
              <w:rPr>
                <w:sz w:val="18"/>
                <w:szCs w:val="18"/>
              </w:rPr>
              <w:t xml:space="preserve"> Q 2013.</w:t>
            </w:r>
          </w:p>
        </w:tc>
        <w:tc>
          <w:tcPr>
            <w:tcW w:w="1170" w:type="dxa"/>
          </w:tcPr>
          <w:p>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2014</w:t>
            </w:r>
          </w:p>
        </w:tc>
        <w:tc>
          <w:tcPr>
            <w:tcW w:w="1620" w:type="dxa"/>
          </w:tcPr>
          <w:p>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JESS</w:t>
            </w:r>
          </w:p>
        </w:tc>
      </w:tr>
      <w:tr>
        <w:trPr>
          <w:cantSplit/>
        </w:trPr>
        <w:tc>
          <w:tcPr>
            <w:tcW w:w="360" w:type="dxa"/>
          </w:tcPr>
          <w:p>
            <w:pPr>
              <w:pStyle w:val="TableText"/>
              <w:spacing w:before="40" w:after="40"/>
              <w:ind w:left="144"/>
              <w:rPr>
                <w:rFonts w:ascii="Times New Roman" w:hAnsi="Times New Roman"/>
                <w:color w:val="auto"/>
                <w:sz w:val="18"/>
                <w:szCs w:val="18"/>
              </w:rPr>
            </w:pPr>
          </w:p>
        </w:tc>
        <w:tc>
          <w:tcPr>
            <w:tcW w:w="360" w:type="dxa"/>
          </w:tcPr>
          <w:p>
            <w:pPr>
              <w:spacing w:before="40" w:after="40"/>
              <w:ind w:left="144"/>
              <w:rPr>
                <w:sz w:val="18"/>
                <w:szCs w:val="18"/>
              </w:rPr>
            </w:pPr>
            <w:r>
              <w:rPr>
                <w:sz w:val="18"/>
                <w:szCs w:val="18"/>
              </w:rPr>
              <w:t>b)</w:t>
            </w:r>
          </w:p>
        </w:tc>
        <w:tc>
          <w:tcPr>
            <w:tcW w:w="6120" w:type="dxa"/>
            <w:gridSpan w:val="3"/>
          </w:tcPr>
          <w:p>
            <w:pPr>
              <w:spacing w:before="40" w:after="40"/>
              <w:ind w:left="144"/>
              <w:rPr>
                <w:sz w:val="18"/>
                <w:szCs w:val="18"/>
              </w:rPr>
            </w:pPr>
            <w:r>
              <w:rPr>
                <w:sz w:val="18"/>
                <w:szCs w:val="18"/>
              </w:rPr>
              <w:t>Review e-Tag specifications and make modifications as needed for:</w:t>
            </w:r>
          </w:p>
        </w:tc>
        <w:tc>
          <w:tcPr>
            <w:tcW w:w="1170" w:type="dxa"/>
          </w:tcPr>
          <w:p>
            <w:pPr>
              <w:pStyle w:val="TableText"/>
              <w:widowControl w:val="0"/>
              <w:spacing w:before="40" w:after="40"/>
              <w:ind w:left="144"/>
              <w:jc w:val="center"/>
              <w:rPr>
                <w:rFonts w:ascii="Times New Roman" w:hAnsi="Times New Roman"/>
                <w:color w:val="auto"/>
                <w:sz w:val="18"/>
                <w:szCs w:val="18"/>
              </w:rPr>
            </w:pPr>
          </w:p>
        </w:tc>
        <w:tc>
          <w:tcPr>
            <w:tcW w:w="1620" w:type="dxa"/>
          </w:tcPr>
          <w:p>
            <w:pPr>
              <w:pStyle w:val="TableText"/>
              <w:widowControl w:val="0"/>
              <w:spacing w:before="40" w:after="40"/>
              <w:ind w:left="144"/>
              <w:rPr>
                <w:rFonts w:ascii="Times New Roman" w:hAnsi="Times New Roman"/>
                <w:color w:val="auto"/>
                <w:sz w:val="18"/>
                <w:szCs w:val="18"/>
              </w:rPr>
            </w:pPr>
          </w:p>
        </w:tc>
      </w:tr>
      <w:tr>
        <w:trPr>
          <w:cantSplit/>
        </w:trPr>
        <w:tc>
          <w:tcPr>
            <w:tcW w:w="360" w:type="dxa"/>
          </w:tcPr>
          <w:p>
            <w:pPr>
              <w:pStyle w:val="TableText"/>
              <w:spacing w:before="40" w:after="40"/>
              <w:ind w:left="144"/>
              <w:rPr>
                <w:rFonts w:ascii="Times New Roman" w:hAnsi="Times New Roman"/>
                <w:color w:val="auto"/>
                <w:sz w:val="18"/>
                <w:szCs w:val="18"/>
              </w:rPr>
            </w:pPr>
          </w:p>
        </w:tc>
        <w:tc>
          <w:tcPr>
            <w:tcW w:w="360" w:type="dxa"/>
          </w:tcPr>
          <w:p>
            <w:pPr>
              <w:spacing w:before="40" w:after="40"/>
              <w:ind w:left="144"/>
              <w:rPr>
                <w:sz w:val="18"/>
                <w:szCs w:val="18"/>
              </w:rPr>
            </w:pPr>
          </w:p>
        </w:tc>
        <w:tc>
          <w:tcPr>
            <w:tcW w:w="540" w:type="dxa"/>
          </w:tcPr>
          <w:p>
            <w:pPr>
              <w:spacing w:before="40" w:after="40"/>
              <w:ind w:left="144"/>
              <w:rPr>
                <w:sz w:val="18"/>
                <w:szCs w:val="18"/>
              </w:rPr>
            </w:pPr>
            <w:r>
              <w:rPr>
                <w:sz w:val="18"/>
                <w:szCs w:val="18"/>
              </w:rPr>
              <w:t>i)</w:t>
            </w:r>
          </w:p>
        </w:tc>
        <w:tc>
          <w:tcPr>
            <w:tcW w:w="5580" w:type="dxa"/>
            <w:gridSpan w:val="2"/>
          </w:tcPr>
          <w:p>
            <w:pPr>
              <w:spacing w:before="40" w:after="40"/>
              <w:ind w:left="144"/>
              <w:rPr>
                <w:sz w:val="18"/>
                <w:szCs w:val="18"/>
              </w:rPr>
            </w:pPr>
            <w:r>
              <w:rPr>
                <w:sz w:val="18"/>
                <w:szCs w:val="18"/>
              </w:rPr>
              <w:t>Supporting Network Integration Transmission Service standards</w:t>
            </w:r>
          </w:p>
          <w:p>
            <w:pPr>
              <w:spacing w:before="40" w:after="40"/>
              <w:ind w:left="144"/>
              <w:rPr>
                <w:sz w:val="18"/>
                <w:szCs w:val="18"/>
              </w:rPr>
            </w:pPr>
            <w:r>
              <w:rPr>
                <w:sz w:val="18"/>
                <w:szCs w:val="18"/>
              </w:rPr>
              <w:t>Status: Not Started</w:t>
            </w:r>
          </w:p>
        </w:tc>
        <w:tc>
          <w:tcPr>
            <w:tcW w:w="1170" w:type="dxa"/>
          </w:tcPr>
          <w:p>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JESS</w:t>
            </w:r>
          </w:p>
        </w:tc>
      </w:tr>
      <w:tr>
        <w:trPr>
          <w:cantSplit/>
        </w:trPr>
        <w:tc>
          <w:tcPr>
            <w:tcW w:w="360" w:type="dxa"/>
          </w:tcPr>
          <w:p>
            <w:pPr>
              <w:pStyle w:val="TableText"/>
              <w:spacing w:before="40" w:after="40"/>
              <w:ind w:left="144"/>
              <w:rPr>
                <w:rFonts w:ascii="Times New Roman" w:hAnsi="Times New Roman"/>
                <w:color w:val="auto"/>
                <w:sz w:val="18"/>
                <w:szCs w:val="18"/>
              </w:rPr>
            </w:pPr>
          </w:p>
        </w:tc>
        <w:tc>
          <w:tcPr>
            <w:tcW w:w="360" w:type="dxa"/>
          </w:tcPr>
          <w:p>
            <w:pPr>
              <w:spacing w:before="40" w:after="40"/>
              <w:ind w:left="144"/>
              <w:rPr>
                <w:sz w:val="18"/>
                <w:szCs w:val="18"/>
              </w:rPr>
            </w:pPr>
          </w:p>
        </w:tc>
        <w:tc>
          <w:tcPr>
            <w:tcW w:w="540" w:type="dxa"/>
          </w:tcPr>
          <w:p>
            <w:pPr>
              <w:spacing w:before="40" w:after="40"/>
              <w:ind w:left="144"/>
              <w:rPr>
                <w:sz w:val="18"/>
                <w:szCs w:val="18"/>
              </w:rPr>
            </w:pPr>
            <w:r>
              <w:rPr>
                <w:sz w:val="18"/>
                <w:szCs w:val="18"/>
              </w:rPr>
              <w:t>ii)</w:t>
            </w:r>
          </w:p>
        </w:tc>
        <w:tc>
          <w:tcPr>
            <w:tcW w:w="5580" w:type="dxa"/>
            <w:gridSpan w:val="2"/>
          </w:tcPr>
          <w:p>
            <w:pPr>
              <w:spacing w:before="40" w:after="40"/>
              <w:ind w:left="144"/>
              <w:rPr>
                <w:sz w:val="18"/>
                <w:szCs w:val="18"/>
              </w:rPr>
            </w:pPr>
            <w:r>
              <w:rPr>
                <w:sz w:val="18"/>
                <w:szCs w:val="18"/>
              </w:rPr>
              <w:t>Consistency and clarifications</w:t>
            </w:r>
          </w:p>
          <w:p>
            <w:pPr>
              <w:spacing w:before="40" w:after="40"/>
              <w:ind w:left="144"/>
              <w:rPr>
                <w:sz w:val="18"/>
                <w:szCs w:val="18"/>
              </w:rPr>
            </w:pPr>
            <w:r>
              <w:rPr>
                <w:sz w:val="18"/>
                <w:szCs w:val="18"/>
              </w:rPr>
              <w:t>Status: Not Started</w:t>
            </w:r>
          </w:p>
        </w:tc>
        <w:tc>
          <w:tcPr>
            <w:tcW w:w="1170" w:type="dxa"/>
          </w:tcPr>
          <w:p>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JESS</w:t>
            </w:r>
          </w:p>
        </w:tc>
      </w:tr>
      <w:tr>
        <w:trPr>
          <w:cantSplit/>
        </w:trPr>
        <w:tc>
          <w:tcPr>
            <w:tcW w:w="360" w:type="dxa"/>
          </w:tcPr>
          <w:p>
            <w:pPr>
              <w:pStyle w:val="TableText"/>
              <w:spacing w:before="40" w:after="40"/>
              <w:ind w:left="144"/>
              <w:rPr>
                <w:rFonts w:ascii="Times New Roman" w:hAnsi="Times New Roman"/>
                <w:color w:val="auto"/>
                <w:sz w:val="18"/>
                <w:szCs w:val="18"/>
              </w:rPr>
            </w:pPr>
          </w:p>
        </w:tc>
        <w:tc>
          <w:tcPr>
            <w:tcW w:w="360" w:type="dxa"/>
          </w:tcPr>
          <w:p>
            <w:pPr>
              <w:spacing w:before="40" w:after="40"/>
              <w:ind w:left="144"/>
              <w:rPr>
                <w:sz w:val="18"/>
                <w:szCs w:val="18"/>
              </w:rPr>
            </w:pPr>
          </w:p>
        </w:tc>
        <w:tc>
          <w:tcPr>
            <w:tcW w:w="540" w:type="dxa"/>
          </w:tcPr>
          <w:p>
            <w:pPr>
              <w:spacing w:before="40" w:after="40"/>
              <w:ind w:left="144"/>
              <w:rPr>
                <w:sz w:val="18"/>
                <w:szCs w:val="18"/>
              </w:rPr>
            </w:pPr>
            <w:r>
              <w:rPr>
                <w:sz w:val="18"/>
                <w:szCs w:val="18"/>
              </w:rPr>
              <w:t>iii)</w:t>
            </w:r>
          </w:p>
        </w:tc>
        <w:tc>
          <w:tcPr>
            <w:tcW w:w="5580" w:type="dxa"/>
            <w:gridSpan w:val="2"/>
          </w:tcPr>
          <w:p>
            <w:pPr>
              <w:spacing w:before="40" w:after="40"/>
              <w:ind w:left="144"/>
              <w:rPr>
                <w:sz w:val="18"/>
                <w:szCs w:val="18"/>
              </w:rPr>
            </w:pPr>
            <w:r>
              <w:rPr>
                <w:sz w:val="18"/>
                <w:szCs w:val="18"/>
              </w:rPr>
              <w:t>Regional Implementations supporting WECC efforts (probably of most impact to the appendices in the e-Tag specifications)</w:t>
            </w:r>
          </w:p>
          <w:p>
            <w:pPr>
              <w:spacing w:before="40" w:after="40"/>
              <w:ind w:left="144"/>
              <w:rPr>
                <w:sz w:val="18"/>
                <w:szCs w:val="18"/>
              </w:rPr>
            </w:pPr>
            <w:r>
              <w:rPr>
                <w:sz w:val="18"/>
                <w:szCs w:val="18"/>
              </w:rPr>
              <w:t>Status: Not Started</w:t>
            </w:r>
          </w:p>
        </w:tc>
        <w:tc>
          <w:tcPr>
            <w:tcW w:w="1170" w:type="dxa"/>
          </w:tcPr>
          <w:p>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JESS</w:t>
            </w:r>
          </w:p>
        </w:tc>
      </w:tr>
      <w:tr>
        <w:trPr>
          <w:cantSplit/>
        </w:trPr>
        <w:tc>
          <w:tcPr>
            <w:tcW w:w="360" w:type="dxa"/>
          </w:tcPr>
          <w:p>
            <w:pPr>
              <w:pStyle w:val="TableText"/>
              <w:spacing w:before="40" w:after="40"/>
              <w:ind w:left="144"/>
              <w:rPr>
                <w:rFonts w:ascii="Times New Roman" w:hAnsi="Times New Roman"/>
                <w:color w:val="auto"/>
                <w:sz w:val="18"/>
                <w:szCs w:val="18"/>
              </w:rPr>
            </w:pPr>
          </w:p>
        </w:tc>
        <w:tc>
          <w:tcPr>
            <w:tcW w:w="360" w:type="dxa"/>
          </w:tcPr>
          <w:p>
            <w:pPr>
              <w:spacing w:before="40" w:after="40"/>
              <w:ind w:left="144"/>
              <w:rPr>
                <w:sz w:val="18"/>
                <w:szCs w:val="18"/>
              </w:rPr>
            </w:pPr>
            <w:r>
              <w:rPr>
                <w:sz w:val="18"/>
                <w:szCs w:val="18"/>
              </w:rPr>
              <w:t>c)</w:t>
            </w:r>
          </w:p>
        </w:tc>
        <w:tc>
          <w:tcPr>
            <w:tcW w:w="6120" w:type="dxa"/>
            <w:gridSpan w:val="3"/>
          </w:tcPr>
          <w:p>
            <w:pPr>
              <w:spacing w:before="40" w:after="40"/>
              <w:ind w:left="144"/>
              <w:rPr>
                <w:sz w:val="18"/>
                <w:szCs w:val="18"/>
              </w:rPr>
            </w:pPr>
            <w:r>
              <w:rPr>
                <w:sz w:val="18"/>
                <w:szCs w:val="18"/>
              </w:rPr>
              <w:t>Requirements for OASIS to use data in the Electric Industry Registry (</w:t>
            </w:r>
            <w:hyperlink r:id="rId21" w:history="1">
              <w:r>
                <w:rPr>
                  <w:rStyle w:val="Hyperlink"/>
                  <w:sz w:val="18"/>
                  <w:szCs w:val="18"/>
                </w:rPr>
                <w:t>R12001</w:t>
              </w:r>
            </w:hyperlink>
            <w:r>
              <w:rPr>
                <w:sz w:val="18"/>
                <w:szCs w:val="18"/>
              </w:rPr>
              <w:t>)</w:t>
            </w:r>
          </w:p>
          <w:p>
            <w:pPr>
              <w:spacing w:before="40" w:after="40"/>
              <w:ind w:left="144"/>
              <w:rPr>
                <w:sz w:val="18"/>
                <w:szCs w:val="18"/>
              </w:rPr>
            </w:pPr>
            <w:r>
              <w:rPr>
                <w:sz w:val="18"/>
                <w:szCs w:val="18"/>
              </w:rPr>
              <w:t>Status: Not Started</w:t>
            </w:r>
          </w:p>
        </w:tc>
        <w:tc>
          <w:tcPr>
            <w:tcW w:w="1170" w:type="dxa"/>
          </w:tcPr>
          <w:p>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trPr>
          <w:cantSplit/>
        </w:trPr>
        <w:tc>
          <w:tcPr>
            <w:tcW w:w="360" w:type="dxa"/>
          </w:tcPr>
          <w:p>
            <w:pPr>
              <w:pStyle w:val="TableText"/>
              <w:spacing w:before="40" w:after="40"/>
              <w:ind w:left="144"/>
              <w:rPr>
                <w:rFonts w:ascii="Times New Roman" w:hAnsi="Times New Roman"/>
                <w:color w:val="auto"/>
                <w:sz w:val="18"/>
                <w:szCs w:val="18"/>
              </w:rPr>
            </w:pPr>
          </w:p>
        </w:tc>
        <w:tc>
          <w:tcPr>
            <w:tcW w:w="360" w:type="dxa"/>
          </w:tcPr>
          <w:p>
            <w:pPr>
              <w:spacing w:before="40" w:after="40"/>
              <w:ind w:left="144"/>
              <w:rPr>
                <w:sz w:val="18"/>
                <w:szCs w:val="18"/>
              </w:rPr>
            </w:pPr>
            <w:r>
              <w:rPr>
                <w:sz w:val="18"/>
                <w:szCs w:val="18"/>
              </w:rPr>
              <w:t>d)</w:t>
            </w:r>
          </w:p>
        </w:tc>
        <w:tc>
          <w:tcPr>
            <w:tcW w:w="6120" w:type="dxa"/>
            <w:gridSpan w:val="3"/>
          </w:tcPr>
          <w:p>
            <w:pPr>
              <w:spacing w:before="40" w:after="40"/>
              <w:ind w:left="163"/>
              <w:rPr>
                <w:sz w:val="18"/>
                <w:szCs w:val="18"/>
              </w:rPr>
            </w:pPr>
            <w:r>
              <w:rPr>
                <w:sz w:val="18"/>
                <w:szCs w:val="18"/>
              </w:rPr>
              <w:t>Develop Electric Industry Registry Business Practice Standards</w:t>
            </w:r>
          </w:p>
          <w:p>
            <w:pPr>
              <w:spacing w:before="40" w:after="40"/>
              <w:ind w:left="144"/>
              <w:rPr>
                <w:sz w:val="18"/>
                <w:szCs w:val="18"/>
              </w:rPr>
            </w:pPr>
            <w:r>
              <w:rPr>
                <w:sz w:val="18"/>
                <w:szCs w:val="18"/>
              </w:rPr>
              <w:t>Status: Underway</w:t>
            </w:r>
          </w:p>
        </w:tc>
        <w:tc>
          <w:tcPr>
            <w:tcW w:w="1170" w:type="dxa"/>
          </w:tcPr>
          <w:p>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2013</w:t>
            </w:r>
          </w:p>
        </w:tc>
        <w:tc>
          <w:tcPr>
            <w:tcW w:w="1620" w:type="dxa"/>
          </w:tcPr>
          <w:p>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JESS</w:t>
            </w:r>
          </w:p>
        </w:tc>
      </w:tr>
      <w:tr>
        <w:trPr>
          <w:cantSplit/>
          <w:trHeight w:val="243"/>
        </w:trPr>
        <w:tc>
          <w:tcPr>
            <w:tcW w:w="360" w:type="dxa"/>
          </w:tcPr>
          <w:p>
            <w:pPr>
              <w:pStyle w:val="TableText"/>
              <w:keepNext/>
              <w:spacing w:before="40" w:after="40"/>
              <w:ind w:left="144"/>
              <w:rPr>
                <w:rFonts w:ascii="Times New Roman" w:hAnsi="Times New Roman"/>
                <w:b/>
                <w:color w:val="auto"/>
                <w:sz w:val="18"/>
                <w:szCs w:val="18"/>
              </w:rPr>
            </w:pPr>
            <w:r>
              <w:rPr>
                <w:rFonts w:ascii="Times New Roman" w:hAnsi="Times New Roman"/>
                <w:b/>
                <w:color w:val="auto"/>
                <w:sz w:val="18"/>
                <w:szCs w:val="18"/>
              </w:rPr>
              <w:lastRenderedPageBreak/>
              <w:t>4.</w:t>
            </w:r>
          </w:p>
        </w:tc>
        <w:tc>
          <w:tcPr>
            <w:tcW w:w="9270" w:type="dxa"/>
            <w:gridSpan w:val="6"/>
          </w:tcPr>
          <w:p>
            <w:pPr>
              <w:pStyle w:val="TableText"/>
              <w:spacing w:before="40" w:after="40"/>
              <w:ind w:left="144"/>
              <w:rPr>
                <w:rFonts w:ascii="Times New Roman" w:hAnsi="Times New Roman"/>
                <w:b/>
                <w:color w:val="auto"/>
                <w:sz w:val="18"/>
                <w:szCs w:val="18"/>
              </w:rPr>
            </w:pPr>
            <w:r>
              <w:rPr>
                <w:rFonts w:ascii="Times New Roman" w:hAnsi="Times New Roman"/>
                <w:b/>
                <w:sz w:val="18"/>
                <w:szCs w:val="18"/>
              </w:rPr>
              <w:t>Develop and/or maintain standard communication protocols and cyber-security business practices as needed.</w:t>
            </w:r>
          </w:p>
        </w:tc>
      </w:tr>
      <w:tr>
        <w:trPr>
          <w:cantSplit/>
          <w:trHeight w:val="503"/>
        </w:trPr>
        <w:tc>
          <w:tcPr>
            <w:tcW w:w="360" w:type="dxa"/>
          </w:tcPr>
          <w:p>
            <w:pPr>
              <w:pStyle w:val="TableText"/>
              <w:spacing w:before="40" w:after="40"/>
              <w:ind w:left="144"/>
              <w:rPr>
                <w:rFonts w:ascii="Times New Roman" w:hAnsi="Times New Roman"/>
                <w:color w:val="auto"/>
                <w:sz w:val="18"/>
                <w:szCs w:val="18"/>
              </w:rPr>
            </w:pPr>
          </w:p>
        </w:tc>
        <w:tc>
          <w:tcPr>
            <w:tcW w:w="360" w:type="dxa"/>
          </w:tcPr>
          <w:p>
            <w:pPr>
              <w:spacing w:before="40" w:after="40"/>
              <w:ind w:left="144"/>
              <w:rPr>
                <w:sz w:val="18"/>
                <w:szCs w:val="18"/>
              </w:rPr>
            </w:pPr>
            <w:r>
              <w:rPr>
                <w:sz w:val="18"/>
                <w:szCs w:val="18"/>
              </w:rPr>
              <w:t>a)</w:t>
            </w:r>
          </w:p>
        </w:tc>
        <w:tc>
          <w:tcPr>
            <w:tcW w:w="6120" w:type="dxa"/>
            <w:gridSpan w:val="3"/>
          </w:tcPr>
          <w:p>
            <w:pPr>
              <w:spacing w:before="40" w:after="40"/>
              <w:ind w:left="144"/>
              <w:rPr>
                <w:sz w:val="18"/>
                <w:szCs w:val="18"/>
              </w:rPr>
            </w:pPr>
            <w:r>
              <w:rPr>
                <w:sz w:val="18"/>
                <w:szCs w:val="18"/>
              </w:rPr>
              <w:t>Develop modifications for WEQ-012 as needed to reflect current market conditions</w:t>
            </w:r>
          </w:p>
        </w:tc>
        <w:tc>
          <w:tcPr>
            <w:tcW w:w="1170" w:type="dxa"/>
          </w:tcPr>
          <w:p>
            <w:pPr>
              <w:pStyle w:val="TableText"/>
              <w:widowControl w:val="0"/>
              <w:spacing w:before="40" w:after="40"/>
              <w:ind w:left="144"/>
              <w:rPr>
                <w:rFonts w:ascii="Times New Roman" w:hAnsi="Times New Roman"/>
                <w:color w:val="auto"/>
                <w:sz w:val="18"/>
                <w:szCs w:val="18"/>
              </w:rPr>
            </w:pPr>
          </w:p>
        </w:tc>
        <w:tc>
          <w:tcPr>
            <w:tcW w:w="1620" w:type="dxa"/>
          </w:tcPr>
          <w:p>
            <w:pPr>
              <w:pStyle w:val="TableText"/>
              <w:widowControl w:val="0"/>
              <w:spacing w:before="40" w:after="40"/>
              <w:ind w:left="144"/>
              <w:rPr>
                <w:rFonts w:ascii="Times New Roman" w:hAnsi="Times New Roman"/>
                <w:color w:val="auto"/>
                <w:sz w:val="18"/>
                <w:szCs w:val="18"/>
              </w:rPr>
            </w:pPr>
          </w:p>
        </w:tc>
      </w:tr>
      <w:tr>
        <w:trPr>
          <w:cantSplit/>
          <w:trHeight w:val="503"/>
        </w:trPr>
        <w:tc>
          <w:tcPr>
            <w:tcW w:w="360" w:type="dxa"/>
          </w:tcPr>
          <w:p>
            <w:pPr>
              <w:pStyle w:val="TableText"/>
              <w:spacing w:before="40" w:after="40"/>
              <w:ind w:left="144"/>
              <w:rPr>
                <w:rFonts w:ascii="Times New Roman" w:hAnsi="Times New Roman"/>
                <w:color w:val="auto"/>
                <w:sz w:val="18"/>
                <w:szCs w:val="18"/>
              </w:rPr>
            </w:pPr>
          </w:p>
        </w:tc>
        <w:tc>
          <w:tcPr>
            <w:tcW w:w="360" w:type="dxa"/>
          </w:tcPr>
          <w:p>
            <w:pPr>
              <w:spacing w:before="40" w:after="40"/>
              <w:ind w:left="144"/>
              <w:rPr>
                <w:sz w:val="18"/>
                <w:szCs w:val="18"/>
              </w:rPr>
            </w:pPr>
          </w:p>
        </w:tc>
        <w:tc>
          <w:tcPr>
            <w:tcW w:w="540" w:type="dxa"/>
          </w:tcPr>
          <w:p>
            <w:pPr>
              <w:spacing w:before="40" w:after="40"/>
              <w:ind w:left="144"/>
              <w:rPr>
                <w:sz w:val="18"/>
                <w:szCs w:val="18"/>
              </w:rPr>
            </w:pPr>
            <w:r>
              <w:rPr>
                <w:sz w:val="18"/>
                <w:szCs w:val="18"/>
              </w:rPr>
              <w:t>i)</w:t>
            </w:r>
          </w:p>
        </w:tc>
        <w:tc>
          <w:tcPr>
            <w:tcW w:w="5580" w:type="dxa"/>
            <w:gridSpan w:val="2"/>
          </w:tcPr>
          <w:p>
            <w:pPr>
              <w:spacing w:before="40" w:after="40"/>
              <w:ind w:left="144"/>
              <w:rPr>
                <w:sz w:val="18"/>
                <w:szCs w:val="18"/>
              </w:rPr>
            </w:pPr>
            <w:r>
              <w:rPr>
                <w:sz w:val="18"/>
                <w:szCs w:val="18"/>
              </w:rPr>
              <w:t xml:space="preserve">Review and develop standards as needed to support adequate session encryption (SSL/TLS issues: </w:t>
            </w:r>
            <w:hyperlink r:id="rId22" w:history="1">
              <w:r>
                <w:rPr>
                  <w:rStyle w:val="Hyperlink"/>
                  <w:sz w:val="18"/>
                  <w:szCs w:val="18"/>
                </w:rPr>
                <w:t>US-Cert Vulnerability Note VU#864643</w:t>
              </w:r>
            </w:hyperlink>
            <w:r>
              <w:rPr>
                <w:sz w:val="18"/>
                <w:szCs w:val="18"/>
              </w:rPr>
              <w:t>)</w:t>
            </w:r>
          </w:p>
          <w:p>
            <w:pPr>
              <w:spacing w:before="40" w:after="40"/>
              <w:ind w:left="144"/>
              <w:rPr>
                <w:sz w:val="18"/>
                <w:szCs w:val="18"/>
              </w:rPr>
            </w:pPr>
            <w:r>
              <w:rPr>
                <w:sz w:val="18"/>
                <w:szCs w:val="18"/>
              </w:rPr>
              <w:t>Status:  Not Started</w:t>
            </w:r>
          </w:p>
        </w:tc>
        <w:tc>
          <w:tcPr>
            <w:tcW w:w="1170" w:type="dxa"/>
          </w:tcPr>
          <w:p>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2013</w:t>
            </w:r>
          </w:p>
        </w:tc>
        <w:tc>
          <w:tcPr>
            <w:tcW w:w="1620" w:type="dxa"/>
          </w:tcPr>
          <w:p>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PKI</w:t>
            </w:r>
          </w:p>
        </w:tc>
      </w:tr>
      <w:tr>
        <w:trPr>
          <w:cantSplit/>
          <w:trHeight w:val="503"/>
        </w:trPr>
        <w:tc>
          <w:tcPr>
            <w:tcW w:w="360" w:type="dxa"/>
          </w:tcPr>
          <w:p>
            <w:pPr>
              <w:pStyle w:val="TableText"/>
              <w:spacing w:before="40" w:after="40"/>
              <w:ind w:left="144"/>
              <w:rPr>
                <w:rFonts w:ascii="Times New Roman" w:hAnsi="Times New Roman"/>
                <w:color w:val="auto"/>
                <w:sz w:val="18"/>
                <w:szCs w:val="18"/>
                <w:highlight w:val="yellow"/>
              </w:rPr>
            </w:pPr>
          </w:p>
        </w:tc>
        <w:tc>
          <w:tcPr>
            <w:tcW w:w="360" w:type="dxa"/>
          </w:tcPr>
          <w:p>
            <w:pPr>
              <w:spacing w:before="40" w:after="40"/>
              <w:ind w:left="144"/>
              <w:rPr>
                <w:sz w:val="18"/>
                <w:szCs w:val="18"/>
              </w:rPr>
            </w:pPr>
          </w:p>
        </w:tc>
        <w:tc>
          <w:tcPr>
            <w:tcW w:w="540" w:type="dxa"/>
          </w:tcPr>
          <w:p>
            <w:pPr>
              <w:spacing w:before="40" w:after="40"/>
              <w:ind w:left="144"/>
              <w:rPr>
                <w:sz w:val="18"/>
                <w:szCs w:val="18"/>
              </w:rPr>
            </w:pPr>
            <w:r>
              <w:rPr>
                <w:sz w:val="18"/>
                <w:szCs w:val="18"/>
              </w:rPr>
              <w:t>ii)</w:t>
            </w:r>
          </w:p>
        </w:tc>
        <w:tc>
          <w:tcPr>
            <w:tcW w:w="5580" w:type="dxa"/>
            <w:gridSpan w:val="2"/>
          </w:tcPr>
          <w:p>
            <w:pPr>
              <w:spacing w:before="40" w:after="40"/>
              <w:ind w:left="144"/>
              <w:rPr>
                <w:sz w:val="18"/>
                <w:szCs w:val="18"/>
              </w:rPr>
            </w:pPr>
            <w:r>
              <w:rPr>
                <w:sz w:val="18"/>
                <w:szCs w:val="18"/>
              </w:rPr>
              <w:t>Review the FERC Report, “Report on Use of North American Energy Standards Board Public Key Infrastructure Standards,” Docket No. EL12-86-000, issued on August 27, 2012, to determine which standards changes are needed to be responsive to suggestions made by the Commission.</w:t>
            </w:r>
            <w:r>
              <w:rPr>
                <w:rStyle w:val="FootnoteReference"/>
                <w:sz w:val="18"/>
                <w:szCs w:val="18"/>
              </w:rPr>
              <w:footnoteReference w:id="6"/>
            </w:r>
          </w:p>
          <w:p>
            <w:pPr>
              <w:spacing w:before="40" w:after="40"/>
              <w:ind w:left="144"/>
              <w:rPr>
                <w:sz w:val="18"/>
                <w:szCs w:val="18"/>
              </w:rPr>
            </w:pPr>
            <w:r>
              <w:rPr>
                <w:sz w:val="18"/>
                <w:szCs w:val="18"/>
              </w:rPr>
              <w:t>Status:  Not Started</w:t>
            </w:r>
          </w:p>
        </w:tc>
        <w:tc>
          <w:tcPr>
            <w:tcW w:w="1170" w:type="dxa"/>
          </w:tcPr>
          <w:p>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2013</w:t>
            </w:r>
          </w:p>
        </w:tc>
        <w:tc>
          <w:tcPr>
            <w:tcW w:w="1620" w:type="dxa"/>
          </w:tcPr>
          <w:p>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PKI</w:t>
            </w:r>
          </w:p>
        </w:tc>
      </w:tr>
      <w:tr>
        <w:trPr>
          <w:cantSplit/>
          <w:trHeight w:val="503"/>
        </w:trPr>
        <w:tc>
          <w:tcPr>
            <w:tcW w:w="360" w:type="dxa"/>
          </w:tcPr>
          <w:p>
            <w:pPr>
              <w:pStyle w:val="TableText"/>
              <w:spacing w:before="40" w:after="40"/>
              <w:ind w:left="144"/>
              <w:rPr>
                <w:rFonts w:ascii="Times New Roman" w:hAnsi="Times New Roman"/>
                <w:color w:val="auto"/>
                <w:sz w:val="18"/>
                <w:szCs w:val="18"/>
                <w:highlight w:val="yellow"/>
              </w:rPr>
            </w:pPr>
          </w:p>
        </w:tc>
        <w:tc>
          <w:tcPr>
            <w:tcW w:w="360" w:type="dxa"/>
          </w:tcPr>
          <w:p>
            <w:pPr>
              <w:spacing w:before="40" w:after="40"/>
              <w:ind w:left="144"/>
              <w:rPr>
                <w:sz w:val="18"/>
                <w:szCs w:val="18"/>
              </w:rPr>
            </w:pPr>
          </w:p>
        </w:tc>
        <w:tc>
          <w:tcPr>
            <w:tcW w:w="540" w:type="dxa"/>
          </w:tcPr>
          <w:p>
            <w:pPr>
              <w:spacing w:before="40" w:after="40"/>
              <w:ind w:left="144"/>
              <w:rPr>
                <w:sz w:val="18"/>
                <w:szCs w:val="18"/>
              </w:rPr>
            </w:pPr>
            <w:r>
              <w:rPr>
                <w:sz w:val="18"/>
                <w:szCs w:val="18"/>
              </w:rPr>
              <w:t>iii)</w:t>
            </w:r>
          </w:p>
        </w:tc>
        <w:tc>
          <w:tcPr>
            <w:tcW w:w="5580" w:type="dxa"/>
            <w:gridSpan w:val="2"/>
          </w:tcPr>
          <w:p>
            <w:pPr>
              <w:spacing w:before="40" w:after="40"/>
              <w:ind w:left="144"/>
              <w:rPr>
                <w:sz w:val="18"/>
                <w:szCs w:val="18"/>
              </w:rPr>
            </w:pPr>
            <w:r>
              <w:rPr>
                <w:sz w:val="18"/>
                <w:szCs w:val="18"/>
              </w:rPr>
              <w:t>Review annually at a minimum, the accreditation requirements for Authorized Certification Authorities to determine if any changes are needed to meet market conditions.</w:t>
            </w:r>
            <w:r>
              <w:rPr>
                <w:rStyle w:val="FootnoteReference"/>
                <w:sz w:val="18"/>
                <w:szCs w:val="18"/>
              </w:rPr>
              <w:footnoteReference w:id="7"/>
            </w:r>
          </w:p>
          <w:p>
            <w:pPr>
              <w:spacing w:before="40" w:after="40"/>
              <w:ind w:left="144"/>
              <w:rPr>
                <w:sz w:val="18"/>
                <w:szCs w:val="18"/>
              </w:rPr>
            </w:pPr>
            <w:r>
              <w:rPr>
                <w:sz w:val="18"/>
                <w:szCs w:val="18"/>
              </w:rPr>
              <w:t>Status:  Not Started</w:t>
            </w:r>
          </w:p>
        </w:tc>
        <w:tc>
          <w:tcPr>
            <w:tcW w:w="1170" w:type="dxa"/>
          </w:tcPr>
          <w:p>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2013</w:t>
            </w:r>
          </w:p>
        </w:tc>
        <w:tc>
          <w:tcPr>
            <w:tcW w:w="1620" w:type="dxa"/>
          </w:tcPr>
          <w:p>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PKI</w:t>
            </w:r>
          </w:p>
        </w:tc>
      </w:tr>
      <w:tr>
        <w:trPr>
          <w:cantSplit/>
          <w:trHeight w:val="503"/>
        </w:trPr>
        <w:tc>
          <w:tcPr>
            <w:tcW w:w="360" w:type="dxa"/>
          </w:tcPr>
          <w:p>
            <w:pPr>
              <w:pStyle w:val="TableText"/>
              <w:spacing w:before="40" w:after="40"/>
              <w:ind w:left="144"/>
              <w:rPr>
                <w:rFonts w:ascii="Times New Roman" w:hAnsi="Times New Roman"/>
                <w:color w:val="auto"/>
                <w:sz w:val="18"/>
                <w:szCs w:val="18"/>
              </w:rPr>
            </w:pPr>
          </w:p>
        </w:tc>
        <w:tc>
          <w:tcPr>
            <w:tcW w:w="360" w:type="dxa"/>
          </w:tcPr>
          <w:p>
            <w:pPr>
              <w:spacing w:before="40" w:after="40"/>
              <w:ind w:left="144"/>
              <w:rPr>
                <w:sz w:val="18"/>
                <w:szCs w:val="18"/>
              </w:rPr>
            </w:pPr>
            <w:r>
              <w:rPr>
                <w:sz w:val="18"/>
                <w:szCs w:val="18"/>
              </w:rPr>
              <w:t>b)</w:t>
            </w:r>
          </w:p>
        </w:tc>
        <w:tc>
          <w:tcPr>
            <w:tcW w:w="6120" w:type="dxa"/>
            <w:gridSpan w:val="3"/>
          </w:tcPr>
          <w:p>
            <w:pPr>
              <w:spacing w:before="40" w:after="40"/>
              <w:ind w:left="144"/>
              <w:rPr>
                <w:sz w:val="18"/>
                <w:szCs w:val="18"/>
              </w:rPr>
            </w:pPr>
            <w:r>
              <w:rPr>
                <w:sz w:val="18"/>
                <w:szCs w:val="18"/>
              </w:rPr>
              <w:t>Review WEQ standards for impact of XML vulnerability exploits and make modifications as needed to standards and functional specifications</w:t>
            </w:r>
          </w:p>
          <w:p>
            <w:pPr>
              <w:spacing w:before="40" w:after="40"/>
              <w:ind w:left="144"/>
              <w:rPr>
                <w:sz w:val="18"/>
                <w:szCs w:val="18"/>
              </w:rPr>
            </w:pPr>
            <w:r>
              <w:rPr>
                <w:sz w:val="18"/>
                <w:szCs w:val="18"/>
              </w:rPr>
              <w:t>Status:  Not Started</w:t>
            </w:r>
          </w:p>
        </w:tc>
        <w:tc>
          <w:tcPr>
            <w:tcW w:w="1170" w:type="dxa"/>
          </w:tcPr>
          <w:p>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TBD</w:t>
            </w:r>
          </w:p>
        </w:tc>
        <w:tc>
          <w:tcPr>
            <w:tcW w:w="1620" w:type="dxa"/>
          </w:tcPr>
          <w:p>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PKI/JESS</w:t>
            </w:r>
          </w:p>
        </w:tc>
      </w:tr>
      <w:tr>
        <w:trPr>
          <w:cantSplit/>
          <w:trHeight w:val="300"/>
        </w:trPr>
        <w:tc>
          <w:tcPr>
            <w:tcW w:w="360" w:type="dxa"/>
          </w:tcPr>
          <w:p>
            <w:pPr>
              <w:pStyle w:val="TableText"/>
              <w:keepNext/>
              <w:spacing w:before="40" w:after="40"/>
              <w:ind w:left="144"/>
              <w:rPr>
                <w:rFonts w:ascii="Times New Roman" w:hAnsi="Times New Roman"/>
                <w:b/>
                <w:color w:val="auto"/>
                <w:sz w:val="18"/>
                <w:szCs w:val="18"/>
              </w:rPr>
            </w:pPr>
            <w:r>
              <w:rPr>
                <w:rFonts w:ascii="Times New Roman" w:hAnsi="Times New Roman"/>
                <w:b/>
                <w:color w:val="auto"/>
                <w:sz w:val="18"/>
                <w:szCs w:val="18"/>
              </w:rPr>
              <w:t>5</w:t>
            </w:r>
          </w:p>
        </w:tc>
        <w:tc>
          <w:tcPr>
            <w:tcW w:w="9270" w:type="dxa"/>
            <w:gridSpan w:val="6"/>
          </w:tcPr>
          <w:p>
            <w:pPr>
              <w:pStyle w:val="TableText"/>
              <w:keepN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Maintain existing body of Version 3.x standards</w:t>
            </w:r>
          </w:p>
        </w:tc>
      </w:tr>
      <w:tr>
        <w:trPr>
          <w:cantSplit/>
          <w:trHeight w:val="503"/>
        </w:trPr>
        <w:tc>
          <w:tcPr>
            <w:tcW w:w="360" w:type="dxa"/>
          </w:tcPr>
          <w:p>
            <w:pPr>
              <w:pStyle w:val="TableText"/>
              <w:spacing w:before="40" w:after="40"/>
              <w:ind w:left="144"/>
              <w:rPr>
                <w:rFonts w:ascii="Times New Roman" w:hAnsi="Times New Roman"/>
                <w:color w:val="auto"/>
                <w:sz w:val="18"/>
                <w:szCs w:val="18"/>
              </w:rPr>
            </w:pPr>
          </w:p>
        </w:tc>
        <w:tc>
          <w:tcPr>
            <w:tcW w:w="360" w:type="dxa"/>
          </w:tcPr>
          <w:p>
            <w:pPr>
              <w:spacing w:before="40" w:after="40"/>
              <w:ind w:left="144"/>
              <w:rPr>
                <w:sz w:val="18"/>
                <w:szCs w:val="18"/>
              </w:rPr>
            </w:pPr>
            <w:r>
              <w:rPr>
                <w:sz w:val="18"/>
                <w:szCs w:val="18"/>
              </w:rPr>
              <w:t>a)</w:t>
            </w:r>
          </w:p>
        </w:tc>
        <w:tc>
          <w:tcPr>
            <w:tcW w:w="6120" w:type="dxa"/>
            <w:gridSpan w:val="3"/>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sz w:val="18"/>
                <w:szCs w:val="18"/>
              </w:rPr>
              <w:t>Consistent with ¶51 of FERC Order No. 890-A, add AFC and TFC values to the “</w:t>
            </w:r>
            <w:proofErr w:type="spellStart"/>
            <w:r>
              <w:rPr>
                <w:sz w:val="18"/>
                <w:szCs w:val="18"/>
              </w:rPr>
              <w:t>System_Attribute</w:t>
            </w:r>
            <w:proofErr w:type="spellEnd"/>
            <w:r>
              <w:rPr>
                <w:sz w:val="18"/>
                <w:szCs w:val="18"/>
              </w:rPr>
              <w:t>” data element of the NAESB Standard WEQ-003: OASIS S&amp;CP Data Dictionaries. (</w:t>
            </w:r>
            <w:hyperlink r:id="rId23" w:history="1">
              <w:r>
                <w:rPr>
                  <w:rStyle w:val="Hyperlink"/>
                  <w:sz w:val="18"/>
                  <w:szCs w:val="18"/>
                </w:rPr>
                <w:t>R08011</w:t>
              </w:r>
            </w:hyperlink>
            <w:r>
              <w:rPr>
                <w:sz w:val="18"/>
                <w:szCs w:val="18"/>
              </w:rPr>
              <w:t>)</w:t>
            </w:r>
            <w:r>
              <w:rPr>
                <w:sz w:val="18"/>
                <w:szCs w:val="18"/>
              </w:rPr>
              <w:br/>
              <w:t>Status:  Underway</w:t>
            </w:r>
          </w:p>
        </w:tc>
        <w:tc>
          <w:tcPr>
            <w:tcW w:w="1170" w:type="dxa"/>
          </w:tcPr>
          <w:p>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TBD</w:t>
            </w:r>
          </w:p>
        </w:tc>
        <w:tc>
          <w:tcPr>
            <w:tcW w:w="1620" w:type="dxa"/>
          </w:tcPr>
          <w:p>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trPr>
          <w:cantSplit/>
          <w:trHeight w:val="503"/>
        </w:trPr>
        <w:tc>
          <w:tcPr>
            <w:tcW w:w="360" w:type="dxa"/>
          </w:tcPr>
          <w:p>
            <w:pPr>
              <w:pStyle w:val="TableText"/>
              <w:spacing w:before="40" w:after="40"/>
              <w:ind w:left="144"/>
              <w:rPr>
                <w:rFonts w:ascii="Times New Roman" w:hAnsi="Times New Roman"/>
                <w:color w:val="auto"/>
                <w:sz w:val="18"/>
                <w:szCs w:val="18"/>
              </w:rPr>
            </w:pPr>
          </w:p>
        </w:tc>
        <w:tc>
          <w:tcPr>
            <w:tcW w:w="360" w:type="dxa"/>
          </w:tcPr>
          <w:p>
            <w:pPr>
              <w:spacing w:before="40" w:after="40"/>
              <w:ind w:left="144"/>
              <w:rPr>
                <w:sz w:val="18"/>
                <w:szCs w:val="18"/>
              </w:rPr>
            </w:pPr>
            <w:r>
              <w:rPr>
                <w:sz w:val="18"/>
                <w:szCs w:val="18"/>
              </w:rPr>
              <w:t>b)</w:t>
            </w:r>
          </w:p>
        </w:tc>
        <w:tc>
          <w:tcPr>
            <w:tcW w:w="6120" w:type="dxa"/>
            <w:gridSpan w:val="3"/>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napToGrid w:val="0"/>
                <w:color w:val="000000"/>
                <w:sz w:val="18"/>
                <w:szCs w:val="18"/>
              </w:rPr>
            </w:pPr>
            <w:r>
              <w:rPr>
                <w:color w:val="000000"/>
                <w:sz w:val="18"/>
                <w:szCs w:val="18"/>
              </w:rPr>
              <w:t>Correct WEQ 013-2.6.7.2. – Resale off OASIS (</w:t>
            </w:r>
            <w:hyperlink r:id="rId24" w:tgtFrame="new" w:history="1">
              <w:r>
                <w:rPr>
                  <w:rStyle w:val="Hyperlink"/>
                  <w:color w:val="3366FF"/>
                  <w:sz w:val="18"/>
                  <w:szCs w:val="18"/>
                </w:rPr>
                <w:t>R08027</w:t>
              </w:r>
            </w:hyperlink>
            <w:r>
              <w:rPr>
                <w:color w:val="000000"/>
                <w:sz w:val="18"/>
                <w:szCs w:val="18"/>
              </w:rPr>
              <w:t>)</w:t>
            </w:r>
            <w:r>
              <w:rPr>
                <w:color w:val="000000"/>
                <w:sz w:val="18"/>
                <w:szCs w:val="18"/>
              </w:rPr>
              <w:br/>
            </w:r>
            <w:r>
              <w:rPr>
                <w:sz w:val="18"/>
                <w:szCs w:val="18"/>
              </w:rPr>
              <w:t>Status:  Not Started</w:t>
            </w:r>
          </w:p>
        </w:tc>
        <w:tc>
          <w:tcPr>
            <w:tcW w:w="1170" w:type="dxa"/>
          </w:tcPr>
          <w:p>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trPr>
          <w:cantSplit/>
          <w:trHeight w:val="503"/>
        </w:trPr>
        <w:tc>
          <w:tcPr>
            <w:tcW w:w="360" w:type="dxa"/>
          </w:tcPr>
          <w:p>
            <w:pPr>
              <w:pStyle w:val="TableText"/>
              <w:spacing w:before="40" w:after="40"/>
              <w:ind w:left="144"/>
              <w:rPr>
                <w:rFonts w:ascii="Times New Roman" w:hAnsi="Times New Roman"/>
                <w:color w:val="auto"/>
                <w:sz w:val="18"/>
                <w:szCs w:val="18"/>
              </w:rPr>
            </w:pPr>
          </w:p>
        </w:tc>
        <w:tc>
          <w:tcPr>
            <w:tcW w:w="360" w:type="dxa"/>
          </w:tcPr>
          <w:p>
            <w:pPr>
              <w:spacing w:before="40" w:after="40"/>
              <w:ind w:left="144"/>
              <w:rPr>
                <w:sz w:val="18"/>
                <w:szCs w:val="18"/>
              </w:rPr>
            </w:pPr>
            <w:r>
              <w:rPr>
                <w:sz w:val="18"/>
                <w:szCs w:val="18"/>
              </w:rPr>
              <w:t>c)</w:t>
            </w:r>
          </w:p>
        </w:tc>
        <w:tc>
          <w:tcPr>
            <w:tcW w:w="6120" w:type="dxa"/>
            <w:gridSpan w:val="3"/>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napToGrid w:val="0"/>
                <w:color w:val="000000"/>
                <w:sz w:val="18"/>
                <w:szCs w:val="18"/>
              </w:rPr>
            </w:pPr>
            <w:r>
              <w:rPr>
                <w:color w:val="000000"/>
                <w:sz w:val="18"/>
                <w:szCs w:val="18"/>
              </w:rPr>
              <w:t>Add language to WEQ-001-4 Online Negotiation and Confirmation process to clarify Table 4-3</w:t>
            </w:r>
            <w:r>
              <w:rPr>
                <w:snapToGrid w:val="0"/>
                <w:color w:val="000000"/>
                <w:sz w:val="18"/>
                <w:szCs w:val="18"/>
              </w:rPr>
              <w:t xml:space="preserve"> (</w:t>
            </w:r>
            <w:hyperlink r:id="rId25" w:tgtFrame="new" w:history="1">
              <w:r>
                <w:rPr>
                  <w:rStyle w:val="Hyperlink"/>
                  <w:color w:val="3366FF"/>
                  <w:sz w:val="18"/>
                  <w:szCs w:val="18"/>
                </w:rPr>
                <w:t>R09003</w:t>
              </w:r>
            </w:hyperlink>
            <w:r>
              <w:rPr>
                <w:snapToGrid w:val="0"/>
                <w:color w:val="000000"/>
                <w:sz w:val="18"/>
                <w:szCs w:val="18"/>
              </w:rPr>
              <w:t>)</w:t>
            </w:r>
            <w:r>
              <w:rPr>
                <w:snapToGrid w:val="0"/>
                <w:color w:val="000000"/>
                <w:sz w:val="18"/>
                <w:szCs w:val="18"/>
              </w:rPr>
              <w:br/>
            </w:r>
            <w:r>
              <w:rPr>
                <w:sz w:val="18"/>
                <w:szCs w:val="18"/>
              </w:rPr>
              <w:t>Status:  Started</w:t>
            </w:r>
          </w:p>
        </w:tc>
        <w:tc>
          <w:tcPr>
            <w:tcW w:w="1170" w:type="dxa"/>
          </w:tcPr>
          <w:p>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3</w:t>
            </w:r>
            <w:r>
              <w:rPr>
                <w:rFonts w:ascii="Times New Roman" w:hAnsi="Times New Roman"/>
                <w:sz w:val="18"/>
                <w:szCs w:val="18"/>
                <w:vertAlign w:val="superscript"/>
              </w:rPr>
              <w:t>rd</w:t>
            </w:r>
            <w:r>
              <w:rPr>
                <w:rFonts w:ascii="Times New Roman" w:hAnsi="Times New Roman"/>
                <w:sz w:val="18"/>
                <w:szCs w:val="18"/>
              </w:rPr>
              <w:t xml:space="preserve"> Q, 2013</w:t>
            </w:r>
          </w:p>
        </w:tc>
        <w:tc>
          <w:tcPr>
            <w:tcW w:w="1620" w:type="dxa"/>
          </w:tcPr>
          <w:p>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trPr>
          <w:cantSplit/>
          <w:trHeight w:val="503"/>
        </w:trPr>
        <w:tc>
          <w:tcPr>
            <w:tcW w:w="360" w:type="dxa"/>
          </w:tcPr>
          <w:p>
            <w:pPr>
              <w:pStyle w:val="TableText"/>
              <w:spacing w:before="40" w:after="40"/>
              <w:ind w:left="144"/>
              <w:rPr>
                <w:rFonts w:ascii="Times New Roman" w:hAnsi="Times New Roman"/>
                <w:color w:val="auto"/>
                <w:sz w:val="18"/>
                <w:szCs w:val="18"/>
              </w:rPr>
            </w:pPr>
          </w:p>
        </w:tc>
        <w:tc>
          <w:tcPr>
            <w:tcW w:w="360" w:type="dxa"/>
          </w:tcPr>
          <w:p>
            <w:pPr>
              <w:spacing w:before="40" w:after="40"/>
              <w:ind w:left="144"/>
              <w:rPr>
                <w:sz w:val="18"/>
                <w:szCs w:val="18"/>
              </w:rPr>
            </w:pPr>
            <w:r>
              <w:rPr>
                <w:sz w:val="18"/>
                <w:szCs w:val="18"/>
              </w:rPr>
              <w:t>d)</w:t>
            </w:r>
          </w:p>
        </w:tc>
        <w:tc>
          <w:tcPr>
            <w:tcW w:w="6120" w:type="dxa"/>
            <w:gridSpan w:val="3"/>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color w:val="000000"/>
                <w:sz w:val="18"/>
                <w:szCs w:val="18"/>
              </w:rPr>
              <w:t>Create a new OASIS mechanism that allows for the merger of like reservations without the use of the resale mechanism (</w:t>
            </w:r>
            <w:hyperlink r:id="rId26" w:history="1">
              <w:r>
                <w:rPr>
                  <w:rStyle w:val="Hyperlink"/>
                  <w:sz w:val="18"/>
                  <w:szCs w:val="18"/>
                </w:rPr>
                <w:t>R09015</w:t>
              </w:r>
            </w:hyperlink>
            <w:r>
              <w:rPr>
                <w:color w:val="000000"/>
                <w:sz w:val="18"/>
                <w:szCs w:val="18"/>
              </w:rPr>
              <w:t>)</w:t>
            </w:r>
            <w:r>
              <w:rPr>
                <w:color w:val="000000"/>
                <w:sz w:val="18"/>
                <w:szCs w:val="18"/>
              </w:rPr>
              <w:br/>
            </w:r>
            <w:r>
              <w:rPr>
                <w:sz w:val="18"/>
                <w:szCs w:val="18"/>
              </w:rPr>
              <w:t>Status:  Not Started</w:t>
            </w:r>
          </w:p>
        </w:tc>
        <w:tc>
          <w:tcPr>
            <w:tcW w:w="1170" w:type="dxa"/>
          </w:tcPr>
          <w:p>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trPr>
          <w:cantSplit/>
          <w:trHeight w:val="503"/>
        </w:trPr>
        <w:tc>
          <w:tcPr>
            <w:tcW w:w="360" w:type="dxa"/>
          </w:tcPr>
          <w:p>
            <w:pPr>
              <w:pStyle w:val="TableText"/>
              <w:spacing w:before="40" w:after="40"/>
              <w:ind w:left="144"/>
              <w:rPr>
                <w:rFonts w:ascii="Times New Roman" w:hAnsi="Times New Roman"/>
                <w:color w:val="auto"/>
                <w:sz w:val="18"/>
                <w:szCs w:val="18"/>
              </w:rPr>
            </w:pPr>
          </w:p>
        </w:tc>
        <w:tc>
          <w:tcPr>
            <w:tcW w:w="360" w:type="dxa"/>
          </w:tcPr>
          <w:p>
            <w:pPr>
              <w:spacing w:before="40" w:after="40"/>
              <w:ind w:left="144"/>
              <w:rPr>
                <w:sz w:val="18"/>
                <w:szCs w:val="18"/>
              </w:rPr>
            </w:pPr>
            <w:r>
              <w:rPr>
                <w:sz w:val="18"/>
                <w:szCs w:val="18"/>
              </w:rPr>
              <w:t>e)</w:t>
            </w:r>
          </w:p>
        </w:tc>
        <w:tc>
          <w:tcPr>
            <w:tcW w:w="6120" w:type="dxa"/>
            <w:gridSpan w:val="3"/>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color w:val="000000"/>
                <w:sz w:val="18"/>
                <w:szCs w:val="18"/>
              </w:rPr>
              <w:t>Improve transparency to allow customers to determine whether they have been treated in a non-discriminatory manner by posting of additional information on OASIS when service is denied (i.e. refused or declined) by customer(s) using new SAMTS process across multiple transmission systems to serve their NITS load on multiple systems. (</w:t>
            </w:r>
            <w:hyperlink r:id="rId27" w:history="1">
              <w:r>
                <w:rPr>
                  <w:rStyle w:val="Hyperlink"/>
                  <w:sz w:val="18"/>
                  <w:szCs w:val="18"/>
                </w:rPr>
                <w:t>R12006</w:t>
              </w:r>
            </w:hyperlink>
            <w:r>
              <w:rPr>
                <w:color w:val="000000"/>
                <w:sz w:val="18"/>
                <w:szCs w:val="18"/>
              </w:rPr>
              <w: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color w:val="000000"/>
                <w:sz w:val="18"/>
                <w:szCs w:val="18"/>
              </w:rPr>
              <w:t>Status: Not Started</w:t>
            </w:r>
          </w:p>
        </w:tc>
        <w:tc>
          <w:tcPr>
            <w:tcW w:w="1170" w:type="dxa"/>
          </w:tcPr>
          <w:p>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trPr>
          <w:cantSplit/>
          <w:trHeight w:val="345"/>
        </w:trPr>
        <w:tc>
          <w:tcPr>
            <w:tcW w:w="360" w:type="dxa"/>
          </w:tcPr>
          <w:p>
            <w:pPr>
              <w:pStyle w:val="TableText"/>
              <w:keepNext/>
              <w:spacing w:before="40" w:after="40"/>
              <w:ind w:left="144"/>
              <w:rPr>
                <w:rFonts w:ascii="Times New Roman" w:hAnsi="Times New Roman"/>
                <w:color w:val="auto"/>
                <w:sz w:val="18"/>
                <w:szCs w:val="18"/>
              </w:rPr>
            </w:pPr>
            <w:r>
              <w:rPr>
                <w:rFonts w:ascii="Times New Roman" w:hAnsi="Times New Roman"/>
                <w:b/>
                <w:color w:val="auto"/>
                <w:sz w:val="18"/>
                <w:szCs w:val="18"/>
              </w:rPr>
              <w:lastRenderedPageBreak/>
              <w:t>6.</w:t>
            </w:r>
          </w:p>
        </w:tc>
        <w:tc>
          <w:tcPr>
            <w:tcW w:w="9270" w:type="dxa"/>
            <w:gridSpan w:val="6"/>
          </w:tcPr>
          <w:p>
            <w:pPr>
              <w:pStyle w:val="TableText"/>
              <w:widowControl w:val="0"/>
              <w:spacing w:before="40" w:after="40"/>
              <w:ind w:left="144"/>
              <w:rPr>
                <w:rFonts w:ascii="Times New Roman" w:hAnsi="Times New Roman"/>
                <w:color w:val="auto"/>
                <w:sz w:val="18"/>
                <w:szCs w:val="18"/>
              </w:rPr>
            </w:pPr>
            <w:r>
              <w:rPr>
                <w:rFonts w:ascii="Times New Roman" w:hAnsi="Times New Roman"/>
                <w:b/>
                <w:sz w:val="18"/>
                <w:szCs w:val="18"/>
              </w:rPr>
              <w:t xml:space="preserve">Develop or modify standards to Support </w:t>
            </w:r>
            <w:hyperlink r:id="rId28" w:history="1">
              <w:r>
                <w:rPr>
                  <w:rStyle w:val="Hyperlink"/>
                  <w:rFonts w:ascii="Times New Roman" w:hAnsi="Times New Roman"/>
                  <w:b/>
                  <w:sz w:val="18"/>
                  <w:szCs w:val="18"/>
                </w:rPr>
                <w:t>FERC Order No. 676-E</w:t>
              </w:r>
            </w:hyperlink>
            <w:r>
              <w:rPr>
                <w:rFonts w:ascii="Times New Roman" w:hAnsi="Times New Roman"/>
                <w:b/>
                <w:sz w:val="18"/>
                <w:szCs w:val="18"/>
              </w:rPr>
              <w:t>, (Docket No. RM 05-5-013)</w:t>
            </w:r>
          </w:p>
        </w:tc>
      </w:tr>
      <w:tr>
        <w:trPr>
          <w:cantSplit/>
          <w:trHeight w:val="503"/>
        </w:trPr>
        <w:tc>
          <w:tcPr>
            <w:tcW w:w="360" w:type="dxa"/>
          </w:tcPr>
          <w:p>
            <w:pPr>
              <w:pStyle w:val="TableText"/>
              <w:spacing w:before="40" w:after="40"/>
              <w:ind w:left="144"/>
              <w:rPr>
                <w:rFonts w:ascii="Times New Roman" w:hAnsi="Times New Roman"/>
                <w:color w:val="auto"/>
                <w:sz w:val="18"/>
                <w:szCs w:val="18"/>
              </w:rPr>
            </w:pPr>
          </w:p>
        </w:tc>
        <w:tc>
          <w:tcPr>
            <w:tcW w:w="360" w:type="dxa"/>
          </w:tcPr>
          <w:p>
            <w:pPr>
              <w:spacing w:before="40" w:after="40"/>
              <w:ind w:left="144"/>
              <w:rPr>
                <w:sz w:val="18"/>
                <w:szCs w:val="18"/>
              </w:rPr>
            </w:pPr>
            <w:r>
              <w:rPr>
                <w:sz w:val="18"/>
                <w:szCs w:val="18"/>
              </w:rPr>
              <w:t>a)</w:t>
            </w:r>
          </w:p>
        </w:tc>
        <w:tc>
          <w:tcPr>
            <w:tcW w:w="6120" w:type="dxa"/>
            <w:gridSpan w:val="3"/>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sz w:val="18"/>
                <w:szCs w:val="18"/>
              </w:rPr>
              <w:t>Develop standards to support the Transmission Provider right to reassess the availability of conditional firm (See ¶ 72</w:t>
            </w:r>
            <w:r>
              <w:rPr>
                <w:rStyle w:val="FootnoteReference"/>
                <w:sz w:val="18"/>
                <w:szCs w:val="18"/>
              </w:rPr>
              <w:footnoteReference w:id="8"/>
            </w:r>
            <w:r>
              <w:rPr>
                <w:sz w:val="18"/>
                <w:szCs w:val="18"/>
              </w:rPr>
              <w:t>)</w:t>
            </w:r>
            <w:r>
              <w:rPr>
                <w:sz w:val="18"/>
                <w:szCs w:val="18"/>
              </w:rPr>
              <w:br/>
              <w:t>Status: Not Started</w:t>
            </w:r>
          </w:p>
        </w:tc>
        <w:tc>
          <w:tcPr>
            <w:tcW w:w="1170" w:type="dxa"/>
          </w:tcPr>
          <w:p>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TBD</w:t>
            </w:r>
          </w:p>
        </w:tc>
        <w:tc>
          <w:tcPr>
            <w:tcW w:w="1620" w:type="dxa"/>
          </w:tcPr>
          <w:p>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bl>
    <w:p/>
    <w:p/>
    <w:p/>
    <w:p>
      <w:r>
        <w:br w:type="page"/>
      </w:r>
    </w:p>
    <w:p/>
    <w:tbl>
      <w:tblPr>
        <w:tblW w:w="9630" w:type="dxa"/>
        <w:tblInd w:w="17" w:type="dxa"/>
        <w:tblBorders>
          <w:bottom w:val="single" w:sz="4" w:space="0" w:color="auto"/>
        </w:tblBorders>
        <w:tblLayout w:type="fixed"/>
        <w:tblCellMar>
          <w:top w:w="60" w:type="dxa"/>
          <w:left w:w="17" w:type="dxa"/>
          <w:right w:w="17" w:type="dxa"/>
        </w:tblCellMar>
        <w:tblLook w:val="0000" w:firstRow="0" w:lastRow="0" w:firstColumn="0" w:lastColumn="0" w:noHBand="0" w:noVBand="0"/>
      </w:tblPr>
      <w:tblGrid>
        <w:gridCol w:w="360"/>
        <w:gridCol w:w="450"/>
        <w:gridCol w:w="8820"/>
      </w:tblGrid>
      <w:tr>
        <w:trPr>
          <w:cantSplit/>
          <w:tblHeader/>
        </w:trPr>
        <w:tc>
          <w:tcPr>
            <w:tcW w:w="9630" w:type="dxa"/>
            <w:gridSpan w:val="3"/>
            <w:tcBorders>
              <w:top w:val="single" w:sz="4" w:space="0" w:color="auto"/>
              <w:bottom w:val="single" w:sz="4" w:space="0" w:color="auto"/>
            </w:tcBorders>
          </w:tcPr>
          <w:p>
            <w:pPr>
              <w:pStyle w:val="BodyTextIndent3"/>
              <w:tabs>
                <w:tab w:val="left" w:pos="6336"/>
              </w:tabs>
              <w:spacing w:before="40" w:after="40"/>
              <w:ind w:left="144"/>
              <w:jc w:val="center"/>
              <w:rPr>
                <w:b/>
                <w:sz w:val="18"/>
                <w:szCs w:val="18"/>
              </w:rPr>
            </w:pPr>
            <w:r>
              <w:rPr>
                <w:b/>
                <w:sz w:val="18"/>
                <w:szCs w:val="18"/>
              </w:rPr>
              <w:t>NORTH AMERICAN ENERGY STANDARDS BOARD</w:t>
            </w:r>
            <w:r>
              <w:rPr>
                <w:b/>
                <w:sz w:val="18"/>
                <w:szCs w:val="18"/>
              </w:rPr>
              <w:br/>
              <w:t xml:space="preserve">PROPOSED 2013 ANNUAL PLAN for the WHOLESALE ELECTRIC QUADRANT </w:t>
            </w:r>
            <w:r>
              <w:rPr>
                <w:b/>
                <w:sz w:val="18"/>
                <w:szCs w:val="18"/>
              </w:rPr>
              <w:br/>
              <w:t>Approved by the WEQ EC on October 23, 2012</w:t>
            </w:r>
          </w:p>
        </w:tc>
      </w:tr>
      <w:tr>
        <w:trPr>
          <w:cantSplit/>
          <w:tblHeader/>
        </w:trPr>
        <w:tc>
          <w:tcPr>
            <w:tcW w:w="9630" w:type="dxa"/>
            <w:gridSpan w:val="3"/>
            <w:tcBorders>
              <w:top w:val="single" w:sz="4" w:space="0" w:color="auto"/>
              <w:bottom w:val="single" w:sz="4" w:space="0" w:color="auto"/>
            </w:tcBorders>
          </w:tcPr>
          <w:p>
            <w:pPr>
              <w:pStyle w:val="BodyTextIndent3"/>
              <w:tabs>
                <w:tab w:val="left" w:pos="6336"/>
              </w:tabs>
              <w:spacing w:before="40" w:after="40"/>
              <w:ind w:left="144"/>
              <w:rPr>
                <w:b/>
                <w:sz w:val="18"/>
                <w:szCs w:val="18"/>
              </w:rPr>
            </w:pPr>
            <w:r>
              <w:rPr>
                <w:b/>
                <w:sz w:val="18"/>
                <w:szCs w:val="18"/>
              </w:rPr>
              <w:t>PROVISIONAL ITEMS</w:t>
            </w:r>
          </w:p>
        </w:tc>
      </w:tr>
      <w:tr>
        <w:tblPrEx>
          <w:tblBorders>
            <w:bottom w:val="none" w:sz="0" w:space="0" w:color="auto"/>
          </w:tblBorders>
          <w:tblCellMar>
            <w:top w:w="0" w:type="dxa"/>
            <w:left w:w="108" w:type="dxa"/>
            <w:right w:w="108" w:type="dxa"/>
          </w:tblCellMar>
        </w:tblPrEx>
        <w:tc>
          <w:tcPr>
            <w:tcW w:w="360" w:type="dxa"/>
            <w:shd w:val="clear" w:color="auto" w:fill="FFFFFF"/>
          </w:tcPr>
          <w:p>
            <w:pPr>
              <w:pStyle w:val="TableText"/>
              <w:spacing w:before="40" w:after="40"/>
              <w:rPr>
                <w:rFonts w:ascii="Times New Roman" w:hAnsi="Times New Roman"/>
                <w:color w:val="auto"/>
                <w:sz w:val="18"/>
                <w:szCs w:val="18"/>
              </w:rPr>
            </w:pPr>
            <w:r>
              <w:rPr>
                <w:rFonts w:ascii="Times New Roman" w:hAnsi="Times New Roman"/>
                <w:color w:val="auto"/>
                <w:sz w:val="18"/>
                <w:szCs w:val="18"/>
              </w:rPr>
              <w:t>1</w:t>
            </w:r>
          </w:p>
        </w:tc>
        <w:tc>
          <w:tcPr>
            <w:tcW w:w="450" w:type="dxa"/>
            <w:shd w:val="clear" w:color="auto" w:fill="FFFFFF"/>
          </w:tcPr>
          <w:p>
            <w:pPr>
              <w:pStyle w:val="TableText"/>
              <w:keepNext/>
              <w:spacing w:before="40" w:after="40"/>
              <w:rPr>
                <w:rFonts w:ascii="Times New Roman" w:hAnsi="Times New Roman"/>
                <w:color w:val="auto"/>
                <w:sz w:val="18"/>
                <w:szCs w:val="18"/>
              </w:rPr>
            </w:pPr>
          </w:p>
        </w:tc>
        <w:tc>
          <w:tcPr>
            <w:tcW w:w="8820" w:type="dxa"/>
            <w:shd w:val="clear" w:color="auto" w:fill="FFFFFF"/>
          </w:tcPr>
          <w:p>
            <w:pPr>
              <w:pStyle w:val="Signature"/>
              <w:spacing w:before="40" w:after="40"/>
              <w:rPr>
                <w:sz w:val="18"/>
                <w:szCs w:val="18"/>
              </w:rPr>
            </w:pPr>
            <w:r>
              <w:rPr>
                <w:b/>
                <w:sz w:val="18"/>
                <w:szCs w:val="18"/>
              </w:rPr>
              <w:t>Develop business practices standards as needed to complement NERC reliability standards</w:t>
            </w:r>
          </w:p>
        </w:tc>
      </w:tr>
      <w:tr>
        <w:tblPrEx>
          <w:tblBorders>
            <w:bottom w:val="none" w:sz="0" w:space="0" w:color="auto"/>
          </w:tblBorders>
          <w:tblCellMar>
            <w:top w:w="0" w:type="dxa"/>
            <w:left w:w="108" w:type="dxa"/>
            <w:right w:w="108" w:type="dxa"/>
          </w:tblCellMar>
        </w:tblPrEx>
        <w:tc>
          <w:tcPr>
            <w:tcW w:w="360" w:type="dxa"/>
            <w:shd w:val="clear" w:color="auto" w:fill="FFFFFF"/>
          </w:tcPr>
          <w:p>
            <w:pPr>
              <w:pStyle w:val="TableText"/>
              <w:spacing w:before="40" w:after="40"/>
              <w:rPr>
                <w:rFonts w:ascii="Times New Roman" w:hAnsi="Times New Roman"/>
                <w:color w:val="auto"/>
                <w:sz w:val="18"/>
                <w:szCs w:val="18"/>
              </w:rPr>
            </w:pPr>
          </w:p>
        </w:tc>
        <w:tc>
          <w:tcPr>
            <w:tcW w:w="450" w:type="dxa"/>
            <w:shd w:val="clear" w:color="auto" w:fill="FFFFFF"/>
          </w:tcPr>
          <w:p>
            <w:pPr>
              <w:pStyle w:val="TableText"/>
              <w:keepNext/>
              <w:spacing w:before="40" w:after="40"/>
              <w:rPr>
                <w:rFonts w:ascii="Times New Roman" w:hAnsi="Times New Roman"/>
                <w:color w:val="auto"/>
                <w:sz w:val="18"/>
                <w:szCs w:val="18"/>
              </w:rPr>
            </w:pPr>
          </w:p>
        </w:tc>
        <w:tc>
          <w:tcPr>
            <w:tcW w:w="8820" w:type="dxa"/>
            <w:shd w:val="clear" w:color="auto" w:fill="FFFFFF"/>
          </w:tcPr>
          <w:p>
            <w:pPr>
              <w:pStyle w:val="Signature"/>
              <w:spacing w:before="40" w:after="40"/>
              <w:rPr>
                <w:sz w:val="18"/>
                <w:szCs w:val="18"/>
              </w:rPr>
            </w:pPr>
          </w:p>
        </w:tc>
      </w:tr>
      <w:tr>
        <w:tblPrEx>
          <w:tblBorders>
            <w:bottom w:val="none" w:sz="0" w:space="0" w:color="auto"/>
          </w:tblBorders>
          <w:tblCellMar>
            <w:top w:w="0" w:type="dxa"/>
            <w:left w:w="108" w:type="dxa"/>
            <w:right w:w="108" w:type="dxa"/>
          </w:tblCellMar>
        </w:tblPrEx>
        <w:tc>
          <w:tcPr>
            <w:tcW w:w="360" w:type="dxa"/>
            <w:shd w:val="clear" w:color="auto" w:fill="FFFFFF"/>
          </w:tcPr>
          <w:p>
            <w:pPr>
              <w:pStyle w:val="TableText"/>
              <w:spacing w:before="40" w:after="40"/>
              <w:rPr>
                <w:rFonts w:ascii="Times New Roman" w:hAnsi="Times New Roman"/>
                <w:color w:val="auto"/>
                <w:sz w:val="18"/>
                <w:szCs w:val="18"/>
              </w:rPr>
            </w:pPr>
          </w:p>
        </w:tc>
        <w:tc>
          <w:tcPr>
            <w:tcW w:w="450" w:type="dxa"/>
            <w:shd w:val="clear" w:color="auto" w:fill="FFFFFF"/>
          </w:tcPr>
          <w:p>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a)</w:t>
            </w:r>
          </w:p>
        </w:tc>
        <w:tc>
          <w:tcPr>
            <w:tcW w:w="8820" w:type="dxa"/>
            <w:shd w:val="clear" w:color="auto" w:fill="FFFFFF"/>
          </w:tcPr>
          <w:p>
            <w:pPr>
              <w:pStyle w:val="Signature"/>
              <w:spacing w:before="40" w:after="40"/>
              <w:rPr>
                <w:sz w:val="18"/>
                <w:szCs w:val="18"/>
              </w:rPr>
            </w:pPr>
            <w:r>
              <w:rPr>
                <w:sz w:val="18"/>
                <w:szCs w:val="18"/>
              </w:rPr>
              <w:t xml:space="preserve">Develop complementary standards that align with NERC </w:t>
            </w:r>
            <w:hyperlink r:id="rId29" w:history="1">
              <w:r>
                <w:rPr>
                  <w:rStyle w:val="Hyperlink"/>
                  <w:sz w:val="18"/>
                  <w:szCs w:val="18"/>
                </w:rPr>
                <w:t>Project 2008-01 Voltage and Reactive Planning and Control</w:t>
              </w:r>
            </w:hyperlink>
            <w:r>
              <w:rPr>
                <w:sz w:val="18"/>
                <w:szCs w:val="18"/>
              </w:rPr>
              <w:t xml:space="preserve">. A SAR was finalized in April 2011.  </w:t>
            </w:r>
          </w:p>
        </w:tc>
      </w:tr>
      <w:tr>
        <w:tblPrEx>
          <w:tblBorders>
            <w:bottom w:val="none" w:sz="0" w:space="0" w:color="auto"/>
          </w:tblBorders>
          <w:tblCellMar>
            <w:top w:w="0" w:type="dxa"/>
            <w:left w:w="108" w:type="dxa"/>
            <w:right w:w="108" w:type="dxa"/>
          </w:tblCellMar>
        </w:tblPrEx>
        <w:tc>
          <w:tcPr>
            <w:tcW w:w="360" w:type="dxa"/>
            <w:shd w:val="clear" w:color="auto" w:fill="FFFFFF"/>
          </w:tcPr>
          <w:p>
            <w:pPr>
              <w:pStyle w:val="TableText"/>
              <w:spacing w:before="40" w:after="40"/>
              <w:rPr>
                <w:rFonts w:ascii="Times New Roman" w:hAnsi="Times New Roman"/>
                <w:color w:val="auto"/>
                <w:sz w:val="18"/>
                <w:szCs w:val="18"/>
              </w:rPr>
            </w:pPr>
          </w:p>
        </w:tc>
        <w:tc>
          <w:tcPr>
            <w:tcW w:w="450" w:type="dxa"/>
            <w:shd w:val="clear" w:color="auto" w:fill="FFFFFF"/>
          </w:tcPr>
          <w:p>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b)</w:t>
            </w:r>
          </w:p>
        </w:tc>
        <w:tc>
          <w:tcPr>
            <w:tcW w:w="8820" w:type="dxa"/>
            <w:shd w:val="clear" w:color="auto" w:fill="FFFFFF"/>
          </w:tcPr>
          <w:p>
            <w:pPr>
              <w:pStyle w:val="Signature"/>
              <w:spacing w:before="40" w:after="40"/>
              <w:rPr>
                <w:sz w:val="18"/>
                <w:szCs w:val="18"/>
              </w:rPr>
            </w:pPr>
            <w:r>
              <w:rPr>
                <w:sz w:val="18"/>
                <w:szCs w:val="18"/>
              </w:rPr>
              <w:t>Develop complementary standards that align with NERC Project 2010-4 Demand Data. The NERC project may impact WEQ-015 Business Practices for Measurement and Verification of Wholesale Electricity Demand Response.</w:t>
            </w:r>
          </w:p>
        </w:tc>
      </w:tr>
      <w:tr>
        <w:tblPrEx>
          <w:tblBorders>
            <w:bottom w:val="none" w:sz="0" w:space="0" w:color="auto"/>
          </w:tblBorders>
          <w:tblCellMar>
            <w:top w:w="0" w:type="dxa"/>
            <w:left w:w="108" w:type="dxa"/>
            <w:right w:w="108" w:type="dxa"/>
          </w:tblCellMar>
        </w:tblPrEx>
        <w:tc>
          <w:tcPr>
            <w:tcW w:w="360" w:type="dxa"/>
            <w:shd w:val="clear" w:color="auto" w:fill="FFFFFF"/>
          </w:tcPr>
          <w:p>
            <w:pPr>
              <w:pStyle w:val="TableText"/>
              <w:spacing w:before="40" w:after="40"/>
              <w:rPr>
                <w:rFonts w:ascii="Times New Roman" w:hAnsi="Times New Roman"/>
                <w:color w:val="auto"/>
                <w:sz w:val="18"/>
                <w:szCs w:val="18"/>
              </w:rPr>
            </w:pPr>
          </w:p>
        </w:tc>
        <w:tc>
          <w:tcPr>
            <w:tcW w:w="450" w:type="dxa"/>
            <w:shd w:val="clear" w:color="auto" w:fill="FFFFFF"/>
          </w:tcPr>
          <w:p>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c)</w:t>
            </w:r>
          </w:p>
        </w:tc>
        <w:tc>
          <w:tcPr>
            <w:tcW w:w="8820" w:type="dxa"/>
            <w:shd w:val="clear" w:color="auto" w:fill="FFFFFF"/>
          </w:tcPr>
          <w:p>
            <w:pPr>
              <w:pStyle w:val="Signature"/>
              <w:spacing w:before="40" w:after="40"/>
              <w:rPr>
                <w:sz w:val="18"/>
                <w:szCs w:val="18"/>
              </w:rPr>
            </w:pPr>
            <w:r>
              <w:rPr>
                <w:sz w:val="18"/>
                <w:szCs w:val="18"/>
              </w:rPr>
              <w:t xml:space="preserve">Coordinate with NERC on the functional model glossary revisions NERC </w:t>
            </w:r>
            <w:hyperlink r:id="rId30" w:history="1">
              <w:r>
                <w:rPr>
                  <w:rStyle w:val="Hyperlink"/>
                  <w:sz w:val="18"/>
                  <w:szCs w:val="18"/>
                </w:rPr>
                <w:t>Project 2010-08 Functional Glossary Model Revisions</w:t>
              </w:r>
            </w:hyperlink>
            <w:r>
              <w:rPr>
                <w:sz w:val="18"/>
                <w:szCs w:val="18"/>
              </w:rPr>
              <w:t>.  The NERC project may impact WEQ-000 Abbreviations, Acronyms, and Definition of Terms.</w:t>
            </w:r>
          </w:p>
        </w:tc>
      </w:tr>
      <w:tr>
        <w:tblPrEx>
          <w:tblBorders>
            <w:bottom w:val="none" w:sz="0" w:space="0" w:color="auto"/>
          </w:tblBorders>
          <w:tblCellMar>
            <w:top w:w="0" w:type="dxa"/>
            <w:left w:w="108" w:type="dxa"/>
            <w:right w:w="108" w:type="dxa"/>
          </w:tblCellMar>
        </w:tblPrEx>
        <w:tc>
          <w:tcPr>
            <w:tcW w:w="360" w:type="dxa"/>
            <w:shd w:val="clear" w:color="auto" w:fill="FFFFFF"/>
          </w:tcPr>
          <w:p>
            <w:pPr>
              <w:pStyle w:val="TableText"/>
              <w:spacing w:before="40" w:after="40"/>
              <w:rPr>
                <w:rFonts w:ascii="Times New Roman" w:hAnsi="Times New Roman"/>
                <w:color w:val="auto"/>
                <w:sz w:val="18"/>
                <w:szCs w:val="18"/>
              </w:rPr>
            </w:pPr>
          </w:p>
        </w:tc>
        <w:tc>
          <w:tcPr>
            <w:tcW w:w="450" w:type="dxa"/>
            <w:shd w:val="clear" w:color="auto" w:fill="FFFFFF"/>
          </w:tcPr>
          <w:p>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d)</w:t>
            </w:r>
          </w:p>
        </w:tc>
        <w:tc>
          <w:tcPr>
            <w:tcW w:w="8820" w:type="dxa"/>
            <w:shd w:val="clear" w:color="auto" w:fill="FFFFFF"/>
          </w:tcPr>
          <w:p>
            <w:pPr>
              <w:pStyle w:val="Signature"/>
              <w:spacing w:before="40" w:after="40"/>
              <w:rPr>
                <w:sz w:val="18"/>
                <w:szCs w:val="18"/>
              </w:rPr>
            </w:pPr>
            <w:r>
              <w:rPr>
                <w:sz w:val="18"/>
                <w:szCs w:val="18"/>
              </w:rPr>
              <w:t>Coordinate with NERC on NERC Project 2012-05 ATC Revisions - Order 729.  The NERC project may impact the WEQ-001 Open Access Same-Time Information Systems (OASIS) Standards, WEQ-002 OASIS Standards and Communication Protocol (S&amp;CP), WEQ-003 Open Access Same-Time Information Systems (OASIS) Data Dictionary, and WEQ-013 OASIS Implementation Guide.</w:t>
            </w:r>
          </w:p>
        </w:tc>
      </w:tr>
      <w:tr>
        <w:tblPrEx>
          <w:tblBorders>
            <w:bottom w:val="none" w:sz="0" w:space="0" w:color="auto"/>
          </w:tblBorders>
          <w:tblCellMar>
            <w:top w:w="0" w:type="dxa"/>
            <w:left w:w="108" w:type="dxa"/>
            <w:right w:w="108" w:type="dxa"/>
          </w:tblCellMar>
        </w:tblPrEx>
        <w:tc>
          <w:tcPr>
            <w:tcW w:w="360" w:type="dxa"/>
            <w:shd w:val="clear" w:color="auto" w:fill="FFFFFF"/>
          </w:tcPr>
          <w:p>
            <w:pPr>
              <w:pStyle w:val="TableText"/>
              <w:spacing w:before="40" w:after="40"/>
              <w:rPr>
                <w:rFonts w:ascii="Times New Roman" w:hAnsi="Times New Roman"/>
                <w:color w:val="auto"/>
                <w:sz w:val="18"/>
                <w:szCs w:val="18"/>
              </w:rPr>
            </w:pPr>
          </w:p>
        </w:tc>
        <w:tc>
          <w:tcPr>
            <w:tcW w:w="450" w:type="dxa"/>
            <w:shd w:val="clear" w:color="auto" w:fill="FFFFFF"/>
          </w:tcPr>
          <w:p>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e)</w:t>
            </w:r>
          </w:p>
        </w:tc>
        <w:tc>
          <w:tcPr>
            <w:tcW w:w="8820" w:type="dxa"/>
            <w:shd w:val="clear" w:color="auto" w:fill="FFFFFF"/>
          </w:tcPr>
          <w:p>
            <w:pPr>
              <w:pStyle w:val="Signature"/>
              <w:spacing w:before="40" w:after="40"/>
              <w:rPr>
                <w:sz w:val="18"/>
                <w:szCs w:val="18"/>
              </w:rPr>
            </w:pPr>
            <w:r>
              <w:rPr>
                <w:sz w:val="18"/>
                <w:szCs w:val="18"/>
              </w:rPr>
              <w:t>Coordinate with NERC on NERC Project 2012-08 Glossary Updates.  The NERC project may impact WEQ-000 Abbreviations, Acronyms, and Definition of Terms</w:t>
            </w:r>
          </w:p>
        </w:tc>
      </w:tr>
      <w:tr>
        <w:tblPrEx>
          <w:tblBorders>
            <w:bottom w:val="none" w:sz="0" w:space="0" w:color="auto"/>
          </w:tblBorders>
          <w:tblCellMar>
            <w:top w:w="0" w:type="dxa"/>
            <w:left w:w="108" w:type="dxa"/>
            <w:right w:w="108" w:type="dxa"/>
          </w:tblCellMar>
        </w:tblPrEx>
        <w:tc>
          <w:tcPr>
            <w:tcW w:w="360" w:type="dxa"/>
            <w:shd w:val="clear" w:color="auto" w:fill="FFFFFF"/>
          </w:tcPr>
          <w:p>
            <w:pPr>
              <w:pStyle w:val="TableText"/>
              <w:spacing w:before="40" w:after="40"/>
              <w:rPr>
                <w:rFonts w:ascii="Times New Roman" w:hAnsi="Times New Roman"/>
                <w:color w:val="auto"/>
                <w:sz w:val="18"/>
                <w:szCs w:val="18"/>
              </w:rPr>
            </w:pPr>
          </w:p>
        </w:tc>
        <w:tc>
          <w:tcPr>
            <w:tcW w:w="450" w:type="dxa"/>
            <w:shd w:val="clear" w:color="auto" w:fill="FFFFFF"/>
          </w:tcPr>
          <w:p>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f)</w:t>
            </w:r>
          </w:p>
        </w:tc>
        <w:tc>
          <w:tcPr>
            <w:tcW w:w="8820" w:type="dxa"/>
            <w:shd w:val="clear" w:color="auto" w:fill="FFFFFF"/>
          </w:tcPr>
          <w:p>
            <w:pPr>
              <w:pStyle w:val="Signature"/>
              <w:spacing w:before="40" w:after="40"/>
              <w:rPr>
                <w:sz w:val="18"/>
                <w:szCs w:val="18"/>
              </w:rPr>
            </w:pPr>
            <w:r>
              <w:rPr>
                <w:sz w:val="18"/>
                <w:szCs w:val="18"/>
              </w:rPr>
              <w:t>Coordinate with NERC on NERC Project 2012-09 IRO Review.  The NERC project may impact WEQ-008 Transmission Loading Relief – Eastern Interconnection Standards.</w:t>
            </w:r>
          </w:p>
        </w:tc>
      </w:tr>
      <w:tr>
        <w:tblPrEx>
          <w:tblBorders>
            <w:bottom w:val="none" w:sz="0" w:space="0" w:color="auto"/>
          </w:tblBorders>
          <w:tblCellMar>
            <w:top w:w="0" w:type="dxa"/>
            <w:left w:w="108" w:type="dxa"/>
            <w:right w:w="108" w:type="dxa"/>
          </w:tblCellMar>
        </w:tblPrEx>
        <w:tc>
          <w:tcPr>
            <w:tcW w:w="360" w:type="dxa"/>
            <w:shd w:val="clear" w:color="auto" w:fill="FFFFFF"/>
          </w:tcPr>
          <w:p>
            <w:pPr>
              <w:pStyle w:val="TableText"/>
              <w:spacing w:before="40" w:after="40"/>
              <w:rPr>
                <w:rFonts w:ascii="Times New Roman" w:hAnsi="Times New Roman"/>
                <w:color w:val="auto"/>
                <w:sz w:val="18"/>
                <w:szCs w:val="18"/>
              </w:rPr>
            </w:pPr>
          </w:p>
        </w:tc>
        <w:tc>
          <w:tcPr>
            <w:tcW w:w="450" w:type="dxa"/>
            <w:shd w:val="clear" w:color="auto" w:fill="FFFFFF"/>
          </w:tcPr>
          <w:p>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g)</w:t>
            </w:r>
          </w:p>
        </w:tc>
        <w:tc>
          <w:tcPr>
            <w:tcW w:w="8820" w:type="dxa"/>
            <w:shd w:val="clear" w:color="auto" w:fill="FFFFFF"/>
          </w:tcPr>
          <w:p>
            <w:pPr>
              <w:pStyle w:val="Signature"/>
              <w:spacing w:before="40" w:after="40"/>
              <w:rPr>
                <w:sz w:val="18"/>
                <w:szCs w:val="18"/>
              </w:rPr>
            </w:pPr>
            <w:r>
              <w:rPr>
                <w:sz w:val="18"/>
                <w:szCs w:val="18"/>
              </w:rPr>
              <w:t>Coordinate with NERC on NERC Project 2012-15 Flow Limited Paths.  The NERC project may impact the WEQ-001 Open Access Same-Time Information Systems (OASIS) Standards, WEQ-002 OASIS Standards and Communication Protocol (S&amp;CP), WEQ-003 Open Access Same-Time Information Systems (OASIS) Data Dictionary, and WEQ-013 OASIS Implementation Guide.</w:t>
            </w:r>
          </w:p>
        </w:tc>
      </w:tr>
      <w:tr>
        <w:tblPrEx>
          <w:tblBorders>
            <w:bottom w:val="none" w:sz="0" w:space="0" w:color="auto"/>
          </w:tblBorders>
          <w:tblCellMar>
            <w:top w:w="0" w:type="dxa"/>
            <w:left w:w="108" w:type="dxa"/>
            <w:right w:w="108" w:type="dxa"/>
          </w:tblCellMar>
        </w:tblPrEx>
        <w:tc>
          <w:tcPr>
            <w:tcW w:w="360" w:type="dxa"/>
            <w:shd w:val="clear" w:color="auto" w:fill="FFFFFF"/>
          </w:tcPr>
          <w:p>
            <w:pPr>
              <w:pStyle w:val="TableText"/>
              <w:spacing w:before="40" w:after="40"/>
              <w:rPr>
                <w:rFonts w:ascii="Times New Roman" w:hAnsi="Times New Roman"/>
                <w:color w:val="auto"/>
                <w:sz w:val="18"/>
                <w:szCs w:val="18"/>
              </w:rPr>
            </w:pPr>
          </w:p>
        </w:tc>
        <w:tc>
          <w:tcPr>
            <w:tcW w:w="450" w:type="dxa"/>
            <w:shd w:val="clear" w:color="auto" w:fill="FFFFFF"/>
          </w:tcPr>
          <w:p>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h)</w:t>
            </w:r>
          </w:p>
        </w:tc>
        <w:tc>
          <w:tcPr>
            <w:tcW w:w="8820" w:type="dxa"/>
            <w:shd w:val="clear" w:color="auto" w:fill="FFFFFF"/>
          </w:tcPr>
          <w:p>
            <w:pPr>
              <w:pStyle w:val="Signature"/>
              <w:spacing w:before="40" w:after="40"/>
              <w:rPr>
                <w:sz w:val="18"/>
                <w:szCs w:val="18"/>
              </w:rPr>
            </w:pPr>
            <w:r>
              <w:rPr>
                <w:sz w:val="18"/>
                <w:szCs w:val="18"/>
              </w:rPr>
              <w:t xml:space="preserve">Coordinate with NERC on </w:t>
            </w:r>
            <w:hyperlink r:id="rId31" w:history="1">
              <w:r>
                <w:rPr>
                  <w:rStyle w:val="Hyperlink"/>
                  <w:sz w:val="18"/>
                  <w:szCs w:val="18"/>
                </w:rPr>
                <w:t>Project 2013-02 Paragraph 81</w:t>
              </w:r>
            </w:hyperlink>
            <w:r>
              <w:rPr>
                <w:sz w:val="18"/>
                <w:szCs w:val="18"/>
              </w:rPr>
              <w:t>.  The purpose of the project is to retire or modify FERC-approved Reliability Standard requirements that as FERC noted, "provide little protection to the reliable operations of the BES", are redundant or unnecessary, or to retire or modify a FERC-approved Reliability Standard requirement to increase the efficiency of the ERO’s compliance programs.  The project is expected to be implemented in multiple phases.</w:t>
            </w:r>
          </w:p>
        </w:tc>
      </w:tr>
      <w:tr>
        <w:tblPrEx>
          <w:tblBorders>
            <w:bottom w:val="none" w:sz="0" w:space="0" w:color="auto"/>
          </w:tblBorders>
          <w:tblCellMar>
            <w:top w:w="0" w:type="dxa"/>
            <w:left w:w="108" w:type="dxa"/>
            <w:right w:w="108" w:type="dxa"/>
          </w:tblCellMar>
        </w:tblPrEx>
        <w:tc>
          <w:tcPr>
            <w:tcW w:w="360" w:type="dxa"/>
            <w:shd w:val="clear" w:color="auto" w:fill="FFFFFF"/>
          </w:tcPr>
          <w:p>
            <w:pPr>
              <w:pStyle w:val="TableText"/>
              <w:spacing w:before="40" w:after="40"/>
              <w:rPr>
                <w:rFonts w:ascii="Times New Roman" w:hAnsi="Times New Roman"/>
                <w:color w:val="auto"/>
                <w:sz w:val="18"/>
                <w:szCs w:val="18"/>
              </w:rPr>
            </w:pPr>
          </w:p>
        </w:tc>
        <w:tc>
          <w:tcPr>
            <w:tcW w:w="450" w:type="dxa"/>
            <w:shd w:val="clear" w:color="auto" w:fill="FFFFFF"/>
          </w:tcPr>
          <w:p>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i)</w:t>
            </w:r>
          </w:p>
        </w:tc>
        <w:tc>
          <w:tcPr>
            <w:tcW w:w="8820" w:type="dxa"/>
            <w:shd w:val="clear" w:color="auto" w:fill="FFFFFF"/>
          </w:tcPr>
          <w:p>
            <w:pPr>
              <w:pStyle w:val="Signature"/>
              <w:spacing w:before="40" w:after="40"/>
              <w:rPr>
                <w:sz w:val="18"/>
                <w:szCs w:val="18"/>
              </w:rPr>
            </w:pPr>
            <w:r>
              <w:rPr>
                <w:sz w:val="18"/>
                <w:szCs w:val="18"/>
              </w:rPr>
              <w:t>Coordinate with NERC on Project 2013-01 Cold Weather Preparedness.  The purpose of this project is to Modify existing or create new standards to address problems identified during the Southwest Cold Weather Event.</w:t>
            </w:r>
            <w:r>
              <w:rPr>
                <w:rStyle w:val="FootnoteReference"/>
                <w:sz w:val="18"/>
                <w:szCs w:val="18"/>
              </w:rPr>
              <w:footnoteReference w:id="9"/>
            </w:r>
          </w:p>
        </w:tc>
      </w:tr>
      <w:tr>
        <w:tblPrEx>
          <w:tblBorders>
            <w:bottom w:val="none" w:sz="0" w:space="0" w:color="auto"/>
          </w:tblBorders>
          <w:tblCellMar>
            <w:top w:w="0" w:type="dxa"/>
            <w:left w:w="108" w:type="dxa"/>
            <w:right w:w="108" w:type="dxa"/>
          </w:tblCellMar>
        </w:tblPrEx>
        <w:tc>
          <w:tcPr>
            <w:tcW w:w="360" w:type="dxa"/>
            <w:shd w:val="clear" w:color="auto" w:fill="FFFFFF"/>
          </w:tcPr>
          <w:p>
            <w:pPr>
              <w:pStyle w:val="TableText"/>
              <w:spacing w:before="40" w:after="40"/>
              <w:rPr>
                <w:rFonts w:ascii="Times New Roman" w:hAnsi="Times New Roman"/>
                <w:color w:val="auto"/>
                <w:sz w:val="18"/>
                <w:szCs w:val="18"/>
              </w:rPr>
            </w:pPr>
            <w:r>
              <w:rPr>
                <w:rFonts w:ascii="Times New Roman" w:hAnsi="Times New Roman"/>
                <w:color w:val="auto"/>
                <w:sz w:val="18"/>
                <w:szCs w:val="18"/>
              </w:rPr>
              <w:t>2</w:t>
            </w:r>
          </w:p>
        </w:tc>
        <w:tc>
          <w:tcPr>
            <w:tcW w:w="450" w:type="dxa"/>
            <w:shd w:val="clear" w:color="auto" w:fill="FFFFFF"/>
          </w:tcPr>
          <w:p>
            <w:pPr>
              <w:pStyle w:val="TableText"/>
              <w:keepNext/>
              <w:spacing w:before="40" w:after="40"/>
              <w:rPr>
                <w:rFonts w:ascii="Times New Roman" w:hAnsi="Times New Roman"/>
                <w:color w:val="auto"/>
                <w:sz w:val="18"/>
                <w:szCs w:val="18"/>
              </w:rPr>
            </w:pPr>
          </w:p>
        </w:tc>
        <w:tc>
          <w:tcPr>
            <w:tcW w:w="8820" w:type="dxa"/>
            <w:shd w:val="clear" w:color="auto" w:fill="FFFFFF"/>
          </w:tcPr>
          <w:p>
            <w:pPr>
              <w:pStyle w:val="Signature"/>
              <w:spacing w:before="40" w:after="40"/>
              <w:rPr>
                <w:sz w:val="18"/>
                <w:szCs w:val="18"/>
              </w:rPr>
            </w:pPr>
            <w:r>
              <w:rPr>
                <w:b/>
                <w:sz w:val="18"/>
                <w:szCs w:val="18"/>
              </w:rPr>
              <w:t>Gas/Electric Coordination</w:t>
            </w:r>
          </w:p>
        </w:tc>
      </w:tr>
      <w:tr>
        <w:tblPrEx>
          <w:tblBorders>
            <w:bottom w:val="none" w:sz="0" w:space="0" w:color="auto"/>
          </w:tblBorders>
          <w:tblCellMar>
            <w:top w:w="0" w:type="dxa"/>
            <w:left w:w="108" w:type="dxa"/>
            <w:right w:w="108" w:type="dxa"/>
          </w:tblCellMar>
        </w:tblPrEx>
        <w:tc>
          <w:tcPr>
            <w:tcW w:w="360" w:type="dxa"/>
            <w:shd w:val="clear" w:color="auto" w:fill="FFFFFF"/>
          </w:tcPr>
          <w:p>
            <w:pPr>
              <w:pStyle w:val="TableText"/>
              <w:spacing w:before="40" w:after="40"/>
              <w:rPr>
                <w:rFonts w:ascii="Times New Roman" w:hAnsi="Times New Roman"/>
                <w:color w:val="auto"/>
                <w:sz w:val="18"/>
                <w:szCs w:val="18"/>
              </w:rPr>
            </w:pPr>
          </w:p>
        </w:tc>
        <w:tc>
          <w:tcPr>
            <w:tcW w:w="450" w:type="dxa"/>
            <w:shd w:val="clear" w:color="auto" w:fill="FFFFFF"/>
          </w:tcPr>
          <w:p>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a)</w:t>
            </w:r>
          </w:p>
        </w:tc>
        <w:tc>
          <w:tcPr>
            <w:tcW w:w="8820" w:type="dxa"/>
            <w:shd w:val="clear" w:color="auto" w:fill="FFFFFF"/>
          </w:tcPr>
          <w:p>
            <w:pPr>
              <w:pStyle w:val="Signature"/>
              <w:spacing w:before="40" w:after="40"/>
              <w:rPr>
                <w:sz w:val="18"/>
                <w:szCs w:val="18"/>
              </w:rPr>
            </w:pPr>
            <w:r>
              <w:rPr>
                <w:sz w:val="18"/>
                <w:szCs w:val="18"/>
              </w:rPr>
              <w:t>Conduct assessment to determine if Electric Industry Requirements documented in WEQ-011 Gas / Electric Coordination should be considered reliability requirements and transition to NERC.</w:t>
            </w:r>
          </w:p>
        </w:tc>
      </w:tr>
      <w:tr>
        <w:tblPrEx>
          <w:tblBorders>
            <w:bottom w:val="none" w:sz="0" w:space="0" w:color="auto"/>
          </w:tblBorders>
          <w:tblCellMar>
            <w:top w:w="0" w:type="dxa"/>
            <w:left w:w="108" w:type="dxa"/>
            <w:right w:w="108" w:type="dxa"/>
          </w:tblCellMar>
        </w:tblPrEx>
        <w:tc>
          <w:tcPr>
            <w:tcW w:w="360" w:type="dxa"/>
            <w:shd w:val="clear" w:color="auto" w:fill="FFFFFF"/>
          </w:tcPr>
          <w:p>
            <w:pPr>
              <w:pStyle w:val="TableText"/>
              <w:spacing w:before="40" w:after="40"/>
              <w:rPr>
                <w:rFonts w:ascii="Times New Roman" w:hAnsi="Times New Roman"/>
                <w:color w:val="auto"/>
                <w:sz w:val="18"/>
                <w:szCs w:val="18"/>
              </w:rPr>
            </w:pPr>
          </w:p>
        </w:tc>
        <w:tc>
          <w:tcPr>
            <w:tcW w:w="450" w:type="dxa"/>
            <w:shd w:val="clear" w:color="auto" w:fill="FFFFFF"/>
          </w:tcPr>
          <w:p>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b)</w:t>
            </w:r>
          </w:p>
        </w:tc>
        <w:tc>
          <w:tcPr>
            <w:tcW w:w="8820" w:type="dxa"/>
            <w:shd w:val="clear" w:color="auto" w:fill="FFFFFF"/>
          </w:tcPr>
          <w:p>
            <w:pPr>
              <w:pStyle w:val="TableText"/>
              <w:tabs>
                <w:tab w:val="left" w:pos="6720"/>
              </w:tabs>
              <w:spacing w:before="60" w:after="60"/>
              <w:rPr>
                <w:rFonts w:ascii="Times New Roman" w:hAnsi="Times New Roman"/>
                <w:sz w:val="18"/>
                <w:szCs w:val="18"/>
              </w:rPr>
            </w:pPr>
            <w:r>
              <w:rPr>
                <w:rFonts w:ascii="Times New Roman" w:hAnsi="Times New Roman"/>
                <w:sz w:val="18"/>
                <w:szCs w:val="18"/>
              </w:rPr>
              <w:t>As provided for the GEH Report approved by the Board of Directors on September 20, 2012, (</w:t>
            </w:r>
            <w:hyperlink r:id="rId32" w:history="1">
              <w:r>
                <w:rPr>
                  <w:rStyle w:val="Hyperlink"/>
                  <w:rFonts w:ascii="Times New Roman" w:hAnsi="Times New Roman"/>
                  <w:sz w:val="18"/>
                  <w:szCs w:val="18"/>
                </w:rPr>
                <w:t>http://www.naesb.org/pdf4/bd092012a1.pdf</w:t>
              </w:r>
            </w:hyperlink>
            <w:r>
              <w:rPr>
                <w:rFonts w:ascii="Times New Roman" w:hAnsi="Times New Roman"/>
                <w:sz w:val="18"/>
                <w:szCs w:val="18"/>
              </w:rPr>
              <w:t>), which was initiated by the NPC Report</w:t>
            </w:r>
            <w:r>
              <w:rPr>
                <w:rStyle w:val="FootnoteReference"/>
                <w:rFonts w:ascii="Times New Roman" w:hAnsi="Times New Roman"/>
                <w:sz w:val="18"/>
                <w:szCs w:val="18"/>
              </w:rPr>
              <w:footnoteReference w:id="10"/>
            </w:r>
            <w:r>
              <w:rPr>
                <w:rFonts w:ascii="Times New Roman" w:hAnsi="Times New Roman"/>
                <w:sz w:val="18"/>
                <w:szCs w:val="18"/>
              </w:rPr>
              <w:t>, review and develop standards or modify existing standards as needed for market timelines and coordination of scheduling.</w:t>
            </w:r>
          </w:p>
        </w:tc>
      </w:tr>
      <w:tr>
        <w:tblPrEx>
          <w:tblBorders>
            <w:bottom w:val="none" w:sz="0" w:space="0" w:color="auto"/>
          </w:tblBorders>
          <w:tblCellMar>
            <w:top w:w="0" w:type="dxa"/>
            <w:left w:w="108" w:type="dxa"/>
            <w:right w:w="108" w:type="dxa"/>
          </w:tblCellMar>
        </w:tblPrEx>
        <w:tc>
          <w:tcPr>
            <w:tcW w:w="360" w:type="dxa"/>
            <w:shd w:val="clear" w:color="auto" w:fill="FFFFFF"/>
          </w:tcPr>
          <w:p>
            <w:pPr>
              <w:pStyle w:val="TableText"/>
              <w:spacing w:before="40" w:after="40"/>
              <w:rPr>
                <w:rFonts w:ascii="Times New Roman" w:hAnsi="Times New Roman"/>
                <w:color w:val="auto"/>
                <w:sz w:val="18"/>
                <w:szCs w:val="18"/>
              </w:rPr>
            </w:pPr>
          </w:p>
        </w:tc>
        <w:tc>
          <w:tcPr>
            <w:tcW w:w="450" w:type="dxa"/>
            <w:shd w:val="clear" w:color="auto" w:fill="FFFFFF"/>
          </w:tcPr>
          <w:p>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c)</w:t>
            </w:r>
          </w:p>
        </w:tc>
        <w:tc>
          <w:tcPr>
            <w:tcW w:w="8820" w:type="dxa"/>
            <w:shd w:val="clear" w:color="auto" w:fill="FFFFFF"/>
          </w:tcPr>
          <w:p>
            <w:pPr>
              <w:pStyle w:val="TableText"/>
              <w:tabs>
                <w:tab w:val="left" w:pos="6720"/>
              </w:tabs>
              <w:spacing w:before="60" w:after="60"/>
              <w:rPr>
                <w:rFonts w:ascii="Times New Roman" w:hAnsi="Times New Roman"/>
                <w:sz w:val="18"/>
                <w:szCs w:val="18"/>
              </w:rPr>
            </w:pPr>
            <w:r>
              <w:rPr>
                <w:rFonts w:ascii="Times New Roman" w:hAnsi="Times New Roman"/>
                <w:sz w:val="18"/>
                <w:szCs w:val="18"/>
              </w:rPr>
              <w:t>As provided for the GEH Report approved by the Board of Directors on September 20, 2012, (</w:t>
            </w:r>
            <w:hyperlink r:id="rId33" w:history="1">
              <w:r>
                <w:rPr>
                  <w:rStyle w:val="Hyperlink"/>
                  <w:rFonts w:ascii="Times New Roman" w:hAnsi="Times New Roman"/>
                  <w:sz w:val="18"/>
                  <w:szCs w:val="18"/>
                </w:rPr>
                <w:t>http://www.naesb.org/pdf4/bd092012a1.pdf</w:t>
              </w:r>
            </w:hyperlink>
            <w:r>
              <w:rPr>
                <w:rFonts w:ascii="Times New Roman" w:hAnsi="Times New Roman"/>
                <w:sz w:val="18"/>
                <w:szCs w:val="18"/>
              </w:rPr>
              <w:t>), which was initiated by the NPC Report</w:t>
            </w:r>
            <w:r>
              <w:rPr>
                <w:rStyle w:val="FootnoteReference"/>
                <w:rFonts w:ascii="Times New Roman" w:hAnsi="Times New Roman"/>
                <w:sz w:val="18"/>
                <w:szCs w:val="18"/>
              </w:rPr>
              <w:footnoteReference w:id="11"/>
            </w:r>
            <w:r>
              <w:rPr>
                <w:rFonts w:ascii="Times New Roman" w:hAnsi="Times New Roman"/>
                <w:sz w:val="18"/>
                <w:szCs w:val="18"/>
              </w:rPr>
              <w:t>, review and develop standards or modify existing standards as needed for flexibility in scheduling.</w:t>
            </w:r>
          </w:p>
        </w:tc>
      </w:tr>
      <w:tr>
        <w:tblPrEx>
          <w:tblBorders>
            <w:bottom w:val="none" w:sz="0" w:space="0" w:color="auto"/>
          </w:tblBorders>
          <w:tblCellMar>
            <w:top w:w="0" w:type="dxa"/>
            <w:left w:w="108" w:type="dxa"/>
            <w:right w:w="108" w:type="dxa"/>
          </w:tblCellMar>
        </w:tblPrEx>
        <w:tc>
          <w:tcPr>
            <w:tcW w:w="360" w:type="dxa"/>
            <w:shd w:val="clear" w:color="auto" w:fill="FFFFFF"/>
          </w:tcPr>
          <w:p>
            <w:pPr>
              <w:pStyle w:val="TableText"/>
              <w:spacing w:before="40" w:after="40"/>
              <w:rPr>
                <w:rFonts w:ascii="Times New Roman" w:hAnsi="Times New Roman"/>
                <w:color w:val="auto"/>
                <w:sz w:val="18"/>
                <w:szCs w:val="18"/>
              </w:rPr>
            </w:pPr>
          </w:p>
        </w:tc>
        <w:tc>
          <w:tcPr>
            <w:tcW w:w="450" w:type="dxa"/>
            <w:shd w:val="clear" w:color="auto" w:fill="FFFFFF"/>
          </w:tcPr>
          <w:p>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d)</w:t>
            </w:r>
          </w:p>
        </w:tc>
        <w:tc>
          <w:tcPr>
            <w:tcW w:w="8820" w:type="dxa"/>
            <w:shd w:val="clear" w:color="auto" w:fill="FFFFFF"/>
          </w:tcPr>
          <w:p>
            <w:pPr>
              <w:pStyle w:val="TableText"/>
              <w:tabs>
                <w:tab w:val="left" w:pos="6720"/>
              </w:tabs>
              <w:spacing w:before="60" w:after="60"/>
              <w:rPr>
                <w:rFonts w:ascii="Times New Roman" w:hAnsi="Times New Roman"/>
                <w:sz w:val="18"/>
                <w:szCs w:val="18"/>
              </w:rPr>
            </w:pPr>
            <w:r>
              <w:rPr>
                <w:rFonts w:ascii="Times New Roman" w:hAnsi="Times New Roman"/>
                <w:sz w:val="18"/>
                <w:szCs w:val="18"/>
              </w:rPr>
              <w:t>As provided for the GEH Report approved by the Board of Directors on September 20, 2012, (</w:t>
            </w:r>
            <w:hyperlink r:id="rId34" w:history="1">
              <w:r>
                <w:rPr>
                  <w:rStyle w:val="Hyperlink"/>
                  <w:rFonts w:ascii="Times New Roman" w:hAnsi="Times New Roman"/>
                  <w:sz w:val="18"/>
                  <w:szCs w:val="18"/>
                </w:rPr>
                <w:t>http://www.naesb.org/pdf4/bd092012a1.pdf</w:t>
              </w:r>
            </w:hyperlink>
            <w:r>
              <w:rPr>
                <w:rFonts w:ascii="Times New Roman" w:hAnsi="Times New Roman"/>
                <w:sz w:val="18"/>
                <w:szCs w:val="18"/>
              </w:rPr>
              <w:t>), which was initiated by the NPC Report</w:t>
            </w:r>
            <w:r>
              <w:rPr>
                <w:rStyle w:val="FootnoteReference"/>
                <w:rFonts w:ascii="Times New Roman" w:hAnsi="Times New Roman"/>
                <w:sz w:val="18"/>
                <w:szCs w:val="18"/>
              </w:rPr>
              <w:footnoteReference w:id="12"/>
            </w:r>
            <w:r>
              <w:rPr>
                <w:rFonts w:ascii="Times New Roman" w:hAnsi="Times New Roman"/>
                <w:sz w:val="18"/>
                <w:szCs w:val="18"/>
              </w:rPr>
              <w:t>, review and develop standards or modify existing standards as needed for provision of information.</w:t>
            </w:r>
          </w:p>
        </w:tc>
      </w:tr>
      <w:tr>
        <w:tblPrEx>
          <w:tblBorders>
            <w:bottom w:val="none" w:sz="0" w:space="0" w:color="auto"/>
          </w:tblBorders>
          <w:tblCellMar>
            <w:top w:w="0" w:type="dxa"/>
            <w:left w:w="108" w:type="dxa"/>
            <w:right w:w="108" w:type="dxa"/>
          </w:tblCellMar>
        </w:tblPrEx>
        <w:tc>
          <w:tcPr>
            <w:tcW w:w="360" w:type="dxa"/>
            <w:shd w:val="clear" w:color="auto" w:fill="FFFFFF"/>
          </w:tcPr>
          <w:p>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3</w:t>
            </w:r>
          </w:p>
        </w:tc>
        <w:tc>
          <w:tcPr>
            <w:tcW w:w="450" w:type="dxa"/>
            <w:shd w:val="clear" w:color="auto" w:fill="FFFFFF"/>
          </w:tcPr>
          <w:p>
            <w:pPr>
              <w:pStyle w:val="TableText"/>
              <w:keepNext/>
              <w:spacing w:before="40" w:after="40"/>
              <w:rPr>
                <w:rFonts w:ascii="Times New Roman" w:hAnsi="Times New Roman"/>
                <w:color w:val="auto"/>
                <w:sz w:val="18"/>
                <w:szCs w:val="18"/>
              </w:rPr>
            </w:pPr>
          </w:p>
        </w:tc>
        <w:tc>
          <w:tcPr>
            <w:tcW w:w="8820" w:type="dxa"/>
            <w:shd w:val="clear" w:color="auto" w:fill="FFFFFF"/>
          </w:tcPr>
          <w:p>
            <w:pPr>
              <w:pStyle w:val="Signature"/>
              <w:keepNext/>
              <w:spacing w:before="40" w:after="40"/>
              <w:rPr>
                <w:sz w:val="18"/>
                <w:szCs w:val="18"/>
              </w:rPr>
            </w:pPr>
            <w:r>
              <w:rPr>
                <w:b/>
                <w:sz w:val="18"/>
                <w:szCs w:val="18"/>
              </w:rPr>
              <w:t>Optional work to extend existing  standards</w:t>
            </w:r>
          </w:p>
        </w:tc>
      </w:tr>
      <w:tr>
        <w:tblPrEx>
          <w:tblBorders>
            <w:bottom w:val="none" w:sz="0" w:space="0" w:color="auto"/>
          </w:tblBorders>
          <w:tblCellMar>
            <w:top w:w="0" w:type="dxa"/>
            <w:left w:w="108" w:type="dxa"/>
            <w:right w:w="108" w:type="dxa"/>
          </w:tblCellMar>
        </w:tblPrEx>
        <w:tc>
          <w:tcPr>
            <w:tcW w:w="360" w:type="dxa"/>
            <w:shd w:val="clear" w:color="auto" w:fill="FFFFFF"/>
          </w:tcPr>
          <w:p>
            <w:pPr>
              <w:pStyle w:val="TableText"/>
              <w:spacing w:before="40" w:after="40"/>
              <w:rPr>
                <w:rFonts w:ascii="Times New Roman" w:hAnsi="Times New Roman"/>
                <w:color w:val="auto"/>
                <w:sz w:val="18"/>
                <w:szCs w:val="18"/>
              </w:rPr>
            </w:pPr>
          </w:p>
        </w:tc>
        <w:tc>
          <w:tcPr>
            <w:tcW w:w="450" w:type="dxa"/>
            <w:shd w:val="clear" w:color="auto" w:fill="FFFFFF"/>
          </w:tcPr>
          <w:p>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a)</w:t>
            </w:r>
          </w:p>
        </w:tc>
        <w:tc>
          <w:tcPr>
            <w:tcW w:w="8820" w:type="dxa"/>
            <w:shd w:val="clear" w:color="auto" w:fill="FFFFFF"/>
          </w:tcPr>
          <w:p>
            <w:pPr>
              <w:pStyle w:val="Signature"/>
              <w:spacing w:before="40" w:after="40"/>
              <w:rPr>
                <w:sz w:val="18"/>
                <w:szCs w:val="18"/>
              </w:rPr>
            </w:pPr>
            <w:r>
              <w:rPr>
                <w:sz w:val="18"/>
                <w:szCs w:val="18"/>
              </w:rPr>
              <w:t>Prepare recommendations for future path for TLR</w:t>
            </w:r>
            <w:r>
              <w:rPr>
                <w:rStyle w:val="FootnoteReference"/>
                <w:sz w:val="18"/>
                <w:szCs w:val="18"/>
              </w:rPr>
              <w:footnoteReference w:id="13"/>
            </w:r>
            <w:r>
              <w:rPr>
                <w:sz w:val="18"/>
                <w:szCs w:val="18"/>
              </w:rPr>
              <w:t xml:space="preserve"> (Phase 2) in concert with NERC, which may include alternative congestion management procedures</w:t>
            </w:r>
            <w:r>
              <w:rPr>
                <w:rStyle w:val="FootnoteReference"/>
                <w:sz w:val="18"/>
                <w:szCs w:val="18"/>
              </w:rPr>
              <w:footnoteReference w:id="14"/>
            </w:r>
            <w:r>
              <w:rPr>
                <w:sz w:val="18"/>
                <w:szCs w:val="18"/>
              </w:rPr>
              <w:t>.  Work on this activity is dependent on completing 2010 WEQ Annual Plan 1.a (Parallel Flow Visualization/Mitigation for Reliability Coordinators in the Eastern Interconnection - Phase 1).</w:t>
            </w:r>
          </w:p>
        </w:tc>
      </w:tr>
      <w:tr>
        <w:tblPrEx>
          <w:tblBorders>
            <w:bottom w:val="none" w:sz="0" w:space="0" w:color="auto"/>
          </w:tblBorders>
          <w:tblCellMar>
            <w:top w:w="0" w:type="dxa"/>
            <w:left w:w="108" w:type="dxa"/>
            <w:right w:w="108" w:type="dxa"/>
          </w:tblCellMar>
        </w:tblPrEx>
        <w:tc>
          <w:tcPr>
            <w:tcW w:w="360" w:type="dxa"/>
            <w:shd w:val="clear" w:color="auto" w:fill="FFFFFF"/>
          </w:tcPr>
          <w:p>
            <w:pPr>
              <w:pStyle w:val="TableText"/>
              <w:spacing w:before="40" w:after="40"/>
              <w:rPr>
                <w:rFonts w:ascii="Times New Roman" w:hAnsi="Times New Roman"/>
                <w:color w:val="auto"/>
                <w:sz w:val="18"/>
                <w:szCs w:val="18"/>
              </w:rPr>
            </w:pPr>
          </w:p>
        </w:tc>
        <w:tc>
          <w:tcPr>
            <w:tcW w:w="450" w:type="dxa"/>
            <w:shd w:val="clear" w:color="auto" w:fill="FFFFFF"/>
          </w:tcPr>
          <w:p>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b)</w:t>
            </w:r>
          </w:p>
        </w:tc>
        <w:tc>
          <w:tcPr>
            <w:tcW w:w="8820" w:type="dxa"/>
            <w:shd w:val="clear" w:color="auto" w:fill="FFFFFF"/>
          </w:tcPr>
          <w:p>
            <w:pPr>
              <w:pStyle w:val="Signature"/>
              <w:spacing w:before="40" w:after="40"/>
              <w:rPr>
                <w:sz w:val="18"/>
                <w:szCs w:val="18"/>
              </w:rPr>
            </w:pPr>
            <w:r>
              <w:rPr>
                <w:sz w:val="18"/>
                <w:szCs w:val="18"/>
              </w:rPr>
              <w:t>Develop needed business practice standards for organization/company codes for NAESB standards – and address current issues on the use of DUNs numbers.  Common code usage is linked to the transition of the Registry from NERC to NAESB.</w:t>
            </w:r>
          </w:p>
        </w:tc>
      </w:tr>
      <w:tr>
        <w:tblPrEx>
          <w:tblBorders>
            <w:bottom w:val="none" w:sz="0" w:space="0" w:color="auto"/>
          </w:tblBorders>
          <w:tblCellMar>
            <w:top w:w="0" w:type="dxa"/>
            <w:left w:w="108" w:type="dxa"/>
            <w:right w:w="108" w:type="dxa"/>
          </w:tblCellMar>
        </w:tblPrEx>
        <w:tc>
          <w:tcPr>
            <w:tcW w:w="360" w:type="dxa"/>
            <w:shd w:val="clear" w:color="auto" w:fill="FFFFFF"/>
          </w:tcPr>
          <w:p>
            <w:pPr>
              <w:pStyle w:val="TableText"/>
              <w:spacing w:before="40" w:after="40"/>
              <w:rPr>
                <w:rFonts w:ascii="Times New Roman" w:hAnsi="Times New Roman"/>
                <w:color w:val="auto"/>
                <w:sz w:val="18"/>
                <w:szCs w:val="18"/>
              </w:rPr>
            </w:pPr>
          </w:p>
        </w:tc>
        <w:tc>
          <w:tcPr>
            <w:tcW w:w="450" w:type="dxa"/>
            <w:shd w:val="clear" w:color="auto" w:fill="FFFFFF"/>
          </w:tcPr>
          <w:p>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c)</w:t>
            </w:r>
          </w:p>
        </w:tc>
        <w:tc>
          <w:tcPr>
            <w:tcW w:w="8820" w:type="dxa"/>
            <w:shd w:val="clear" w:color="auto" w:fill="FFFFFF"/>
          </w:tcPr>
          <w:p>
            <w:pPr>
              <w:pStyle w:val="Signature"/>
              <w:spacing w:before="40" w:after="40"/>
              <w:rPr>
                <w:sz w:val="18"/>
                <w:szCs w:val="18"/>
              </w:rPr>
            </w:pPr>
            <w:r>
              <w:rPr>
                <w:sz w:val="18"/>
                <w:szCs w:val="18"/>
              </w:rPr>
              <w:t xml:space="preserve">Develop business practices for allocating capacity among requests received during a submittal window Order 890-A </w:t>
            </w:r>
            <w:hyperlink r:id="rId35" w:history="1">
              <w:r>
                <w:rPr>
                  <w:rStyle w:val="Hyperlink"/>
                  <w:sz w:val="18"/>
                  <w:szCs w:val="18"/>
                </w:rPr>
                <w:t>(Docket Nos. RM05-17-001, 002 and RM05-25-001, 002</w:t>
              </w:r>
            </w:hyperlink>
            <w:r>
              <w:rPr>
                <w:sz w:val="18"/>
                <w:szCs w:val="18"/>
              </w:rPr>
              <w:t xml:space="preserve"> - Paragraph 805)</w:t>
            </w:r>
            <w:r>
              <w:rPr>
                <w:rStyle w:val="FootnoteReference"/>
                <w:sz w:val="18"/>
                <w:szCs w:val="18"/>
              </w:rPr>
              <w:footnoteReference w:id="15"/>
            </w:r>
            <w:r>
              <w:rPr>
                <w:sz w:val="18"/>
                <w:szCs w:val="18"/>
              </w:rPr>
              <w:t>.</w:t>
            </w:r>
          </w:p>
        </w:tc>
      </w:tr>
      <w:tr>
        <w:tblPrEx>
          <w:tblBorders>
            <w:bottom w:val="none" w:sz="0" w:space="0" w:color="auto"/>
          </w:tblBorders>
          <w:tblCellMar>
            <w:top w:w="0" w:type="dxa"/>
            <w:left w:w="108" w:type="dxa"/>
            <w:right w:w="108" w:type="dxa"/>
          </w:tblCellMar>
        </w:tblPrEx>
        <w:tc>
          <w:tcPr>
            <w:tcW w:w="360" w:type="dxa"/>
            <w:shd w:val="clear" w:color="auto" w:fill="FFFFFF"/>
          </w:tcPr>
          <w:p>
            <w:pPr>
              <w:pStyle w:val="TableText"/>
              <w:spacing w:before="40" w:after="40"/>
              <w:rPr>
                <w:rFonts w:ascii="Times New Roman" w:hAnsi="Times New Roman"/>
                <w:color w:val="auto"/>
                <w:sz w:val="18"/>
                <w:szCs w:val="18"/>
              </w:rPr>
            </w:pPr>
            <w:r>
              <w:rPr>
                <w:rFonts w:ascii="Times New Roman" w:hAnsi="Times New Roman"/>
                <w:color w:val="auto"/>
                <w:sz w:val="18"/>
                <w:szCs w:val="18"/>
              </w:rPr>
              <w:t>4</w:t>
            </w:r>
          </w:p>
        </w:tc>
        <w:tc>
          <w:tcPr>
            <w:tcW w:w="450" w:type="dxa"/>
            <w:shd w:val="clear" w:color="auto" w:fill="FFFFFF"/>
          </w:tcPr>
          <w:p>
            <w:pPr>
              <w:pStyle w:val="TableText"/>
              <w:keepNext/>
              <w:spacing w:before="40" w:after="40"/>
              <w:rPr>
                <w:rFonts w:ascii="Times New Roman" w:hAnsi="Times New Roman"/>
                <w:color w:val="auto"/>
                <w:sz w:val="18"/>
                <w:szCs w:val="18"/>
              </w:rPr>
            </w:pPr>
          </w:p>
        </w:tc>
        <w:tc>
          <w:tcPr>
            <w:tcW w:w="8820" w:type="dxa"/>
            <w:shd w:val="clear" w:color="auto" w:fill="FFFFFF"/>
          </w:tcPr>
          <w:p>
            <w:pPr>
              <w:pStyle w:val="Signature"/>
              <w:spacing w:before="40" w:after="40"/>
              <w:rPr>
                <w:sz w:val="18"/>
                <w:szCs w:val="18"/>
              </w:rPr>
            </w:pPr>
            <w:r>
              <w:rPr>
                <w:b/>
                <w:sz w:val="18"/>
                <w:szCs w:val="18"/>
              </w:rPr>
              <w:t>Pending Regulatory or Legislative Action</w:t>
            </w:r>
          </w:p>
        </w:tc>
      </w:tr>
      <w:tr>
        <w:tblPrEx>
          <w:tblBorders>
            <w:bottom w:val="none" w:sz="0" w:space="0" w:color="auto"/>
          </w:tblBorders>
          <w:tblCellMar>
            <w:top w:w="0" w:type="dxa"/>
            <w:left w:w="108" w:type="dxa"/>
            <w:right w:w="108" w:type="dxa"/>
          </w:tblCellMar>
        </w:tblPrEx>
        <w:tc>
          <w:tcPr>
            <w:tcW w:w="360" w:type="dxa"/>
            <w:shd w:val="clear" w:color="auto" w:fill="FFFFFF"/>
          </w:tcPr>
          <w:p>
            <w:pPr>
              <w:pStyle w:val="TableText"/>
              <w:spacing w:before="40" w:after="40"/>
              <w:rPr>
                <w:rFonts w:ascii="Times New Roman" w:hAnsi="Times New Roman"/>
                <w:color w:val="auto"/>
                <w:sz w:val="18"/>
                <w:szCs w:val="18"/>
              </w:rPr>
            </w:pPr>
          </w:p>
        </w:tc>
        <w:tc>
          <w:tcPr>
            <w:tcW w:w="450" w:type="dxa"/>
            <w:shd w:val="clear" w:color="auto" w:fill="FFFFFF"/>
          </w:tcPr>
          <w:p>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a)</w:t>
            </w:r>
          </w:p>
        </w:tc>
        <w:tc>
          <w:tcPr>
            <w:tcW w:w="8820" w:type="dxa"/>
            <w:shd w:val="clear" w:color="auto" w:fill="FFFFFF"/>
          </w:tcPr>
          <w:p>
            <w:pPr>
              <w:pStyle w:val="Signature"/>
              <w:spacing w:before="40" w:after="40"/>
              <w:rPr>
                <w:sz w:val="18"/>
                <w:szCs w:val="18"/>
              </w:rPr>
            </w:pPr>
            <w:r>
              <w:rPr>
                <w:sz w:val="18"/>
                <w:szCs w:val="18"/>
              </w:rPr>
              <w:t>Determine NAESB action needed to support FERC Action Plan for Smart Grid Technology.</w:t>
            </w:r>
          </w:p>
        </w:tc>
      </w:tr>
      <w:tr>
        <w:tblPrEx>
          <w:tblBorders>
            <w:bottom w:val="none" w:sz="0" w:space="0" w:color="auto"/>
          </w:tblBorders>
          <w:tblCellMar>
            <w:top w:w="0" w:type="dxa"/>
            <w:left w:w="108" w:type="dxa"/>
            <w:right w:w="108" w:type="dxa"/>
          </w:tblCellMar>
        </w:tblPrEx>
        <w:tc>
          <w:tcPr>
            <w:tcW w:w="360" w:type="dxa"/>
            <w:shd w:val="clear" w:color="auto" w:fill="FFFFFF"/>
          </w:tcPr>
          <w:p>
            <w:pPr>
              <w:pStyle w:val="TableText"/>
              <w:spacing w:before="40" w:after="40"/>
              <w:rPr>
                <w:rFonts w:ascii="Times New Roman" w:hAnsi="Times New Roman"/>
                <w:color w:val="auto"/>
                <w:sz w:val="18"/>
                <w:szCs w:val="18"/>
              </w:rPr>
            </w:pPr>
          </w:p>
        </w:tc>
        <w:tc>
          <w:tcPr>
            <w:tcW w:w="450" w:type="dxa"/>
            <w:shd w:val="clear" w:color="auto" w:fill="FFFFFF"/>
          </w:tcPr>
          <w:p>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b)</w:t>
            </w:r>
          </w:p>
        </w:tc>
        <w:tc>
          <w:tcPr>
            <w:tcW w:w="8820" w:type="dxa"/>
            <w:shd w:val="clear" w:color="auto" w:fill="FFFFFF"/>
          </w:tcPr>
          <w:p>
            <w:pPr>
              <w:pStyle w:val="Signature"/>
              <w:spacing w:before="40" w:after="40"/>
              <w:rPr>
                <w:sz w:val="18"/>
                <w:szCs w:val="18"/>
              </w:rPr>
            </w:pPr>
            <w:r>
              <w:rPr>
                <w:sz w:val="18"/>
                <w:szCs w:val="18"/>
              </w:rPr>
              <w:t>Develop business practice standards for cap and trade programs for greenhouse gas.</w:t>
            </w:r>
          </w:p>
        </w:tc>
      </w:tr>
      <w:tr>
        <w:tblPrEx>
          <w:tblBorders>
            <w:bottom w:val="none" w:sz="0" w:space="0" w:color="auto"/>
          </w:tblBorders>
          <w:tblCellMar>
            <w:top w:w="0" w:type="dxa"/>
            <w:left w:w="108" w:type="dxa"/>
            <w:right w:w="108" w:type="dxa"/>
          </w:tblCellMar>
        </w:tblPrEx>
        <w:tc>
          <w:tcPr>
            <w:tcW w:w="360" w:type="dxa"/>
            <w:shd w:val="clear" w:color="auto" w:fill="FFFFFF"/>
          </w:tcPr>
          <w:p>
            <w:pPr>
              <w:pStyle w:val="TableText"/>
              <w:spacing w:before="40" w:after="40"/>
              <w:rPr>
                <w:rFonts w:ascii="Times New Roman" w:hAnsi="Times New Roman"/>
                <w:color w:val="auto"/>
                <w:sz w:val="18"/>
                <w:szCs w:val="18"/>
              </w:rPr>
            </w:pPr>
          </w:p>
        </w:tc>
        <w:tc>
          <w:tcPr>
            <w:tcW w:w="450" w:type="dxa"/>
            <w:shd w:val="clear" w:color="auto" w:fill="FFFFFF"/>
          </w:tcPr>
          <w:p>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c)</w:t>
            </w:r>
          </w:p>
        </w:tc>
        <w:tc>
          <w:tcPr>
            <w:tcW w:w="8820" w:type="dxa"/>
            <w:shd w:val="clear" w:color="auto" w:fill="FFFFFF"/>
          </w:tcPr>
          <w:p>
            <w:pPr>
              <w:pStyle w:val="Signature"/>
              <w:spacing w:before="40" w:after="40"/>
              <w:rPr>
                <w:sz w:val="18"/>
                <w:szCs w:val="18"/>
              </w:rPr>
            </w:pPr>
            <w:r>
              <w:rPr>
                <w:sz w:val="18"/>
                <w:szCs w:val="18"/>
              </w:rPr>
              <w:t>Develop standards as needed based on FERC Order No. 1000. (</w:t>
            </w:r>
            <w:hyperlink r:id="rId36" w:history="1">
              <w:r>
                <w:rPr>
                  <w:rStyle w:val="Hyperlink"/>
                  <w:sz w:val="18"/>
                  <w:szCs w:val="18"/>
                </w:rPr>
                <w:t>NAESB Analysis of FERC Order No. 1000</w:t>
              </w:r>
            </w:hyperlink>
            <w:r>
              <w:rPr>
                <w:sz w:val="18"/>
                <w:szCs w:val="18"/>
              </w:rPr>
              <w:t>)</w:t>
            </w:r>
          </w:p>
        </w:tc>
      </w:tr>
      <w:tr>
        <w:tblPrEx>
          <w:tblBorders>
            <w:bottom w:val="none" w:sz="0" w:space="0" w:color="auto"/>
          </w:tblBorders>
          <w:tblCellMar>
            <w:top w:w="0" w:type="dxa"/>
            <w:left w:w="108" w:type="dxa"/>
            <w:right w:w="108" w:type="dxa"/>
          </w:tblCellMar>
        </w:tblPrEx>
        <w:tc>
          <w:tcPr>
            <w:tcW w:w="360" w:type="dxa"/>
            <w:shd w:val="clear" w:color="auto" w:fill="FFFFFF"/>
          </w:tcPr>
          <w:p>
            <w:pPr>
              <w:pStyle w:val="TableText"/>
              <w:spacing w:before="40" w:after="40"/>
              <w:rPr>
                <w:rFonts w:ascii="Times New Roman" w:hAnsi="Times New Roman"/>
                <w:color w:val="auto"/>
                <w:sz w:val="18"/>
                <w:szCs w:val="18"/>
              </w:rPr>
            </w:pPr>
          </w:p>
        </w:tc>
        <w:tc>
          <w:tcPr>
            <w:tcW w:w="450" w:type="dxa"/>
            <w:shd w:val="clear" w:color="auto" w:fill="FFFFFF"/>
          </w:tcPr>
          <w:p>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d)</w:t>
            </w:r>
          </w:p>
        </w:tc>
        <w:tc>
          <w:tcPr>
            <w:tcW w:w="8820" w:type="dxa"/>
            <w:shd w:val="clear" w:color="auto" w:fill="FFFFFF"/>
          </w:tcPr>
          <w:p>
            <w:pPr>
              <w:pStyle w:val="Signature"/>
              <w:spacing w:before="40" w:after="40"/>
              <w:rPr>
                <w:sz w:val="18"/>
                <w:szCs w:val="18"/>
              </w:rPr>
            </w:pPr>
            <w:r>
              <w:rPr>
                <w:sz w:val="18"/>
                <w:szCs w:val="18"/>
              </w:rPr>
              <w:t>Develop standards as needed in support of Variable Energy Resources (VERs) final order (RM10-11-000).  (</w:t>
            </w:r>
            <w:hyperlink r:id="rId37" w:history="1">
              <w:r>
                <w:rPr>
                  <w:rStyle w:val="Hyperlink"/>
                  <w:sz w:val="18"/>
                  <w:szCs w:val="18"/>
                </w:rPr>
                <w:t>NAESB Comments 3-2-11</w:t>
              </w:r>
            </w:hyperlink>
            <w:r>
              <w:rPr>
                <w:sz w:val="18"/>
                <w:szCs w:val="18"/>
              </w:rPr>
              <w:t xml:space="preserve">, </w:t>
            </w:r>
            <w:hyperlink r:id="rId38" w:history="1">
              <w:r>
                <w:rPr>
                  <w:rStyle w:val="Hyperlink"/>
                  <w:sz w:val="18"/>
                  <w:szCs w:val="18"/>
                </w:rPr>
                <w:t>FERC NOPR RM10-11-000</w:t>
              </w:r>
            </w:hyperlink>
            <w:r>
              <w:rPr>
                <w:rStyle w:val="Hyperlink"/>
                <w:color w:val="auto"/>
                <w:sz w:val="18"/>
                <w:szCs w:val="18"/>
                <w:u w:val="none"/>
              </w:rPr>
              <w:t xml:space="preserve">, </w:t>
            </w:r>
            <w:hyperlink r:id="rId39" w:history="1">
              <w:r>
                <w:rPr>
                  <w:rStyle w:val="Hyperlink"/>
                  <w:sz w:val="18"/>
                  <w:szCs w:val="18"/>
                </w:rPr>
                <w:t>FERC Final Order No. 764, Docket No. RM10-11-000</w:t>
              </w:r>
            </w:hyperlink>
            <w:r>
              <w:rPr>
                <w:rStyle w:val="FootnoteReference"/>
                <w:color w:val="0000FF"/>
                <w:sz w:val="18"/>
                <w:szCs w:val="18"/>
                <w:u w:val="single"/>
              </w:rPr>
              <w:footnoteReference w:id="16"/>
            </w:r>
            <w:r>
              <w:rPr>
                <w:sz w:val="18"/>
                <w:szCs w:val="18"/>
              </w:rPr>
              <w:t>)</w:t>
            </w:r>
          </w:p>
        </w:tc>
      </w:tr>
    </w:tbl>
    <w:p>
      <w:pPr>
        <w:pStyle w:val="BodyText"/>
        <w:keepNext/>
        <w:keepLines/>
        <w:spacing w:before="120" w:after="240"/>
        <w:jc w:val="center"/>
        <w:rPr>
          <w:b/>
          <w:smallCaps/>
        </w:rPr>
      </w:pPr>
      <w:r>
        <w:rPr>
          <w:b/>
          <w:smallCaps/>
        </w:rPr>
        <w:lastRenderedPageBreak/>
        <w:t>Wholesale Electric Quadrant Executive committee and Subcommittee Structure</w:t>
      </w:r>
    </w:p>
    <w:p>
      <w:pPr>
        <w:pStyle w:val="BodyText"/>
        <w:jc w:val="both"/>
        <w:rPr>
          <w:b/>
          <w:sz w:val="18"/>
          <w:szCs w:val="18"/>
        </w:rPr>
      </w:pPr>
      <w:r>
        <w:rPr>
          <w:b/>
          <w:noProof/>
          <w:sz w:val="18"/>
          <w:szCs w:val="18"/>
        </w:rPr>
        <mc:AlternateContent>
          <mc:Choice Requires="wpc">
            <w:drawing>
              <wp:inline distT="0" distB="0" distL="0" distR="0">
                <wp:extent cx="5943600" cy="5372100"/>
                <wp:effectExtent l="0" t="0" r="0" b="0"/>
                <wp:docPr id="31"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57"/>
                        <wps:cNvSpPr>
                          <a:spLocks noChangeAspect="1" noChangeArrowheads="1"/>
                        </wps:cNvSpPr>
                        <wps:spPr bwMode="auto">
                          <a:xfrm>
                            <a:off x="0" y="228600"/>
                            <a:ext cx="5943600" cy="420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00" cy="40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00" y="22800"/>
                            <a:ext cx="2281000" cy="323200"/>
                          </a:xfrm>
                          <a:prstGeom prst="roundRect">
                            <a:avLst>
                              <a:gd name="adj" fmla="val 16667"/>
                            </a:avLst>
                          </a:prstGeom>
                          <a:solidFill>
                            <a:srgbClr val="A7AFD5"/>
                          </a:solidFill>
                          <a:ln w="15875">
                            <a:solidFill>
                              <a:srgbClr val="000000"/>
                            </a:solidFill>
                            <a:round/>
                            <a:headEnd/>
                            <a:tailEnd/>
                          </a:ln>
                        </wps:spPr>
                        <wps:txbx>
                          <w:txbxContent>
                            <w:p>
                              <w:pPr>
                                <w:autoSpaceDE w:val="0"/>
                                <w:autoSpaceDN w:val="0"/>
                                <w:adjustRightInd w:val="0"/>
                                <w:jc w:val="center"/>
                                <w:rPr>
                                  <w:i/>
                                  <w:color w:val="000000"/>
                                  <w:sz w:val="18"/>
                                  <w:szCs w:val="18"/>
                                  <w:vertAlign w:val="superscript"/>
                                </w:rPr>
                              </w:pPr>
                              <w:r>
                                <w:rPr>
                                  <w:color w:val="000000"/>
                                  <w:sz w:val="18"/>
                                  <w:szCs w:val="18"/>
                                </w:rPr>
                                <w:t>Wholesale Electric Quadrant</w:t>
                              </w:r>
                            </w:p>
                            <w:p>
                              <w:pPr>
                                <w:autoSpaceDE w:val="0"/>
                                <w:autoSpaceDN w:val="0"/>
                                <w:adjustRightInd w:val="0"/>
                                <w:jc w:val="center"/>
                                <w:rPr>
                                  <w:rFonts w:ascii="Arial" w:cs="Arial"/>
                                  <w:color w:val="000000"/>
                                  <w:sz w:val="36"/>
                                  <w:szCs w:val="36"/>
                                </w:rPr>
                              </w:pPr>
                              <w:r>
                                <w:rPr>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02200" y="508000"/>
                            <a:ext cx="3014300" cy="321900"/>
                          </a:xfrm>
                          <a:prstGeom prst="roundRect">
                            <a:avLst>
                              <a:gd name="adj" fmla="val 16667"/>
                            </a:avLst>
                          </a:prstGeom>
                          <a:solidFill>
                            <a:srgbClr val="E9EDB1"/>
                          </a:solidFill>
                          <a:ln w="15875">
                            <a:solidFill>
                              <a:srgbClr val="000000"/>
                            </a:solidFill>
                            <a:round/>
                            <a:headEnd/>
                            <a:tailEnd/>
                          </a:ln>
                        </wps:spPr>
                        <wps:txbx>
                          <w:txbxContent>
                            <w:p>
                              <w:pPr>
                                <w:autoSpaceDE w:val="0"/>
                                <w:autoSpaceDN w:val="0"/>
                                <w:adjustRightInd w:val="0"/>
                                <w:jc w:val="center"/>
                                <w:rPr>
                                  <w:color w:val="000000"/>
                                  <w:sz w:val="8"/>
                                  <w:szCs w:val="8"/>
                                </w:rPr>
                              </w:pPr>
                            </w:p>
                            <w:p>
                              <w:pPr>
                                <w:autoSpaceDE w:val="0"/>
                                <w:autoSpaceDN w:val="0"/>
                                <w:adjustRightInd w:val="0"/>
                                <w:jc w:val="center"/>
                                <w:rPr>
                                  <w:rFonts w:ascii="Arial" w:cs="Arial"/>
                                  <w:color w:val="000000"/>
                                  <w:sz w:val="36"/>
                                  <w:szCs w:val="36"/>
                                </w:rPr>
                              </w:pPr>
                              <w:r>
                                <w:rPr>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00" y="1012100"/>
                            <a:ext cx="3073100" cy="322000"/>
                          </a:xfrm>
                          <a:prstGeom prst="roundRect">
                            <a:avLst>
                              <a:gd name="adj" fmla="val 16667"/>
                            </a:avLst>
                          </a:prstGeom>
                          <a:solidFill>
                            <a:srgbClr val="CCECFF"/>
                          </a:solidFill>
                          <a:ln w="15875">
                            <a:solidFill>
                              <a:srgbClr val="000000"/>
                            </a:solidFill>
                            <a:round/>
                            <a:headEnd/>
                            <a:tailEnd/>
                          </a:ln>
                        </wps:spPr>
                        <wps:txbx>
                          <w:txbxContent>
                            <w:p>
                              <w:pPr>
                                <w:autoSpaceDE w:val="0"/>
                                <w:autoSpaceDN w:val="0"/>
                                <w:adjustRightInd w:val="0"/>
                                <w:jc w:val="center"/>
                                <w:rPr>
                                  <w:color w:val="000000"/>
                                  <w:sz w:val="8"/>
                                  <w:szCs w:val="8"/>
                                </w:rPr>
                              </w:pPr>
                            </w:p>
                            <w:p>
                              <w:pPr>
                                <w:autoSpaceDE w:val="0"/>
                                <w:autoSpaceDN w:val="0"/>
                                <w:adjustRightInd w:val="0"/>
                                <w:jc w:val="center"/>
                                <w:rPr>
                                  <w:rFonts w:ascii="Arial" w:cs="Arial"/>
                                  <w:color w:val="000000"/>
                                  <w:sz w:val="36"/>
                                  <w:szCs w:val="36"/>
                                </w:rPr>
                              </w:pPr>
                              <w:r>
                                <w:rPr>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00" y="2007200"/>
                            <a:ext cx="3087100" cy="316900"/>
                          </a:xfrm>
                          <a:prstGeom prst="roundRect">
                            <a:avLst>
                              <a:gd name="adj" fmla="val 16667"/>
                            </a:avLst>
                          </a:prstGeom>
                          <a:solidFill>
                            <a:srgbClr val="CCECFF"/>
                          </a:solidFill>
                          <a:ln w="15875">
                            <a:solidFill>
                              <a:srgbClr val="000000"/>
                            </a:solidFill>
                            <a:round/>
                            <a:headEnd/>
                            <a:tailEnd/>
                          </a:ln>
                        </wps:spPr>
                        <wps:txbx>
                          <w:txbxContent>
                            <w:p>
                              <w:pPr>
                                <w:autoSpaceDE w:val="0"/>
                                <w:autoSpaceDN w:val="0"/>
                                <w:adjustRightInd w:val="0"/>
                                <w:spacing w:before="60"/>
                                <w:jc w:val="center"/>
                                <w:rPr>
                                  <w:color w:val="000000"/>
                                  <w:sz w:val="18"/>
                                  <w:szCs w:val="18"/>
                                </w:rPr>
                              </w:pPr>
                              <w:r>
                                <w:rPr>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0200" y="2508200"/>
                            <a:ext cx="3093500" cy="321900"/>
                          </a:xfrm>
                          <a:prstGeom prst="roundRect">
                            <a:avLst>
                              <a:gd name="adj" fmla="val 16667"/>
                            </a:avLst>
                          </a:prstGeom>
                          <a:solidFill>
                            <a:srgbClr val="CCECFF"/>
                          </a:solidFill>
                          <a:ln w="15875">
                            <a:solidFill>
                              <a:srgbClr val="000000"/>
                            </a:solidFill>
                            <a:round/>
                            <a:headEnd/>
                            <a:tailEnd/>
                          </a:ln>
                        </wps:spPr>
                        <wps:txbx>
                          <w:txbxContent>
                            <w:p>
                              <w:pPr>
                                <w:autoSpaceDE w:val="0"/>
                                <w:autoSpaceDN w:val="0"/>
                                <w:adjustRightInd w:val="0"/>
                                <w:spacing w:before="100"/>
                                <w:jc w:val="center"/>
                                <w:rPr>
                                  <w:rFonts w:ascii="Arial" w:cs="Arial"/>
                                  <w:color w:val="000000"/>
                                  <w:sz w:val="36"/>
                                  <w:szCs w:val="36"/>
                                </w:rPr>
                              </w:pPr>
                              <w:r>
                                <w:rPr>
                                  <w:color w:val="000000"/>
                                  <w:sz w:val="18"/>
                                  <w:szCs w:val="18"/>
                                </w:rPr>
                                <w:t>Joint Electric Scheduling Subcommittee (JESS)</w:t>
                              </w:r>
                            </w:p>
                          </w:txbxContent>
                        </wps:txbx>
                        <wps:bodyPr rot="0" vert="horz" wrap="square" lIns="0" tIns="0" rIns="0" bIns="0" anchor="ctr" anchorCtr="0" upright="1">
                          <a:noAutofit/>
                        </wps:bodyPr>
                      </wps:wsp>
                      <wps:wsp>
                        <wps:cNvPr id="12" name="AutoShape 264"/>
                        <wps:cNvSpPr>
                          <a:spLocks noChangeArrowheads="1"/>
                        </wps:cNvSpPr>
                        <wps:spPr bwMode="auto">
                          <a:xfrm>
                            <a:off x="1005200" y="392400"/>
                            <a:ext cx="936600" cy="619700"/>
                          </a:xfrm>
                          <a:prstGeom prst="rightArrow">
                            <a:avLst>
                              <a:gd name="adj1" fmla="val 50000"/>
                              <a:gd name="adj2" fmla="val 44865"/>
                            </a:avLst>
                          </a:prstGeom>
                          <a:solidFill>
                            <a:srgbClr val="E9EDB1"/>
                          </a:solidFill>
                          <a:ln w="9525">
                            <a:solidFill>
                              <a:srgbClr val="000000"/>
                            </a:solidFill>
                            <a:miter lim="800000"/>
                            <a:headEnd/>
                            <a:tailEnd/>
                          </a:ln>
                        </wps:spPr>
                        <wps:txbx>
                          <w:txbxContent>
                            <w:p>
                              <w:pPr>
                                <w:autoSpaceDE w:val="0"/>
                                <w:autoSpaceDN w:val="0"/>
                                <w:adjustRightInd w:val="0"/>
                                <w:jc w:val="center"/>
                                <w:rPr>
                                  <w:rFonts w:ascii="Arial" w:cs="Arial"/>
                                  <w:color w:val="000000"/>
                                  <w:sz w:val="18"/>
                                  <w:szCs w:val="18"/>
                                </w:rPr>
                              </w:pPr>
                              <w:r>
                                <w:rPr>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a:off x="1714500" y="1257300"/>
                            <a:ext cx="276800" cy="3086100"/>
                          </a:xfrm>
                          <a:prstGeom prst="rightBrace">
                            <a:avLst>
                              <a:gd name="adj1" fmla="val 9291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4" name="Rectangle 266"/>
                        <wps:cNvSpPr>
                          <a:spLocks noChangeArrowheads="1"/>
                        </wps:cNvSpPr>
                        <wps:spPr bwMode="auto">
                          <a:xfrm>
                            <a:off x="2400300" y="5029200"/>
                            <a:ext cx="3129900" cy="247600"/>
                          </a:xfrm>
                          <a:prstGeom prst="rect">
                            <a:avLst/>
                          </a:prstGeom>
                          <a:solidFill>
                            <a:srgbClr val="B2DAB0"/>
                          </a:solidFill>
                          <a:ln w="15875">
                            <a:solidFill>
                              <a:srgbClr val="000000"/>
                            </a:solidFill>
                            <a:miter lim="800000"/>
                            <a:headEnd/>
                            <a:tailEnd/>
                          </a:ln>
                        </wps:spPr>
                        <wps:txbx>
                          <w:txbxContent>
                            <w:p>
                              <w:pPr>
                                <w:autoSpaceDE w:val="0"/>
                                <w:autoSpaceDN w:val="0"/>
                                <w:adjustRightInd w:val="0"/>
                                <w:jc w:val="center"/>
                                <w:rPr>
                                  <w:rFonts w:ascii="Arial" w:cs="Arial"/>
                                  <w:color w:val="000000"/>
                                  <w:sz w:val="36"/>
                                  <w:szCs w:val="36"/>
                                </w:rPr>
                              </w:pPr>
                              <w:r>
                                <w:rPr>
                                  <w:color w:val="000000"/>
                                  <w:sz w:val="18"/>
                                  <w:szCs w:val="18"/>
                                </w:rPr>
                                <w:t>Task Forces &amp; Working Groups</w:t>
                              </w:r>
                            </w:p>
                          </w:txbxContent>
                        </wps:txbx>
                        <wps:bodyPr rot="0" vert="horz" wrap="square" lIns="59070" tIns="29535" rIns="59070" bIns="29535" anchor="ctr" anchorCtr="0" upright="1">
                          <a:noAutofit/>
                        </wps:bodyPr>
                      </wps:wsp>
                      <wps:wsp>
                        <wps:cNvPr id="15" name="AutoShape 267"/>
                        <wps:cNvSpPr>
                          <a:spLocks noChangeArrowheads="1"/>
                        </wps:cNvSpPr>
                        <wps:spPr bwMode="auto">
                          <a:xfrm>
                            <a:off x="228600" y="2057400"/>
                            <a:ext cx="1384300" cy="924500"/>
                          </a:xfrm>
                          <a:prstGeom prst="rightArrow">
                            <a:avLst>
                              <a:gd name="adj1" fmla="val 50000"/>
                              <a:gd name="adj2" fmla="val 37434"/>
                            </a:avLst>
                          </a:prstGeom>
                          <a:solidFill>
                            <a:srgbClr val="CCECFF"/>
                          </a:solidFill>
                          <a:ln w="9525">
                            <a:solidFill>
                              <a:srgbClr val="000000"/>
                            </a:solidFill>
                            <a:miter lim="800000"/>
                            <a:headEnd/>
                            <a:tailEnd/>
                          </a:ln>
                        </wps:spPr>
                        <wps:txbx>
                          <w:txbxContent>
                            <w:p>
                              <w:pPr>
                                <w:autoSpaceDE w:val="0"/>
                                <w:autoSpaceDN w:val="0"/>
                                <w:adjustRightInd w:val="0"/>
                                <w:jc w:val="center"/>
                                <w:rPr>
                                  <w:rFonts w:ascii="Arial" w:cs="Arial"/>
                                  <w:color w:val="000000"/>
                                  <w:sz w:val="36"/>
                                  <w:szCs w:val="36"/>
                                </w:rPr>
                              </w:pPr>
                              <w:r>
                                <w:rPr>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381200" y="3041600"/>
                            <a:ext cx="3149000" cy="321900"/>
                          </a:xfrm>
                          <a:prstGeom prst="roundRect">
                            <a:avLst>
                              <a:gd name="adj" fmla="val 16667"/>
                            </a:avLst>
                          </a:prstGeom>
                          <a:solidFill>
                            <a:srgbClr val="CCECFF"/>
                          </a:solidFill>
                          <a:ln w="15875">
                            <a:solidFill>
                              <a:srgbClr val="000000"/>
                            </a:solidFill>
                            <a:round/>
                            <a:headEnd/>
                            <a:tailEnd/>
                          </a:ln>
                        </wps:spPr>
                        <wps:txbx>
                          <w:txbxContent>
                            <w:p>
                              <w:pPr>
                                <w:autoSpaceDE w:val="0"/>
                                <w:autoSpaceDN w:val="0"/>
                                <w:adjustRightInd w:val="0"/>
                                <w:jc w:val="center"/>
                                <w:rPr>
                                  <w:color w:val="000000"/>
                                  <w:sz w:val="8"/>
                                  <w:szCs w:val="8"/>
                                </w:rPr>
                              </w:pPr>
                            </w:p>
                            <w:p>
                              <w:pPr>
                                <w:autoSpaceDE w:val="0"/>
                                <w:autoSpaceDN w:val="0"/>
                                <w:adjustRightInd w:val="0"/>
                                <w:jc w:val="center"/>
                                <w:rPr>
                                  <w:rFonts w:ascii="Arial" w:cs="Arial"/>
                                  <w:color w:val="000000"/>
                                  <w:sz w:val="36"/>
                                  <w:szCs w:val="36"/>
                                </w:rPr>
                              </w:pPr>
                              <w:r>
                                <w:rPr>
                                  <w:color w:val="000000"/>
                                  <w:sz w:val="18"/>
                                  <w:szCs w:val="18"/>
                                </w:rPr>
                                <w:t>PKI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00300" y="4457700"/>
                            <a:ext cx="3129900" cy="321900"/>
                          </a:xfrm>
                          <a:prstGeom prst="roundRect">
                            <a:avLst>
                              <a:gd name="adj" fmla="val 16667"/>
                            </a:avLst>
                          </a:prstGeom>
                          <a:solidFill>
                            <a:srgbClr val="CCECFF"/>
                          </a:solidFill>
                          <a:ln w="15875">
                            <a:solidFill>
                              <a:srgbClr val="000000"/>
                            </a:solidFill>
                            <a:round/>
                            <a:headEnd/>
                            <a:tailEnd/>
                          </a:ln>
                        </wps:spPr>
                        <wps:txbx>
                          <w:txbxContent>
                            <w:p>
                              <w:pPr>
                                <w:autoSpaceDE w:val="0"/>
                                <w:autoSpaceDN w:val="0"/>
                                <w:adjustRightInd w:val="0"/>
                                <w:jc w:val="center"/>
                                <w:rPr>
                                  <w:color w:val="000000"/>
                                  <w:sz w:val="8"/>
                                  <w:szCs w:val="8"/>
                                </w:rPr>
                              </w:pPr>
                            </w:p>
                            <w:p>
                              <w:pPr>
                                <w:autoSpaceDE w:val="0"/>
                                <w:autoSpaceDN w:val="0"/>
                                <w:adjustRightInd w:val="0"/>
                                <w:jc w:val="center"/>
                                <w:rPr>
                                  <w:rFonts w:ascii="Arial" w:cs="Arial"/>
                                  <w:color w:val="000000"/>
                                  <w:sz w:val="36"/>
                                  <w:szCs w:val="36"/>
                                </w:rPr>
                              </w:pPr>
                              <w:r>
                                <w:rPr>
                                  <w:color w:val="000000"/>
                                  <w:sz w:val="18"/>
                                  <w:szCs w:val="18"/>
                                </w:rPr>
                                <w:t>REQ/WEQ DSM-EE Subcommittee</w:t>
                              </w:r>
                            </w:p>
                          </w:txbxContent>
                        </wps:txbx>
                        <wps:bodyPr rot="0" vert="horz" wrap="square" lIns="0" tIns="0" rIns="0" bIns="0" anchor="ctr" anchorCtr="0" upright="1">
                          <a:noAutofit/>
                        </wps:bodyPr>
                      </wps:wsp>
                      <wps:wsp>
                        <wps:cNvPr id="18" name="Line 271"/>
                        <wps:cNvCnPr/>
                        <wps:spPr bwMode="auto">
                          <a:xfrm flipH="1">
                            <a:off x="2057400" y="3200400"/>
                            <a:ext cx="333300" cy="1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 name="Line 272"/>
                        <wps:cNvCnPr/>
                        <wps:spPr bwMode="auto">
                          <a:xfrm flipH="1">
                            <a:off x="2057400" y="2673300"/>
                            <a:ext cx="352400"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Line 273"/>
                        <wps:cNvCnPr/>
                        <wps:spPr bwMode="auto">
                          <a:xfrm flipH="1">
                            <a:off x="2057400" y="2152600"/>
                            <a:ext cx="352400" cy="1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 name="Line 275"/>
                        <wps:cNvCnPr/>
                        <wps:spPr bwMode="auto">
                          <a:xfrm flipH="1">
                            <a:off x="2057400" y="1661700"/>
                            <a:ext cx="381000" cy="7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76"/>
                        <wps:cNvSpPr>
                          <a:spLocks noChangeArrowheads="1"/>
                        </wps:cNvSpPr>
                        <wps:spPr bwMode="auto">
                          <a:xfrm>
                            <a:off x="2404700" y="1490900"/>
                            <a:ext cx="3089000" cy="322000"/>
                          </a:xfrm>
                          <a:prstGeom prst="roundRect">
                            <a:avLst>
                              <a:gd name="adj" fmla="val 16667"/>
                            </a:avLst>
                          </a:prstGeom>
                          <a:solidFill>
                            <a:srgbClr val="CCECFF"/>
                          </a:solidFill>
                          <a:ln w="15875">
                            <a:solidFill>
                              <a:srgbClr val="000000"/>
                            </a:solidFill>
                            <a:round/>
                            <a:headEnd/>
                            <a:tailEnd/>
                          </a:ln>
                        </wps:spPr>
                        <wps:txbx>
                          <w:txbxContent>
                            <w:p>
                              <w:pPr>
                                <w:autoSpaceDE w:val="0"/>
                                <w:autoSpaceDN w:val="0"/>
                                <w:adjustRightInd w:val="0"/>
                                <w:jc w:val="center"/>
                                <w:rPr>
                                  <w:color w:val="000000"/>
                                  <w:sz w:val="8"/>
                                  <w:szCs w:val="8"/>
                                </w:rPr>
                              </w:pPr>
                            </w:p>
                            <w:p>
                              <w:pPr>
                                <w:autoSpaceDE w:val="0"/>
                                <w:autoSpaceDN w:val="0"/>
                                <w:adjustRightInd w:val="0"/>
                                <w:jc w:val="center"/>
                                <w:rPr>
                                  <w:rFonts w:ascii="Arial" w:cs="Arial"/>
                                  <w:color w:val="000000"/>
                                  <w:sz w:val="36"/>
                                  <w:szCs w:val="36"/>
                                </w:rPr>
                              </w:pPr>
                              <w:r>
                                <w:rPr>
                                  <w:color w:val="000000"/>
                                  <w:sz w:val="18"/>
                                  <w:szCs w:val="18"/>
                                </w:rPr>
                                <w:t>Business Practices Subcommittee (BPS)</w:t>
                              </w:r>
                            </w:p>
                          </w:txbxContent>
                        </wps:txbx>
                        <wps:bodyPr rot="0" vert="horz" wrap="square" lIns="0" tIns="0" rIns="0" bIns="0" anchor="ctr" anchorCtr="0" upright="1">
                          <a:noAutofit/>
                        </wps:bodyPr>
                      </wps:wsp>
                      <wps:wsp>
                        <wps:cNvPr id="23" name="Line 277"/>
                        <wps:cNvCnPr/>
                        <wps:spPr bwMode="auto">
                          <a:xfrm flipH="1">
                            <a:off x="2061800" y="1191800"/>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78"/>
                        <wps:cNvSpPr>
                          <a:spLocks noChangeArrowheads="1"/>
                        </wps:cNvSpPr>
                        <wps:spPr bwMode="auto">
                          <a:xfrm>
                            <a:off x="2400300" y="3543300"/>
                            <a:ext cx="3129900" cy="321900"/>
                          </a:xfrm>
                          <a:prstGeom prst="roundRect">
                            <a:avLst>
                              <a:gd name="adj" fmla="val 16667"/>
                            </a:avLst>
                          </a:prstGeom>
                          <a:solidFill>
                            <a:srgbClr val="33CCCC">
                              <a:alpha val="23137"/>
                            </a:srgbClr>
                          </a:solidFill>
                          <a:ln w="15875" cap="rnd">
                            <a:solidFill>
                              <a:srgbClr val="000000"/>
                            </a:solidFill>
                            <a:prstDash val="sysDot"/>
                            <a:round/>
                            <a:headEnd/>
                            <a:tailEnd/>
                          </a:ln>
                        </wps:spPr>
                        <wps:txbx>
                          <w:txbxContent>
                            <w:p>
                              <w:pPr>
                                <w:autoSpaceDE w:val="0"/>
                                <w:autoSpaceDN w:val="0"/>
                                <w:adjustRightInd w:val="0"/>
                                <w:jc w:val="center"/>
                                <w:rPr>
                                  <w:color w:val="000000"/>
                                  <w:sz w:val="8"/>
                                  <w:szCs w:val="8"/>
                                </w:rPr>
                              </w:pPr>
                            </w:p>
                            <w:p>
                              <w:pPr>
                                <w:autoSpaceDE w:val="0"/>
                                <w:autoSpaceDN w:val="0"/>
                                <w:adjustRightInd w:val="0"/>
                                <w:jc w:val="center"/>
                                <w:rPr>
                                  <w:rFonts w:ascii="Arial" w:cs="Arial"/>
                                </w:rPr>
                              </w:pPr>
                              <w:r>
                                <w:rPr>
                                  <w:color w:val="000000"/>
                                  <w:sz w:val="18"/>
                                  <w:szCs w:val="18"/>
                                </w:rPr>
                                <w:t>WEQ/REQ Smart Grid Standards Subcommittee (**)</w:t>
                              </w:r>
                            </w:p>
                          </w:txbxContent>
                        </wps:txbx>
                        <wps:bodyPr rot="0" vert="horz" wrap="square" lIns="0" tIns="0" rIns="0" bIns="0" anchor="ctr" anchorCtr="0" upright="1">
                          <a:noAutofit/>
                        </wps:bodyPr>
                      </wps:wsp>
                      <wps:wsp>
                        <wps:cNvPr id="25" name="Line 279"/>
                        <wps:cNvCnPr/>
                        <wps:spPr bwMode="auto">
                          <a:xfrm flipH="1">
                            <a:off x="2057400" y="3658800"/>
                            <a:ext cx="333300" cy="1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80"/>
                        <wps:cNvSpPr>
                          <a:spLocks noChangeArrowheads="1"/>
                        </wps:cNvSpPr>
                        <wps:spPr bwMode="auto">
                          <a:xfrm>
                            <a:off x="2400300" y="4000500"/>
                            <a:ext cx="3129900" cy="321900"/>
                          </a:xfrm>
                          <a:prstGeom prst="roundRect">
                            <a:avLst>
                              <a:gd name="adj" fmla="val 16667"/>
                            </a:avLst>
                          </a:prstGeom>
                          <a:solidFill>
                            <a:srgbClr val="33CCCC">
                              <a:alpha val="23137"/>
                            </a:srgbClr>
                          </a:solidFill>
                          <a:ln w="15875" cap="rnd">
                            <a:solidFill>
                              <a:srgbClr val="000000"/>
                            </a:solidFill>
                            <a:prstDash val="sysDot"/>
                            <a:round/>
                            <a:headEnd/>
                            <a:tailEnd/>
                          </a:ln>
                        </wps:spPr>
                        <wps:txbx>
                          <w:txbxContent>
                            <w:p>
                              <w:pPr>
                                <w:autoSpaceDE w:val="0"/>
                                <w:autoSpaceDN w:val="0"/>
                                <w:adjustRightInd w:val="0"/>
                                <w:spacing w:before="60"/>
                                <w:jc w:val="center"/>
                                <w:rPr>
                                  <w:color w:val="000000"/>
                                  <w:sz w:val="18"/>
                                  <w:szCs w:val="18"/>
                                </w:rPr>
                              </w:pPr>
                              <w:r>
                                <w:rPr>
                                  <w:color w:val="000000"/>
                                  <w:sz w:val="18"/>
                                  <w:szCs w:val="18"/>
                                </w:rPr>
                                <w:t>WEQ/REQ PAP 10 Smart Grid Standards Subcommittee (***)</w:t>
                              </w:r>
                            </w:p>
                          </w:txbxContent>
                        </wps:txbx>
                        <wps:bodyPr rot="0" vert="horz" wrap="square" lIns="0" tIns="0" rIns="0" bIns="0" anchor="ctr" anchorCtr="0" upright="1">
                          <a:noAutofit/>
                        </wps:bodyPr>
                      </wps:wsp>
                      <wps:wsp>
                        <wps:cNvPr id="27" name="Line 281"/>
                        <wps:cNvCnPr/>
                        <wps:spPr bwMode="auto">
                          <a:xfrm flipH="1">
                            <a:off x="2047800" y="4597600"/>
                            <a:ext cx="333400" cy="1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7"/>
                        <wps:cNvCnPr/>
                        <wps:spPr bwMode="auto">
                          <a:xfrm flipH="1">
                            <a:off x="2029400" y="669600"/>
                            <a:ext cx="370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 name="Line 279"/>
                        <wps:cNvCnPr/>
                        <wps:spPr bwMode="auto">
                          <a:xfrm flipH="1">
                            <a:off x="2061800" y="4161900"/>
                            <a:ext cx="333400" cy="1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7"/>
                        <wps:cNvCnPr/>
                        <wps:spPr bwMode="auto">
                          <a:xfrm flipV="1">
                            <a:off x="2029400" y="669600"/>
                            <a:ext cx="18400" cy="3929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55" o:spid="_x0000_s1026" editas="canvas" style="width:468pt;height:423pt;mso-position-horizontal-relative:char;mso-position-vertical-relative:line" coordsize="59436,5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vggAAMRNAAAOAAAAZHJzL2Uyb0RvYy54bWzsXNtyo0YQfU9V/oHiXStmuKtW3rJ1SVK1&#10;SbaySd7HgCwSBASwZSeVf0/3DIxAQpZss1rZQQ8yAgxzOdN9uk/D+w/3q0i5C7I8TOKxSt5pqhLE&#10;XuKH8c1Y/e3X+cBRlbxgsc+iJA7G6kOQqx8uvv3m/TodBTRZJpEfZApcJM5H63SsLosiHQ2HubcM&#10;Vix/l6RBDAcXSbZiBfzMboZ+xtZw9VU0pJpmDddJ5qdZ4gV5Dnun4qB6wa+/WARe8fNikQeFEo1V&#10;aFvBvzP+fY3fw4v3bHSTsXQZemUz2DNasWJhDDeVl5qygim3WbhzqVXoZUmeLIp3XrIaJotF6AW8&#10;D9Abom31ZsLiO5bzzngwOlUDYavD617fYLvjZB5GEYzGEK4+wn34dw3zE8DOdQqzk6dynvKX3f/z&#10;kqUB71Y+8n66+5QpoT9WdVWJ2QowcnlbJPwUhZo2zhDeHs77nH7KsK15+jHx/syVOJksWXwTXOYp&#10;zDOgDy5Q7cqyZL0MmA8tJXgJ6FbtGvgjh6sp1+sfEx9uyeCWfP7uF9kK7wEzo9xzmDyMVUodSyux&#10;EtwXigdHTNfQcafiwQkG1VxDnDFko+oaaZYX3wXJSsGNsZpBI/k92N3HvMA2sVF1SmMK2CiKGzvg&#10;RLEHbg7/isewGRxf/7iaO3NmjjEwqDUbGNp0OricT4yBNSe2OdWnk8mU/Iv3JcZoGfp+EONMV1gn&#10;xnFTWa46gVKJ9jyJQh8vh03Ks5vrSZQpdwzW2px/+MjDkc1pw2Yz+CBAX7a6RKihXVF3MLcce2DM&#10;DXPg2poz0Ih75Vqa4RrTebNLH8M4eHmXlPVYdU1q8lmqNXqrbxr/7PaNjVZhAdYsCldj1ZEnsREC&#10;cRb7MOVsVLAwEtu1ocDmb4YCpruaaA5bRKpYBNeJ/wCozRKAE0AP7C5sLJPsb1VZgw0bq/lftywL&#10;VCX6IQbku8Qw0OjxH4ZpU/iR1Y9c14+w2INLjdVCVcTmpBCG8jbNwpsl3InwgYkTXKCLkEMYV5Jo&#10;VbnGwEycyF4YbfbC+br2go84jDLYhC17YZgaJdJeaGjt+Rm9vejtRW8vwIp8cX5htdkL9xh70RGZ&#10;cJAjCOMAjEIsf+HJkVDALjAJcBgJhU51YLeli9nHJ5Lb2P+lQSrQwdz4JY1i/h+qslhFwGdhiSnE&#10;sizOpsDicAayQ0D2e7xL+3I+Nds8XhSj0ySmYz/fa2bYEe4c9zlKTn+2fGFxf30P/7RxQEe7RRhj&#10;4RJhQ7hD2BCuEDYqN+gVWfXjzB0hhFg7xNni4GmQ3hbi3BGwga1RhCu6PVND5oNQ2UBb14ihb6BN&#10;3DOC9sydTa9EiNAgqki5vya0eUjE29UjXHXbEC4H57HQsDOEU41He4BwohHO5LYgbuuS3um4Gs7H&#10;ek8ms8l8fn7Wm0OcYrt6iAOq2jAuR+ckGNesCuOAX4gWd8y4Y28wTqxzMuNnjXG9x7hwZ5ih207x&#10;WXJ0ToNxCL0FU6FAVVow7uomniBY+FlRlbPGuNFjXGCctmFcjs4JMA4m2qwwrrvAzbfMuKsLM48I&#10;twgkVg8xFUz+XSKR4um/MnZsBpqwsDeRJqyf6p71YBQGZnOOYThWFVA+NRo9RNlPmcLdF5lyLPAO&#10;PoPbmK5mgwkSQSp1Td2sAtXyiAhWyyOvL2AlbVKPgEN7xAoU8ZkCDrEJZF6FwScgJ2EY2iDu1LYw&#10;FSPsveZYSHDwdvtlHFwOVxnzUMGSqZRHloNLXSB3/KZ7l4NcMnuTM1KgqwJT28JFjk3Yn7fRNBc+&#10;ZX8apx2Zc9koESKaP2fJ6epqps04mYBBrHW2prMIqQoOc8lJ/OWC2lZu6SQ6y+tJMBEptWC6ESTX&#10;KFCoZSGu2tdr5zosejGeQeIZJuru8jZCXYxH+Dqmhl3qtTDF+7KnjcSpWPF1NbYGIEBTXdq8otPL&#10;q8pINE7rImP0RAnxUf8jZ+iJeH7z/gf86W4cclSpQVf5JFFRgAlTqpn2DkcjurPJmAKHQxd22Ct1&#10;TdJ029A5c4Vl9FSSdihYORuSJqe9XySiRKYsxyFtepl1lL7e1SLRHSIDGc0gpU2v6QrEAJtfkTfa&#10;B+u12pJHHYOcxSdiHob6TSlnxG5zBKfUhOvExoASnTIar2O8Rmz0HuP1+qlHMS5n8f+OcSkP8yI5&#10;atd1s0n8KStZ/P56SGURhen3VflXWRlZ0RakMFirsENhdPhUtpmb8Uf5SwQVcJt4epeO74S/YOzN&#10;w+FvlYkCAtNg6q82/JXj8OyoFscWo7bTFeoRKd+WCKyrWt0gkFo2Rxt0rmY6TZ785CHhwXiwB+B2&#10;VXp7ye9rBCDWvYp4rwRgXXLqCIDEpLv8tAZAUmYe92ckegS+YQRK5bNEoJQGQBDqBoFQ30d22WOt&#10;pvCg0NMD8A0DsE2WtGWC8ASyJPhiAyGIhBHj9rJ6pOauNacezQOnPJTzOl0B7KFs1tcqgBWSMx+n&#10;Z+iMby2cp1JXLK2szO290MpahGuEiFzi8u0m0YSHk6pQ5wBmexv7hm2slMlqTzDaMtd2GhsrZTLd&#10;NFpCorpMdmbZJF2fwEckAaJ0ycSDhFQnevXYQinDcXW+Ec7XhTfFwwfhstg/qI3vSw6gDDhl+VI0&#10;IH/Ip0mB6gsbHZk22FKT8UmFqv4NLtMbahUesWwGZDJZ90JDLaQ0npOyTAeNctNQ13NSfUDW0VPA&#10;rzIl0KZuOZJIndhWQ/IUspnbYO1tdfU0OVpqGQ00LP+Xs9UySfk/1w+o1MgEqXa60g8MuyLVhulW&#10;BTu1cFDXUVPg2dteP+jqjQ2v0lZvK1hdhXWUv7QD2YJlwXsltu2vzXMUHID8UJ+6HcHbO17yvpBX&#10;ib5t9aorrrpJKkBpS1W70tu/L/vGmteIQF3KV5+LjGH5uTJJ4hgKWJNMEcFxWYZ7vJLw+46c/7gx&#10;JI50xvBMSVV/21vEM7OIkHmAt3alHk+RlK81w3eR1X9z/X/z8rWL/wAAAP//AwBQSwMEFAAGAAgA&#10;AAAhAEss7o7ZAAAABQEAAA8AAABkcnMvZG93bnJldi54bWxMj0FPwzAMhe9I/IfISNxYujGNUppO&#10;G9KOk6BD2jVNTFOtcaom28q/x3CBi+WnZz1/r1xPvhcXHGMXSMF8loFAMsF21Cr4OOwechAxabK6&#10;D4QKvjDCurq9KXVhw5Xe8VKnVnAIxUIrcCkNhZTROPQ6zsKAxN5nGL1OLMdW2lFfOdz3cpFlK+l1&#10;R/zB6QFfHZpTffYKlgfq3vbbfHvcHU2qzb6xmXtS6v5u2ryASDilv2P4wWd0qJipCWeyUfQKuEj6&#10;new9P65YNgryJS+yKuV/+uobAAD//wMAUEsBAi0AFAAGAAgAAAAhALaDOJL+AAAA4QEAABMAAAAA&#10;AAAAAAAAAAAAAAAAAFtDb250ZW50X1R5cGVzXS54bWxQSwECLQAUAAYACAAAACEAOP0h/9YAAACU&#10;AQAACwAAAAAAAAAAAAAAAAAvAQAAX3JlbHMvLnJlbHNQSwECLQAUAAYACAAAACEAGv1v874IAADE&#10;TQAADgAAAAAAAAAAAAAAAAAuAgAAZHJzL2Uyb0RvYy54bWxQSwECLQAUAAYACAAAACEASyzujtkA&#10;AAAFAQAADwAAAAAAAAAAAAAAAAAYCwAAZHJzL2Rvd25yZXYueG1sUEsFBgAAAAAEAAQA8wAAAB4M&#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53721;visibility:visible;mso-wrap-style:square">
                  <v:fill o:detectmouseclick="t"/>
                  <v:path o:connecttype="none"/>
                </v:shape>
                <v:rect id="AutoShape 257" o:spid="_x0000_s1028" style="position:absolute;top:2286;width:59436;height:42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v:rect>
                <v:rect id="AutoShape 258" o:spid="_x0000_s1029" style="position:absolute;left:9144;width:45021;height:40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o:lock v:ext="edit" aspectratio="t"/>
                </v:rect>
                <v:roundrect id="AutoShape 259" o:spid="_x0000_s1030" style="position:absolute;left:8940;top:228;width:22810;height:32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PbycMA&#10;AADaAAAADwAAAGRycy9kb3ducmV2LnhtbESPT2vCQBTE7wW/w/KE3upGwSDRVfyDWNpejKIeH9ln&#10;Esy+Ddmtxn56Vyh4HGbmN8xk1ppKXKlxpWUF/V4EgjizuuRcwX63/hiBcB5ZY2WZFNzJwWzaeZtg&#10;ou2Nt3RNfS4ChF2CCgrv60RKlxVk0PVsTRy8s20M+iCbXOoGbwFuKjmIolgaLDksFFjTsqDskv4a&#10;Bd/H02aF1WLxZ9MRxcOvOx5+UqXeu+18DMJT61/h//anVhDD80q4A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PbycMAAADaAAAADwAAAAAAAAAAAAAAAACYAgAAZHJzL2Rv&#10;d25yZXYueG1sUEsFBgAAAAAEAAQA9QAAAIgDAAAAAA==&#10;" fillcolor="#a7afd5" strokeweight="1.25pt">
                  <v:textbox inset="0,0,0,0">
                    <w:txbxContent>
                      <w:p w:rsidR="004F7982" w:rsidRPr="00401297" w:rsidRDefault="004F7982" w:rsidP="00C7062B">
                        <w:pPr>
                          <w:autoSpaceDE w:val="0"/>
                          <w:autoSpaceDN w:val="0"/>
                          <w:adjustRightInd w:val="0"/>
                          <w:jc w:val="center"/>
                          <w:rPr>
                            <w:i/>
                            <w:color w:val="000000"/>
                            <w:sz w:val="18"/>
                            <w:szCs w:val="18"/>
                            <w:vertAlign w:val="superscript"/>
                          </w:rPr>
                        </w:pPr>
                        <w:r>
                          <w:rPr>
                            <w:color w:val="000000"/>
                            <w:sz w:val="18"/>
                            <w:szCs w:val="18"/>
                          </w:rPr>
                          <w:t>Wholesale Electric Quadrant</w:t>
                        </w:r>
                      </w:p>
                      <w:p w:rsidR="004F7982" w:rsidRDefault="004F7982" w:rsidP="00C7062B">
                        <w:pPr>
                          <w:autoSpaceDE w:val="0"/>
                          <w:autoSpaceDN w:val="0"/>
                          <w:adjustRightInd w:val="0"/>
                          <w:jc w:val="center"/>
                          <w:rPr>
                            <w:rFonts w:ascii="Arial" w:cs="Arial"/>
                            <w:color w:val="000000"/>
                            <w:sz w:val="36"/>
                            <w:szCs w:val="36"/>
                          </w:rPr>
                        </w:pPr>
                        <w:r>
                          <w:rPr>
                            <w:color w:val="000000"/>
                            <w:sz w:val="18"/>
                            <w:szCs w:val="18"/>
                          </w:rPr>
                          <w:t>Executive Committee (WEQ EC)</w:t>
                        </w:r>
                      </w:p>
                    </w:txbxContent>
                  </v:textbox>
                </v:roundrect>
                <v:roundrect id="AutoShape 260" o:spid="_x0000_s1031" style="position:absolute;left:24022;top:5080;width:30143;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RlgsAA&#10;AADaAAAADwAAAGRycy9kb3ducmV2LnhtbERPz2vCMBS+C/4P4Q28yExdRaQziggbgh607rDdHs1b&#10;U9a8lCZr639vDoLHj+/3ejvYWnTU+sqxgvksAUFcOF1xqeDr+vG6AuEDssbaMSm4kYftZjxaY6Zd&#10;zxfq8lCKGMI+QwUmhCaT0heGLPqZa4gj9+taiyHCtpS6xT6G21q+JclSWqw4NhhsaG+o+Mv/rYLz&#10;Iv1Jjyvb9J/T9GT4W9qaOqUmL8PuHUSgITzFD/dBK4hb45V4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RlgsAAAADaAAAADwAAAAAAAAAAAAAAAACYAgAAZHJzL2Rvd25y&#10;ZXYueG1sUEsFBgAAAAAEAAQA9QAAAIUDAAAAAA==&#10;" fillcolor="#e9edb1" strokeweight="1.25pt">
                  <v:textbox inset="0,0,0,0">
                    <w:txbxContent>
                      <w:p w:rsidR="004F7982" w:rsidRDefault="004F7982" w:rsidP="00C7062B">
                        <w:pPr>
                          <w:autoSpaceDE w:val="0"/>
                          <w:autoSpaceDN w:val="0"/>
                          <w:adjustRightInd w:val="0"/>
                          <w:jc w:val="center"/>
                          <w:rPr>
                            <w:color w:val="000000"/>
                            <w:sz w:val="8"/>
                            <w:szCs w:val="8"/>
                          </w:rPr>
                        </w:pPr>
                      </w:p>
                      <w:p w:rsidR="004F7982" w:rsidRDefault="004F7982" w:rsidP="00C7062B">
                        <w:pPr>
                          <w:autoSpaceDE w:val="0"/>
                          <w:autoSpaceDN w:val="0"/>
                          <w:adjustRightInd w:val="0"/>
                          <w:jc w:val="center"/>
                          <w:rPr>
                            <w:rFonts w:ascii="Arial" w:cs="Arial"/>
                            <w:color w:val="000000"/>
                            <w:sz w:val="36"/>
                            <w:szCs w:val="36"/>
                          </w:rPr>
                        </w:pPr>
                        <w:r>
                          <w:rPr>
                            <w:color w:val="000000"/>
                            <w:sz w:val="18"/>
                            <w:szCs w:val="18"/>
                          </w:rPr>
                          <w:t>Standards Review Subcommittee (SRS)</w:t>
                        </w:r>
                      </w:p>
                    </w:txbxContent>
                  </v:textbox>
                </v:roundrect>
                <v:roundrect id="AutoShape 261" o:spid="_x0000_s1032" style="position:absolute;left:24206;top:10121;width:30731;height:32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ywesIA&#10;AADaAAAADwAAAGRycy9kb3ducmV2LnhtbESP3WrCQBSE7wu+w3IE75qNIq1GV5EURUqhNAreHrIn&#10;P5g9m2bXGN++Wyj0cpiZb5j1djCN6KlztWUF0ygGQZxbXXOp4HzaPy9AOI+ssbFMCh7kYLsZPa0x&#10;0fbOX9RnvhQBwi5BBZX3bSKlyysy6CLbEgevsJ1BH2RXSt3hPcBNI2dx/CIN1hwWKmwprSi/Zjej&#10;4PvyUaCV6fnxyW90eF3QvHgnpSbjYbcC4Wnw/+G/9lErWMLvlXA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LB6wgAAANoAAAAPAAAAAAAAAAAAAAAAAJgCAABkcnMvZG93&#10;bnJldi54bWxQSwUGAAAAAAQABAD1AAAAhwMAAAAA&#10;" fillcolor="#ccecff" strokeweight="1.25pt">
                  <v:textbox inset="0,0,0,0">
                    <w:txbxContent>
                      <w:p w:rsidR="004F7982" w:rsidRDefault="004F7982" w:rsidP="00C7062B">
                        <w:pPr>
                          <w:autoSpaceDE w:val="0"/>
                          <w:autoSpaceDN w:val="0"/>
                          <w:adjustRightInd w:val="0"/>
                          <w:jc w:val="center"/>
                          <w:rPr>
                            <w:color w:val="000000"/>
                            <w:sz w:val="8"/>
                            <w:szCs w:val="8"/>
                          </w:rPr>
                        </w:pPr>
                      </w:p>
                      <w:p w:rsidR="004F7982" w:rsidRDefault="004F7982" w:rsidP="00C7062B">
                        <w:pPr>
                          <w:autoSpaceDE w:val="0"/>
                          <w:autoSpaceDN w:val="0"/>
                          <w:adjustRightInd w:val="0"/>
                          <w:jc w:val="center"/>
                          <w:rPr>
                            <w:rFonts w:ascii="Arial" w:cs="Arial"/>
                            <w:color w:val="000000"/>
                            <w:sz w:val="36"/>
                            <w:szCs w:val="36"/>
                          </w:rPr>
                        </w:pPr>
                        <w:r>
                          <w:rPr>
                            <w:color w:val="000000"/>
                            <w:sz w:val="18"/>
                            <w:szCs w:val="18"/>
                          </w:rPr>
                          <w:t>Interpretations Subcommittee</w:t>
                        </w:r>
                      </w:p>
                    </w:txbxContent>
                  </v:textbox>
                </v:roundrect>
                <v:roundrect id="AutoShape 262" o:spid="_x0000_s1033" style="position:absolute;left:24066;top:20072;width:30871;height:31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yXMsMA&#10;AADbAAAADwAAAGRycy9kb3ducmV2LnhtbESPT2sCQQzF74LfYYjQm85apF1WRxGLUkqh1Apew072&#10;D+5k1p1R12/fHARvCe/lvV8Wq9416kpdqD0bmE4SUMS5tzWXBg5/23EKKkRki41nMnCnAKvlcLDA&#10;zPob/9J1H0slIRwyNFDF2GZah7wih2HiW2LRCt85jLJ2pbYd3iTcNfo1Sd60w5qlocKWNhXlp/3F&#10;GTgfvwv0enO4//AH7d5TmhVfZMzLqF/PQUXq49P8uP60gi/08osMo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7yXMsMAAADbAAAADwAAAAAAAAAAAAAAAACYAgAAZHJzL2Rv&#10;d25yZXYueG1sUEsFBgAAAAAEAAQA9QAAAIgDAAAAAA==&#10;" fillcolor="#ccecff" strokeweight="1.25pt">
                  <v:textbox inset="0,0,0,0">
                    <w:txbxContent>
                      <w:p w:rsidR="004F7982" w:rsidRPr="007A50B3" w:rsidRDefault="004F7982" w:rsidP="00C7062B">
                        <w:pPr>
                          <w:autoSpaceDE w:val="0"/>
                          <w:autoSpaceDN w:val="0"/>
                          <w:adjustRightInd w:val="0"/>
                          <w:spacing w:before="60"/>
                          <w:jc w:val="center"/>
                          <w:rPr>
                            <w:color w:val="000000"/>
                            <w:sz w:val="18"/>
                            <w:szCs w:val="18"/>
                          </w:rPr>
                        </w:pPr>
                        <w:r>
                          <w:rPr>
                            <w:color w:val="000000"/>
                            <w:sz w:val="18"/>
                            <w:szCs w:val="18"/>
                          </w:rPr>
                          <w:t>OASIS Subcommittee</w:t>
                        </w:r>
                      </w:p>
                    </w:txbxContent>
                  </v:textbox>
                </v:roundrect>
                <v:roundrect id="AutoShape 263" o:spid="_x0000_s1034" style="position:absolute;left:24002;top:25082;width:30935;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yqb8A&#10;AADbAAAADwAAAGRycy9kb3ducmV2LnhtbERP24rCMBB9F/Yfwgi+aaosKtW0iLKLiCC6wr4OzfSC&#10;zaTbZLX+vREE3+ZwrrNMO1OLK7WusqxgPIpAEGdWV1woOP98DecgnEfWWFsmBXdykCYfvSXG2t74&#10;SNeTL0QIYRejgtL7JpbSZSUZdCPbEAcut61BH2BbSN3iLYSbWk6iaCoNVhwaSmxoXVJ2Of0bBX+/&#10;+xytXJ/vB97Q92xOn/mOlBr0u9UChKfOv8Uv91aH+WN4/hIOkM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8DKpvwAAANsAAAAPAAAAAAAAAAAAAAAAAJgCAABkcnMvZG93bnJl&#10;di54bWxQSwUGAAAAAAQABAD1AAAAhAMAAAAA&#10;" fillcolor="#ccecff" strokeweight="1.25pt">
                  <v:textbox inset="0,0,0,0">
                    <w:txbxContent>
                      <w:p w:rsidR="004F7982" w:rsidRDefault="004F7982" w:rsidP="00C7062B">
                        <w:pPr>
                          <w:autoSpaceDE w:val="0"/>
                          <w:autoSpaceDN w:val="0"/>
                          <w:adjustRightInd w:val="0"/>
                          <w:spacing w:before="100"/>
                          <w:jc w:val="center"/>
                          <w:rPr>
                            <w:rFonts w:ascii="Arial" w:cs="Arial"/>
                            <w:color w:val="000000"/>
                            <w:sz w:val="36"/>
                            <w:szCs w:val="36"/>
                          </w:rPr>
                        </w:pPr>
                        <w:r>
                          <w:rPr>
                            <w:color w:val="000000"/>
                            <w:sz w:val="18"/>
                            <w:szCs w:val="18"/>
                          </w:rPr>
                          <w:t>Joint Electric Scheduling Subcommittee (JESS)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6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FuRr4A&#10;AADbAAAADwAAAGRycy9kb3ducmV2LnhtbERPS4vCMBC+C/6HMII3TdfDIl2jyMqywp58X4dmtik2&#10;k9LEtP57Iwje5uN7zmLV21pEan3lWMHHNANBXDhdcangePiZzEH4gKyxdkwK7uRhtRwOFphr1/GO&#10;4j6UIoWwz1GBCaHJpfSFIYt+6hrixP271mJIsC2lbrFL4baWsyz7lBYrTg0GG/o2VFz3N6vgL0Z5&#10;unC5mZ/9r+/MJW5OB6nUeNSvv0AE6sNb/HJvdZo/g+cv6QC5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rhbka+AAAA2wAAAA8AAAAAAAAAAAAAAAAAmAIAAGRycy9kb3ducmV2&#10;LnhtbFBLBQYAAAAABAAEAPUAAACDAwAAAAA=&#10;" adj="15188" fillcolor="#e9edb1">
                  <v:textbox inset="1.64083mm,.82042mm,1.64083mm,.82042mm">
                    <w:txbxContent>
                      <w:p w:rsidR="004F7982" w:rsidRPr="00A0124C" w:rsidRDefault="004F7982" w:rsidP="00A0124C">
                        <w:pPr>
                          <w:autoSpaceDE w:val="0"/>
                          <w:autoSpaceDN w:val="0"/>
                          <w:adjustRightInd w:val="0"/>
                          <w:jc w:val="center"/>
                          <w:rPr>
                            <w:rFonts w:ascii="Arial" w:cs="Arial"/>
                            <w:color w:val="000000"/>
                            <w:sz w:val="18"/>
                            <w:szCs w:val="18"/>
                          </w:rPr>
                        </w:pPr>
                        <w:r w:rsidRPr="00A0124C">
                          <w:rPr>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7145;top:12573;width:2768;height:30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PTdb4A&#10;AADbAAAADwAAAGRycy9kb3ducmV2LnhtbERPzYrCMBC+L/gOYQRva6qCK9UoooiexFUfYEzGttpM&#10;ShO1vr0RBG/z8f3OZNbYUtyp9oVjBb1uAoJYO1NwpuB4WP2OQPiAbLB0TAqe5GE2bf1MMDXuwf90&#10;34dMxBD2KSrIQ6hSKb3OyaLvuoo4cmdXWwwR1pk0NT5iuC1lP0mG0mLBsSHHihY56ev+ZhUkunf7&#10;C+VlcT1dVua51evlesdKddrNfAwiUBO+4o97Y+L8Abx/iQfI6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z03W+AAAA2wAAAA8AAAAAAAAAAAAAAAAAmAIAAGRycy9kb3ducmV2&#10;LnhtbFBLBQYAAAAABAAEAPUAAACDAwAAAAA=&#10;" fillcolor="#bbe0e3" strokecolor="#099" strokeweight="6pt"/>
                <v:rect id="Rectangle 266" o:spid="_x0000_s1037" style="position:absolute;left:24003;top:50292;width:31299;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t9z8IA&#10;AADbAAAADwAAAGRycy9kb3ducmV2LnhtbERPS2sCMRC+F/ofwhR606wiRVaziw8KhR6Kth68jZtx&#10;dzWZLEnqbv+9KRR6m4/vOctysEbcyIfWsYLJOANBXDndcq3g6/N1NAcRIrJG45gU/FCAsnh8WGKu&#10;Xc87uu1jLVIIhxwVNDF2uZShashiGLuOOHFn5y3GBH0ttcc+hVsjp1n2Ii22nBoa7GjTUHXdf1sF&#10;vl+b90m4TI+rj633p2DkTB6Uen4aVgsQkYb4L/5zv+k0fwa/v6QDZH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i33PwgAAANsAAAAPAAAAAAAAAAAAAAAAAJgCAABkcnMvZG93&#10;bnJldi54bWxQSwUGAAAAAAQABAD1AAAAhwMAAAAA&#10;" fillcolor="#b2dab0" strokeweight="1.25pt">
                  <v:textbox inset="1.64083mm,.82042mm,1.64083mm,.82042mm">
                    <w:txbxContent>
                      <w:p w:rsidR="004F7982" w:rsidRDefault="004F7982" w:rsidP="00C7062B">
                        <w:pPr>
                          <w:autoSpaceDE w:val="0"/>
                          <w:autoSpaceDN w:val="0"/>
                          <w:adjustRightInd w:val="0"/>
                          <w:jc w:val="center"/>
                          <w:rPr>
                            <w:rFonts w:ascii="Arial" w:cs="Arial"/>
                            <w:color w:val="000000"/>
                            <w:sz w:val="36"/>
                            <w:szCs w:val="36"/>
                          </w:rPr>
                        </w:pPr>
                        <w:r>
                          <w:rPr>
                            <w:color w:val="000000"/>
                            <w:sz w:val="18"/>
                            <w:szCs w:val="18"/>
                          </w:rPr>
                          <w:t>Task Forces &amp; Working Groups</w:t>
                        </w:r>
                      </w:p>
                    </w:txbxContent>
                  </v:textbox>
                </v:rect>
                <v:shape id="AutoShape 267" o:spid="_x0000_s1038" type="#_x0000_t13" style="position:absolute;left:2286;top:20574;width:13843;height:9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Sa8MIA&#10;AADbAAAADwAAAGRycy9kb3ducmV2LnhtbERPzWrCQBC+C32HZQq9SN1osZToKlawqPFi6gMM2TEJ&#10;zc7G7NZEn94VBG/z8f3OdN6ZSpypcaVlBcNBBII4s7rkXMHhd/X+BcJ5ZI2VZVJwIQfz2UtvirG2&#10;Le/pnPpchBB2MSoovK9jKV1WkEE3sDVx4I62MegDbHKpG2xDuKnkKIo+pcGSQ0OBNS0Lyv7Sf6Ng&#10;v95e6efjlGySw/cwSfv5DhetUm+v3WICwlPnn+KHe63D/DHcfwkH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rwwgAAANsAAAAPAAAAAAAAAAAAAAAAAJgCAABkcnMvZG93&#10;bnJldi54bWxQSwUGAAAAAAQABAD1AAAAhwMAAAAA&#10;" fillcolor="#ccecff">
                  <v:textbox inset="1.64083mm,.82042mm,1.64083mm,.82042mm">
                    <w:txbxContent>
                      <w:p w:rsidR="004F7982" w:rsidRDefault="004F7982" w:rsidP="00A0124C">
                        <w:pPr>
                          <w:autoSpaceDE w:val="0"/>
                          <w:autoSpaceDN w:val="0"/>
                          <w:adjustRightInd w:val="0"/>
                          <w:jc w:val="center"/>
                          <w:rPr>
                            <w:rFonts w:ascii="Arial" w:cs="Arial"/>
                            <w:color w:val="000000"/>
                            <w:sz w:val="36"/>
                            <w:szCs w:val="36"/>
                          </w:rPr>
                        </w:pPr>
                        <w:r>
                          <w:rPr>
                            <w:color w:val="000000"/>
                            <w:sz w:val="18"/>
                            <w:szCs w:val="18"/>
                          </w:rPr>
                          <w:t>Development</w:t>
                        </w:r>
                      </w:p>
                    </w:txbxContent>
                  </v:textbox>
                </v:shape>
                <v:roundrect id="AutoShape 268" o:spid="_x0000_s1039" style="position:absolute;left:23812;top:30416;width:31490;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mq3cAA&#10;AADbAAAADwAAAGRycy9kb3ducmV2LnhtbERP22rCQBB9F/oPyxR8041FNERXkZQWEUG0Ql+H7OSC&#10;2dk0u03i37uFgm9zONdZbwdTi45aV1lWMJtGIIgzqysuFFy/PiYxCOeRNdaWScGdHGw3L6M1Jtr2&#10;fKbu4gsRQtglqKD0vkmkdFlJBt3UNsSBy21r0AfYFlK32IdwU8u3KFpIgxWHhhIbSkvKbpdfo+Dn&#10;+5ijlen1fuJ3+lzGNM8PpNT4dditQHga/FP8797rMH8B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mq3cAAAADbAAAADwAAAAAAAAAAAAAAAACYAgAAZHJzL2Rvd25y&#10;ZXYueG1sUEsFBgAAAAAEAAQA9QAAAIUDAAAAAA==&#10;" fillcolor="#ccecff" strokeweight="1.25pt">
                  <v:textbox inset="0,0,0,0">
                    <w:txbxContent>
                      <w:p w:rsidR="004F7982" w:rsidRDefault="004F7982" w:rsidP="00C7062B">
                        <w:pPr>
                          <w:autoSpaceDE w:val="0"/>
                          <w:autoSpaceDN w:val="0"/>
                          <w:adjustRightInd w:val="0"/>
                          <w:jc w:val="center"/>
                          <w:rPr>
                            <w:color w:val="000000"/>
                            <w:sz w:val="8"/>
                            <w:szCs w:val="8"/>
                          </w:rPr>
                        </w:pPr>
                      </w:p>
                      <w:p w:rsidR="004F7982" w:rsidRDefault="004F7982" w:rsidP="00C7062B">
                        <w:pPr>
                          <w:autoSpaceDE w:val="0"/>
                          <w:autoSpaceDN w:val="0"/>
                          <w:adjustRightInd w:val="0"/>
                          <w:jc w:val="center"/>
                          <w:rPr>
                            <w:rFonts w:ascii="Arial" w:cs="Arial"/>
                            <w:color w:val="000000"/>
                            <w:sz w:val="36"/>
                            <w:szCs w:val="36"/>
                          </w:rPr>
                        </w:pPr>
                        <w:r>
                          <w:rPr>
                            <w:color w:val="000000"/>
                            <w:sz w:val="18"/>
                            <w:szCs w:val="18"/>
                          </w:rPr>
                          <w:t>PKI Subcommittee</w:t>
                        </w:r>
                      </w:p>
                    </w:txbxContent>
                  </v:textbox>
                </v:roundrect>
                <v:roundrect id="AutoShape 269" o:spid="_x0000_s1040" style="position:absolute;left:24003;top:44577;width:31299;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UPRr8A&#10;AADbAAAADwAAAGRycy9kb3ducmV2LnhtbERP24rCMBB9F/yHMIJvmrqISjUtoqwsi7CsCr4OzfSC&#10;zaQ2UevfG2Fh3+ZwrrNKO1OLO7WusqxgMo5AEGdWV1woOB0/RwsQziNrrC2Tgic5SJN+b4Wxtg/+&#10;pfvBFyKEsItRQel9E0vpspIMurFtiAOX29agD7AtpG7xEcJNLT+iaCYNVhwaSmxoU1J2OdyMgut5&#10;n6OVm9Pzh7e0my9omn+TUsNBt16C8NT5f/Gf+0uH+XN4/xIOkM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VQ9GvwAAANsAAAAPAAAAAAAAAAAAAAAAAJgCAABkcnMvZG93bnJl&#10;di54bWxQSwUGAAAAAAQABAD1AAAAhAMAAAAA&#10;" fillcolor="#ccecff" strokeweight="1.25pt">
                  <v:textbox inset="0,0,0,0">
                    <w:txbxContent>
                      <w:p w:rsidR="004F7982" w:rsidRDefault="004F7982" w:rsidP="00C7062B">
                        <w:pPr>
                          <w:autoSpaceDE w:val="0"/>
                          <w:autoSpaceDN w:val="0"/>
                          <w:adjustRightInd w:val="0"/>
                          <w:jc w:val="center"/>
                          <w:rPr>
                            <w:color w:val="000000"/>
                            <w:sz w:val="8"/>
                            <w:szCs w:val="8"/>
                          </w:rPr>
                        </w:pPr>
                      </w:p>
                      <w:p w:rsidR="004F7982" w:rsidRDefault="004F7982" w:rsidP="00C7062B">
                        <w:pPr>
                          <w:autoSpaceDE w:val="0"/>
                          <w:autoSpaceDN w:val="0"/>
                          <w:adjustRightInd w:val="0"/>
                          <w:jc w:val="center"/>
                          <w:rPr>
                            <w:rFonts w:ascii="Arial" w:cs="Arial"/>
                            <w:color w:val="000000"/>
                            <w:sz w:val="36"/>
                            <w:szCs w:val="36"/>
                          </w:rPr>
                        </w:pPr>
                        <w:r>
                          <w:rPr>
                            <w:color w:val="000000"/>
                            <w:sz w:val="18"/>
                            <w:szCs w:val="18"/>
                          </w:rPr>
                          <w:t>REQ/WEQ DSM-EE Subcommittee</w:t>
                        </w:r>
                      </w:p>
                    </w:txbxContent>
                  </v:textbox>
                </v:roundrect>
                <v:line id="Line 271" o:spid="_x0000_s1041" style="position:absolute;flip:x;visibility:visible;mso-wrap-style:square" from="20574,32004" to="23907,32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MScsMAAADbAAAADwAAAGRycy9kb3ducmV2LnhtbESPQWsCMRCF70L/Q5iCt5qtB5GtUaQg&#10;KPVQrdDrsJndLG4mS5K66793DgVvM7w3732z2oy+UzeKqQ1s4H1WgCKugm25MXD52b0tQaWMbLEL&#10;TAbulGCzfpmssLRh4BPdzrlREsKpRAMu577UOlWOPKZZ6IlFq0P0mGWNjbYRBwn3nZ4XxUJ7bFka&#10;HPb06ai6nv+8AX34Gr7jbn6pm3rfh9+DOy6G0Zjp67j9AJVpzE/z//XeCr7Ayi8ygF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TEnLDAAAA2wAAAA8AAAAAAAAAAAAA&#10;AAAAoQIAAGRycy9kb3ducmV2LnhtbFBLBQYAAAAABAAEAPkAAACRAwAAAAA=&#10;" strokeweight="1.5pt"/>
                <v:line id="Line 272" o:spid="_x0000_s1042" style="position:absolute;flip:x;visibility:visible;mso-wrap-style:square" from="20574,26733" to="24098,26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36cAAAADbAAAADwAAAGRycy9kb3ducmV2LnhtbERPS4vCMBC+L/gfwgh7W1M9iFajiCAo&#10;uwdf4HVopk2xmZQk2vrvzcLC3ubje85y3dtGPMmH2rGC8SgDQVw4XXOl4HrZfc1AhIissXFMCl4U&#10;YL0afCwx167jEz3PsRIphEOOCkyMbS5lKAxZDCPXEieudN5iTNBXUnvsUrht5CTLptJizanBYEtb&#10;Q8X9/LAK5OG7O/rd5FpW5b51t4P5mXa9Up/DfrMAEamP/+I/916n+XP4/SUdIF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Mft+nAAAAA2wAAAA8AAAAAAAAAAAAAAAAA&#10;oQIAAGRycy9kb3ducmV2LnhtbFBLBQYAAAAABAAEAPkAAACOAwAAAAA=&#10;" strokeweight="1.5pt"/>
                <v:line id="Line 273" o:spid="_x0000_s1043" style="position:absolute;flip:x;visibility:visible;mso-wrap-style:square" from="20574,21526" to="24098,21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nUyb4AAADbAAAADwAAAGRycy9kb3ducmV2LnhtbERPTYvCMBC9C/6HMMLeNLUHWbpGEUFQ&#10;9OCqsNehmTbFZlKSaOu/3xwEj4/3vVwPthVP8qFxrGA+y0AQl043XCu4XXfTbxAhImtsHZOCFwVY&#10;r8ajJRba9fxLz0usRQrhUKACE2NXSBlKQxbDzHXEiauctxgT9LXUHvsUbluZZ9lCWmw4NRjsaGuo&#10;vF8eVoE8HPuz3+W3qq72nfs7mNOiH5T6mgybHxCRhvgRv917rSBP69OX9APk6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SdTJvgAAANsAAAAPAAAAAAAAAAAAAAAAAKEC&#10;AABkcnMvZG93bnJldi54bWxQSwUGAAAAAAQABAD5AAAAjAMAAAAA&#10;" strokeweight="1.5pt"/>
                <v:line id="Line 275" o:spid="_x0000_s1044" style="position:absolute;flip:x;visibility:visible;mso-wrap-style:square" from="20574,16617" to="24384,1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VxUsIAAADbAAAADwAAAGRycy9kb3ducmV2LnhtbESPQYvCMBSE74L/ITzBm6b2IEs1igiC&#10;sh5cV/D6aF6bYvNSkmi7/94sLOxxmJlvmPV2sK14kQ+NYwWLeQaCuHS64VrB7fsw+wARIrLG1jEp&#10;+KEA2814tMZCu56/6HWNtUgQDgUqMDF2hZShNGQxzF1HnLzKeYsxSV9L7bFPcNvKPMuW0mLDacFg&#10;R3tD5eP6tArk6bO/+EN+q+rq2Ln7yZyX/aDUdDLsViAiDfE//Nc+agX5An6/pB8gN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VxUsIAAADbAAAADwAAAAAAAAAAAAAA&#10;AAChAgAAZHJzL2Rvd25yZXYueG1sUEsFBgAAAAAEAAQA+QAAAJADAAAAAA==&#10;" strokeweight="1.5pt"/>
                <v:roundrect id="AutoShape 276" o:spid="_x0000_s1045" style="position:absolute;left:24047;top:14909;width:30890;height:32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5mY8MA&#10;AADbAAAADwAAAGRycy9kb3ducmV2LnhtbESP3WoCMRSE7wt9h3AK3tVsF7GyGqVYFJFC0Qq9PWzO&#10;/uDmZJtEd/ftG0HwcpiZb5jFqjeNuJLztWUFb+MEBHFudc2lgtPP5nUGwgdkjY1lUjCQh9Xy+WmB&#10;mbYdH+h6DKWIEPYZKqhCaDMpfV6RQT+2LXH0CusMhihdKbXDLsJNI9MkmUqDNceFCltaV5Sfjxej&#10;4O/3q0Ar16fhmz9p+z6jSbEnpUYv/cccRKA+PML39k4rSFO4fY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5mY8MAAADbAAAADwAAAAAAAAAAAAAAAACYAgAAZHJzL2Rv&#10;d25yZXYueG1sUEsFBgAAAAAEAAQA9QAAAIgDAAAAAA==&#10;" fillcolor="#ccecff" strokeweight="1.25pt">
                  <v:textbox inset="0,0,0,0">
                    <w:txbxContent>
                      <w:p w:rsidR="004F7982" w:rsidRDefault="004F7982" w:rsidP="00C7062B">
                        <w:pPr>
                          <w:autoSpaceDE w:val="0"/>
                          <w:autoSpaceDN w:val="0"/>
                          <w:adjustRightInd w:val="0"/>
                          <w:jc w:val="center"/>
                          <w:rPr>
                            <w:color w:val="000000"/>
                            <w:sz w:val="8"/>
                            <w:szCs w:val="8"/>
                          </w:rPr>
                        </w:pPr>
                      </w:p>
                      <w:p w:rsidR="004F7982" w:rsidRDefault="004F7982" w:rsidP="00C7062B">
                        <w:pPr>
                          <w:autoSpaceDE w:val="0"/>
                          <w:autoSpaceDN w:val="0"/>
                          <w:adjustRightInd w:val="0"/>
                          <w:jc w:val="center"/>
                          <w:rPr>
                            <w:rFonts w:ascii="Arial" w:cs="Arial"/>
                            <w:color w:val="000000"/>
                            <w:sz w:val="36"/>
                            <w:szCs w:val="36"/>
                          </w:rPr>
                        </w:pPr>
                        <w:r>
                          <w:rPr>
                            <w:color w:val="000000"/>
                            <w:sz w:val="18"/>
                            <w:szCs w:val="18"/>
                          </w:rPr>
                          <w:t>Business Practices Subcommittee (BPS)</w:t>
                        </w:r>
                      </w:p>
                    </w:txbxContent>
                  </v:textbox>
                </v:roundrect>
                <v:line id="Line 277" o:spid="_x0000_s1046" style="position:absolute;flip:x;visibility:visible;mso-wrap-style:square" from="20618,11918" to="24326,11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tKvsMAAADbAAAADwAAAGRycy9kb3ducmV2LnhtbESPzWrDMBCE74W8g9hAb40cF0Jwo4QQ&#10;CCS0h/wYcl2stWVqrYykxO7bV4FCj8PMfMOsNqPtxIN8aB0rmM8yEMSV0y03Csrr/m0JIkRkjZ1j&#10;UvBDATbrycsKC+0GPtPjEhuRIBwKVGBi7AspQ2XIYpi5njh5tfMWY5K+kdrjkOC2k3mWLaTFltOC&#10;wZ52hqrvy90qkMfP4eT3eVk39aF3t6P5WgyjUq/TcfsBItIY/8N/7YNWkL/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bSr7DAAAA2wAAAA8AAAAAAAAAAAAA&#10;AAAAoQIAAGRycy9kb3ducmV2LnhtbFBLBQYAAAAABAAEAPkAAACRAwAAAAA=&#10;" strokeweight="1.5pt"/>
                <v:roundrect id="AutoShape 278" o:spid="_x0000_s1047" style="position:absolute;left:24003;top:35433;width:31299;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vve8IA&#10;AADbAAAADwAAAGRycy9kb3ducmV2LnhtbESPT4vCMBTE74LfITzBm6aWskrXKIsgetiL/w7eHs3b&#10;pmzzUppY6356syB4HGbmN8xy3dtadNT6yrGC2TQBQVw4XXGp4HzaThYgfEDWWDsmBQ/ysF4NB0vM&#10;tbvzgbpjKEWEsM9RgQmhyaX0hSGLfuoa4uj9uNZiiLItpW7xHuG2lmmSfEiLFccFgw1tDBW/x5tV&#10;kDUXS/PrX2m236lEl3W7R+iUGo/6r08QgfrwDr/ae60gzeD/S/w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G+97wgAAANsAAAAPAAAAAAAAAAAAAAAAAJgCAABkcnMvZG93&#10;bnJldi54bWxQSwUGAAAAAAQABAD1AAAAhwMAAAAA&#10;" fillcolor="#3cc" strokeweight="1.25pt">
                  <v:fill opacity="15163f"/>
                  <v:stroke dashstyle="1 1" endcap="round"/>
                  <v:textbox inset="0,0,0,0">
                    <w:txbxContent>
                      <w:p w:rsidR="004F7982" w:rsidRDefault="004F7982" w:rsidP="00C7062B">
                        <w:pPr>
                          <w:autoSpaceDE w:val="0"/>
                          <w:autoSpaceDN w:val="0"/>
                          <w:adjustRightInd w:val="0"/>
                          <w:jc w:val="center"/>
                          <w:rPr>
                            <w:color w:val="000000"/>
                            <w:sz w:val="8"/>
                            <w:szCs w:val="8"/>
                          </w:rPr>
                        </w:pPr>
                      </w:p>
                      <w:p w:rsidR="004F7982" w:rsidRPr="00DC57C9" w:rsidRDefault="004F7982" w:rsidP="00C7062B">
                        <w:pPr>
                          <w:autoSpaceDE w:val="0"/>
                          <w:autoSpaceDN w:val="0"/>
                          <w:adjustRightInd w:val="0"/>
                          <w:jc w:val="center"/>
                          <w:rPr>
                            <w:rFonts w:ascii="Arial" w:cs="Arial"/>
                          </w:rPr>
                        </w:pPr>
                        <w:r>
                          <w:rPr>
                            <w:color w:val="000000"/>
                            <w:sz w:val="18"/>
                            <w:szCs w:val="18"/>
                          </w:rPr>
                          <w:t xml:space="preserve">WEQ/REQ </w:t>
                        </w:r>
                        <w:r w:rsidRPr="00985642">
                          <w:rPr>
                            <w:color w:val="000000"/>
                            <w:sz w:val="18"/>
                            <w:szCs w:val="18"/>
                          </w:rPr>
                          <w:t xml:space="preserve">Smart Grid Standards </w:t>
                        </w:r>
                        <w:r>
                          <w:rPr>
                            <w:color w:val="000000"/>
                            <w:sz w:val="18"/>
                            <w:szCs w:val="18"/>
                          </w:rPr>
                          <w:t>Subcommittee</w:t>
                        </w:r>
                        <w:r w:rsidRPr="00985642">
                          <w:rPr>
                            <w:color w:val="000000"/>
                            <w:sz w:val="18"/>
                            <w:szCs w:val="18"/>
                          </w:rPr>
                          <w:t xml:space="preserve"> (**)</w:t>
                        </w:r>
                      </w:p>
                    </w:txbxContent>
                  </v:textbox>
                </v:roundrect>
                <v:line id="Line 279" o:spid="_x0000_s1048" style="position:absolute;flip:x;visibility:visible;mso-wrap-style:square" from="20574,36588" to="23907,36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3UcMAAADbAAAADwAAAGRycy9kb3ducmV2LnhtbESPzWrDMBCE74W8g9hAb40cQ0Nwo4QQ&#10;CCS0h/wYcl2stWVqrYykxO7bV4FCj8PMfMOsNqPtxIN8aB0rmM8yEMSV0y03Csrr/m0JIkRkjZ1j&#10;UvBDATbrycsKC+0GPtPjEhuRIBwKVGBi7AspQ2XIYpi5njh5tfMWY5K+kdrjkOC2k3mWLaTFltOC&#10;wZ52hqrvy90qkMfP4eT3eVk39aF3t6P5WgyjUq/TcfsBItIY/8N/7YNWkL/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d1HDAAAA2wAAAA8AAAAAAAAAAAAA&#10;AAAAoQIAAGRycy9kb3ducmV2LnhtbFBLBQYAAAAABAAEAPkAAACRAwAAAAA=&#10;" strokeweight="1.5pt"/>
                <v:roundrect id="AutoShape 280" o:spid="_x0000_s1049" style="position:absolute;left:24003;top:40005;width:31299;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Ul8QA&#10;AADbAAAADwAAAGRycy9kb3ducmV2LnhtbESPzWrDMBCE74G8g9hAb7FcY9zgRgmlENpDLk2TQ2+L&#10;tbFMrJWxVP/06aNCocdhZr5htvvJtmKg3jeOFTwmKQjiyumGawXnz8N6A8IHZI2tY1Iwk4f9brnY&#10;YqndyB80nEItIoR9iQpMCF0ppa8MWfSJ64ijd3W9xRBlX0vd4xjhtpVZmhbSYsNxwWBHr4aq2+nb&#10;Ksi7i6Wnr5/aHI6ZRJcPb3MYlHpYTS/PIAJN4T/8137XCrICfr/EH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F1JfEAAAA2wAAAA8AAAAAAAAAAAAAAAAAmAIAAGRycy9k&#10;b3ducmV2LnhtbFBLBQYAAAAABAAEAPUAAACJAwAAAAA=&#10;" fillcolor="#3cc" strokeweight="1.25pt">
                  <v:fill opacity="15163f"/>
                  <v:stroke dashstyle="1 1" endcap="round"/>
                  <v:textbox inset="0,0,0,0">
                    <w:txbxContent>
                      <w:p w:rsidR="004F7982" w:rsidRPr="00C7062B" w:rsidRDefault="004F7982" w:rsidP="00C7062B">
                        <w:pPr>
                          <w:autoSpaceDE w:val="0"/>
                          <w:autoSpaceDN w:val="0"/>
                          <w:adjustRightInd w:val="0"/>
                          <w:spacing w:before="60"/>
                          <w:jc w:val="center"/>
                          <w:rPr>
                            <w:color w:val="000000"/>
                            <w:sz w:val="18"/>
                            <w:szCs w:val="18"/>
                          </w:rPr>
                        </w:pPr>
                        <w:r>
                          <w:rPr>
                            <w:color w:val="000000"/>
                            <w:sz w:val="18"/>
                            <w:szCs w:val="18"/>
                          </w:rPr>
                          <w:t xml:space="preserve">WEQ/REQ </w:t>
                        </w:r>
                        <w:r w:rsidRPr="00C7062B">
                          <w:rPr>
                            <w:color w:val="000000"/>
                            <w:sz w:val="18"/>
                            <w:szCs w:val="18"/>
                          </w:rPr>
                          <w:t>PAP 10 Smart Grid Standards Subcommittee (***)</w:t>
                        </w:r>
                      </w:p>
                    </w:txbxContent>
                  </v:textbox>
                </v:roundrect>
                <v:line id="Line 281" o:spid="_x0000_s1050" style="position:absolute;flip:x;visibility:visible;mso-wrap-style:square" from="20478,45976" to="23812,4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BMvcIAAADbAAAADwAAAGRycy9kb3ducmV2LnhtbESPQYvCMBSE7wv+h/CEva2pPehSjSKC&#10;oOweXBW8PprXpti8lCTa+u/NwsIeh5n5hlmuB9uKB/nQOFYwnWQgiEunG64VXM67j08QISJrbB2T&#10;gicFWK9Gb0sstOv5hx6nWIsE4VCgAhNjV0gZSkMWw8R1xMmrnLcYk/S11B77BLetzLNsJi02nBYM&#10;drQ1VN5Od6tAHr76o9/ll6qu9p27Hsz3rB+Ueh8PmwWISEP8D/+191pBPoffL+kH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6BMvcIAAADbAAAADwAAAAAAAAAAAAAA&#10;AAChAgAAZHJzL2Rvd25yZXYueG1sUEsFBgAAAAAEAAQA+QAAAJADAAAAAA==&#10;" strokeweight="1.5pt"/>
                <v:line id="Line 277" o:spid="_x0000_s1051" style="position:absolute;flip:x;visibility:visible;mso-wrap-style:square" from="20294,6696" to="2400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Yz74AAADbAAAADwAAAGRycy9kb3ducmV2LnhtbERPTYvCMBC9C/6HMMLeNLUHWbpGEUFQ&#10;9OCqsNehmTbFZlKSaOu/3xwEj4/3vVwPthVP8qFxrGA+y0AQl043XCu4XXfTbxAhImtsHZOCFwVY&#10;r8ajJRba9fxLz0usRQrhUKACE2NXSBlKQxbDzHXEiauctxgT9LXUHvsUbluZZ9lCWmw4NRjsaGuo&#10;vF8eVoE8HPuz3+W3qq72nfs7mNOiH5T6mgybHxCRhvgRv917rSBPY9OX9APk6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P9jPvgAAANsAAAAPAAAAAAAAAAAAAAAAAKEC&#10;AABkcnMvZG93bnJldi54bWxQSwUGAAAAAAQABAD5AAAAjAMAAAAA&#10;" strokeweight="1.5pt"/>
                <v:line id="Line 279" o:spid="_x0000_s1052" style="position:absolute;flip:x;visibility:visible;mso-wrap-style:square" from="20618,41619" to="23952,4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N9VMIAAADbAAAADwAAAGRycy9kb3ducmV2LnhtbESPQYvCMBSE7wv+h/CEva2pPYhbjSKC&#10;oOweXBW8PprXpti8lCTa+u/NwsIeh5n5hlmuB9uKB/nQOFYwnWQgiEunG64VXM67jzmIEJE1to5J&#10;wZMCrFejtyUW2vX8Q49TrEWCcChQgYmxK6QMpSGLYeI64uRVzluMSfpaao99gttW5lk2kxYbTgsG&#10;O9oaKm+nu1UgD1/90e/yS1VX+85dD+Z71g9KvY+HzQJEpCH+h//ae60g/4TfL+kH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N9VMIAAADbAAAADwAAAAAAAAAAAAAA&#10;AAChAgAAZHJzL2Rvd25yZXYueG1sUEsFBgAAAAAEAAQA+QAAAJADAAAAAA==&#10;" strokeweight="1.5pt"/>
                <v:line id="Straight Connector 37" o:spid="_x0000_s1053" style="position:absolute;flip:y;visibility:visible;mso-wrap-style:square" from="20294,6696" to="20478,4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BCFL8AAADbAAAADwAAAGRycy9kb3ducmV2LnhtbERPTYvCMBC9L/gfwgje1lQFWapRRBAU&#10;9+Cq4HVopk2xmZQk2vrvzWHB4+N9L9e9bcSTfKgdK5iMMxDEhdM1Vwqul933D4gQkTU2jknBiwKs&#10;V4OvJebadfxHz3OsRArhkKMCE2ObSxkKQxbD2LXEiSudtxgT9JXUHrsUbhs5zbK5tFhzajDY0tZQ&#10;cT8/rAJ5OHYnv5tey6rct+52ML/zrldqNOw3CxCR+vgR/7v3WsEsrU9f0g+Qq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ZBCFL8AAADbAAAADwAAAAAAAAAAAAAAAACh&#10;AgAAZHJzL2Rvd25yZXYueG1sUEsFBgAAAAAEAAQA+QAAAI0DAAAAAA==&#10;" strokeweight="1.5pt"/>
                <w10:anchorlock/>
              </v:group>
            </w:pict>
          </mc:Fallback>
        </mc:AlternateContent>
      </w:r>
    </w:p>
    <w:p>
      <w:pPr>
        <w:pStyle w:val="BodyText"/>
        <w:jc w:val="both"/>
        <w:rPr>
          <w:b/>
          <w:sz w:val="18"/>
          <w:szCs w:val="18"/>
        </w:rPr>
      </w:pPr>
    </w:p>
    <w:p>
      <w:pPr>
        <w:pStyle w:val="BodyText"/>
        <w:keepNext/>
        <w:pageBreakBefore/>
        <w:jc w:val="both"/>
        <w:rPr>
          <w:sz w:val="18"/>
          <w:szCs w:val="18"/>
        </w:rPr>
      </w:pPr>
      <w:r>
        <w:rPr>
          <w:b/>
          <w:sz w:val="18"/>
          <w:szCs w:val="18"/>
        </w:rPr>
        <w:lastRenderedPageBreak/>
        <w:t>NAESB WEQ EC and Active Subcommittee Leadership</w:t>
      </w:r>
      <w:r>
        <w:rPr>
          <w:sz w:val="18"/>
          <w:szCs w:val="18"/>
        </w:rPr>
        <w:t>:</w:t>
      </w:r>
    </w:p>
    <w:p>
      <w:pPr>
        <w:pStyle w:val="BodyText"/>
        <w:spacing w:before="120"/>
        <w:rPr>
          <w:sz w:val="18"/>
          <w:szCs w:val="18"/>
        </w:rPr>
      </w:pPr>
      <w:r>
        <w:rPr>
          <w:sz w:val="18"/>
          <w:szCs w:val="18"/>
        </w:rPr>
        <w:t xml:space="preserve">Executive Committee (EC):  Kathy York (Chair) </w:t>
      </w:r>
      <w:proofErr w:type="gramStart"/>
      <w:r>
        <w:rPr>
          <w:sz w:val="18"/>
          <w:szCs w:val="18"/>
        </w:rPr>
        <w:t>and  James</w:t>
      </w:r>
      <w:proofErr w:type="gramEnd"/>
      <w:r>
        <w:rPr>
          <w:sz w:val="18"/>
          <w:szCs w:val="18"/>
        </w:rPr>
        <w:t xml:space="preserve"> Castle (Vice Chair)</w:t>
      </w:r>
    </w:p>
    <w:p>
      <w:pPr>
        <w:pStyle w:val="BodyText"/>
        <w:ind w:left="180"/>
        <w:rPr>
          <w:sz w:val="18"/>
          <w:szCs w:val="18"/>
        </w:rPr>
      </w:pPr>
      <w:r>
        <w:rPr>
          <w:sz w:val="18"/>
          <w:szCs w:val="18"/>
        </w:rPr>
        <w:t>Standards Review Subcommittee (SRS):  Narinder Saini, Ed Skiba</w:t>
      </w:r>
    </w:p>
    <w:p>
      <w:pPr>
        <w:pStyle w:val="BodyText"/>
        <w:ind w:left="180"/>
        <w:rPr>
          <w:sz w:val="18"/>
          <w:szCs w:val="18"/>
        </w:rPr>
      </w:pPr>
      <w:r>
        <w:rPr>
          <w:sz w:val="18"/>
          <w:szCs w:val="18"/>
        </w:rPr>
        <w:t>Interpretations Subcommittee:   Ed Skiba</w:t>
      </w:r>
    </w:p>
    <w:p>
      <w:pPr>
        <w:pStyle w:val="BodyText"/>
        <w:ind w:left="180"/>
        <w:rPr>
          <w:sz w:val="18"/>
          <w:szCs w:val="18"/>
        </w:rPr>
      </w:pPr>
      <w:r>
        <w:rPr>
          <w:sz w:val="18"/>
          <w:szCs w:val="18"/>
        </w:rPr>
        <w:t>Business Practices Subcommittee (BPS) &amp; Time and Inadvertent Management Task Force (TIMTF): Ed Skiba, Narinder Saini</w:t>
      </w:r>
    </w:p>
    <w:p>
      <w:pPr>
        <w:pStyle w:val="BodyText"/>
        <w:ind w:left="180"/>
        <w:rPr>
          <w:sz w:val="18"/>
          <w:szCs w:val="18"/>
        </w:rPr>
      </w:pPr>
      <w:r>
        <w:rPr>
          <w:sz w:val="18"/>
          <w:szCs w:val="18"/>
        </w:rPr>
        <w:t>Open Access Same Time Information System (OASIS) Subcommittee: Paul Sorenson, J.T. Wood, Alan Pritchard</w:t>
      </w:r>
    </w:p>
    <w:p>
      <w:pPr>
        <w:pStyle w:val="BodyText"/>
        <w:ind w:left="180"/>
        <w:rPr>
          <w:sz w:val="18"/>
          <w:szCs w:val="18"/>
        </w:rPr>
      </w:pPr>
      <w:r>
        <w:rPr>
          <w:sz w:val="18"/>
          <w:szCs w:val="18"/>
        </w:rPr>
        <w:t>Joint Electric Scheduling Subcommittee (JESS):  Bob Harshbarger (NAESB), Clint Aymond (NERC)</w:t>
      </w:r>
    </w:p>
    <w:p>
      <w:pPr>
        <w:pStyle w:val="BodyText"/>
        <w:ind w:left="180"/>
        <w:rPr>
          <w:sz w:val="18"/>
          <w:szCs w:val="18"/>
        </w:rPr>
      </w:pPr>
      <w:r>
        <w:rPr>
          <w:sz w:val="18"/>
          <w:szCs w:val="18"/>
        </w:rPr>
        <w:t>Public Key Infrastructure (PKI) Subcommittee: Jim Buccigross</w:t>
      </w:r>
    </w:p>
    <w:p>
      <w:pPr>
        <w:keepNext/>
        <w:widowControl w:val="0"/>
        <w:spacing w:before="60"/>
        <w:rPr>
          <w:sz w:val="18"/>
          <w:szCs w:val="18"/>
        </w:rPr>
      </w:pPr>
      <w:r>
        <w:rPr>
          <w:sz w:val="18"/>
          <w:szCs w:val="18"/>
        </w:rPr>
        <w:t>Inactive Subcommittees:</w:t>
      </w:r>
    </w:p>
    <w:p>
      <w:pPr>
        <w:pStyle w:val="BodyText"/>
        <w:ind w:left="270"/>
        <w:rPr>
          <w:sz w:val="18"/>
          <w:szCs w:val="18"/>
        </w:rPr>
      </w:pPr>
      <w:proofErr w:type="gramStart"/>
      <w:r>
        <w:rPr>
          <w:sz w:val="18"/>
          <w:szCs w:val="18"/>
        </w:rPr>
        <w:t>e-Tariff</w:t>
      </w:r>
      <w:proofErr w:type="gramEnd"/>
      <w:r>
        <w:rPr>
          <w:sz w:val="18"/>
          <w:szCs w:val="18"/>
        </w:rPr>
        <w:t xml:space="preserve"> Joint WEQ/WGQ Subcommittee (e-Tariff):  Jane Daly (WEQ), Keith Sappenfield (WGQ)</w:t>
      </w:r>
    </w:p>
    <w:p>
      <w:pPr>
        <w:pStyle w:val="BodyText"/>
        <w:ind w:left="180"/>
        <w:rPr>
          <w:sz w:val="18"/>
          <w:szCs w:val="18"/>
        </w:rPr>
      </w:pPr>
      <w:r>
        <w:rPr>
          <w:sz w:val="18"/>
          <w:szCs w:val="18"/>
        </w:rPr>
        <w:t>Demand Side Management-Energy Efficiency (DSM-EE) REQ/WEQ Subcommittee: Ruth Kiselewich (Retail), Roy True and Paul Wattles (WEQ)</w:t>
      </w:r>
    </w:p>
    <w:p>
      <w:pPr>
        <w:pStyle w:val="BodyText"/>
        <w:ind w:left="270"/>
        <w:rPr>
          <w:sz w:val="18"/>
          <w:szCs w:val="18"/>
        </w:rPr>
      </w:pPr>
    </w:p>
    <w:p>
      <w:pPr>
        <w:widowControl w:val="0"/>
        <w:spacing w:before="240"/>
        <w:ind w:left="540" w:hanging="540"/>
        <w:rPr>
          <w:sz w:val="18"/>
          <w:szCs w:val="18"/>
        </w:rPr>
      </w:pPr>
      <w:r>
        <w:rPr>
          <w:sz w:val="18"/>
          <w:szCs w:val="18"/>
        </w:rPr>
        <w:t xml:space="preserve">(**)  </w:t>
      </w:r>
      <w:r>
        <w:rPr>
          <w:sz w:val="18"/>
          <w:szCs w:val="18"/>
        </w:rPr>
        <w:tab/>
        <w:t xml:space="preserve">The Smart Grid Standards Subcommittee is a joint group of the retail electric and wholesale electric quadrants with other standards development groups such as OASIS (Organization for the Advancement of Structured Information Standards, not Open Access Same Time Information Systems related to NAESB standards and FERC actions), </w:t>
      </w:r>
      <w:proofErr w:type="spellStart"/>
      <w:r>
        <w:rPr>
          <w:sz w:val="18"/>
          <w:szCs w:val="18"/>
        </w:rPr>
        <w:t>CalConnect</w:t>
      </w:r>
      <w:proofErr w:type="spellEnd"/>
      <w:r>
        <w:rPr>
          <w:sz w:val="18"/>
          <w:szCs w:val="18"/>
        </w:rPr>
        <w:t xml:space="preserve">, FIX and </w:t>
      </w:r>
      <w:proofErr w:type="spellStart"/>
      <w:r>
        <w:rPr>
          <w:sz w:val="18"/>
          <w:szCs w:val="18"/>
        </w:rPr>
        <w:t>UCAIug</w:t>
      </w:r>
      <w:proofErr w:type="spellEnd"/>
      <w:r>
        <w:rPr>
          <w:sz w:val="18"/>
          <w:szCs w:val="18"/>
        </w:rPr>
        <w:t xml:space="preserve">, among others.  Direction may be given from NIST, DoE or FERC and the group reports jointly to the NAESB Board Smart Grid Strategic Steering Committee and the WEQ and REQ ECs.  </w:t>
      </w:r>
    </w:p>
    <w:p>
      <w:pPr>
        <w:widowControl w:val="0"/>
        <w:spacing w:before="240"/>
        <w:ind w:left="540" w:hanging="540"/>
        <w:rPr>
          <w:sz w:val="18"/>
          <w:szCs w:val="18"/>
        </w:rPr>
      </w:pPr>
      <w:r>
        <w:rPr>
          <w:sz w:val="18"/>
          <w:szCs w:val="18"/>
        </w:rPr>
        <w:t xml:space="preserve">(***)  </w:t>
      </w:r>
      <w:r>
        <w:rPr>
          <w:sz w:val="18"/>
          <w:szCs w:val="18"/>
        </w:rPr>
        <w:tab/>
        <w:t xml:space="preserve">The PAP 10 Smart Grid Standards Subcommittee is a joint group of the retail electric and wholesale electric quadrants with other standards development groups such as OASIS, </w:t>
      </w:r>
      <w:proofErr w:type="spellStart"/>
      <w:r>
        <w:rPr>
          <w:sz w:val="18"/>
          <w:szCs w:val="18"/>
        </w:rPr>
        <w:t>UCAIug</w:t>
      </w:r>
      <w:proofErr w:type="spellEnd"/>
      <w:r>
        <w:rPr>
          <w:sz w:val="18"/>
          <w:szCs w:val="18"/>
        </w:rPr>
        <w:t xml:space="preserve">, </w:t>
      </w:r>
      <w:proofErr w:type="spellStart"/>
      <w:r>
        <w:rPr>
          <w:sz w:val="18"/>
          <w:szCs w:val="18"/>
        </w:rPr>
        <w:t>OpenADE</w:t>
      </w:r>
      <w:proofErr w:type="spellEnd"/>
      <w:r>
        <w:rPr>
          <w:sz w:val="18"/>
          <w:szCs w:val="18"/>
        </w:rPr>
        <w:t xml:space="preserve">, </w:t>
      </w:r>
      <w:proofErr w:type="spellStart"/>
      <w:r>
        <w:rPr>
          <w:sz w:val="18"/>
          <w:szCs w:val="18"/>
        </w:rPr>
        <w:t>ZigBee</w:t>
      </w:r>
      <w:proofErr w:type="spellEnd"/>
      <w:r>
        <w:rPr>
          <w:sz w:val="18"/>
          <w:szCs w:val="18"/>
        </w:rPr>
        <w:t xml:space="preserve">, ASHRAE, EIS Alliance, </w:t>
      </w:r>
      <w:proofErr w:type="gramStart"/>
      <w:r>
        <w:rPr>
          <w:sz w:val="18"/>
          <w:szCs w:val="18"/>
        </w:rPr>
        <w:t>NARUC</w:t>
      </w:r>
      <w:proofErr w:type="gramEnd"/>
      <w:r>
        <w:rPr>
          <w:sz w:val="18"/>
          <w:szCs w:val="18"/>
        </w:rPr>
        <w:t xml:space="preserve"> and includes other groups.  Direction may be given from NIST, DoE or FERC and the group reports jointly to the NAESB Board Smart Grid Strategic Steering Committee and the WEQ and REQECs.   </w:t>
      </w:r>
    </w:p>
    <w:p>
      <w:pPr>
        <w:pStyle w:val="BodyText"/>
        <w:ind w:left="720"/>
        <w:rPr>
          <w:sz w:val="18"/>
          <w:szCs w:val="18"/>
        </w:rPr>
        <w:sectPr>
          <w:headerReference w:type="default" r:id="rId40"/>
          <w:footerReference w:type="default" r:id="rId41"/>
          <w:headerReference w:type="first" r:id="rId42"/>
          <w:footerReference w:type="first" r:id="rId43"/>
          <w:endnotePr>
            <w:numFmt w:val="decimal"/>
          </w:endnotePr>
          <w:pgSz w:w="12240" w:h="15840" w:code="1"/>
          <w:pgMar w:top="720" w:right="1440" w:bottom="576" w:left="1440" w:header="720" w:footer="720" w:gutter="0"/>
          <w:cols w:space="720"/>
        </w:sectPr>
      </w:pPr>
    </w:p>
    <w:p/>
    <w:sectPr>
      <w:headerReference w:type="even" r:id="rId44"/>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id="1">
    <w:p>
      <w:pPr>
        <w:pStyle w:val="EndnoteText"/>
        <w:rPr>
          <w:b/>
          <w:sz w:val="18"/>
          <w:szCs w:val="18"/>
        </w:rPr>
      </w:pPr>
    </w:p>
    <w:p>
      <w:pPr>
        <w:pStyle w:val="EndnoteText"/>
        <w:rPr>
          <w:b/>
          <w:sz w:val="18"/>
          <w:szCs w:val="18"/>
        </w:rPr>
      </w:pPr>
      <w:r>
        <w:rPr>
          <w:b/>
          <w:sz w:val="18"/>
          <w:szCs w:val="18"/>
        </w:rPr>
        <w:t>End Notes WEQ 2013 Annual Plan:</w:t>
      </w:r>
    </w:p>
    <w:p>
      <w:pPr>
        <w:pStyle w:val="EndnoteText"/>
        <w:jc w:val="left"/>
      </w:pPr>
      <w:r>
        <w:rPr>
          <w:rStyle w:val="EndnoteReference"/>
          <w:sz w:val="18"/>
          <w:szCs w:val="18"/>
        </w:rPr>
        <w:endnoteRef/>
      </w:r>
      <w:r>
        <w:rPr>
          <w:sz w:val="18"/>
          <w:szCs w:val="18"/>
        </w:rPr>
        <w:t xml:space="preserve"> Dates in the completion column are by end of the quarter for completion by the assigned committee, sub-committee or task force.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pPr>
        <w:pStyle w:val="EndnoteText"/>
        <w:jc w:val="left"/>
      </w:pPr>
      <w:r>
        <w:rPr>
          <w:rStyle w:val="EndnoteReference"/>
          <w:sz w:val="18"/>
          <w:szCs w:val="18"/>
        </w:rPr>
        <w:endnoteRef/>
      </w:r>
      <w:r>
        <w:rPr>
          <w:sz w:val="18"/>
          <w:szCs w:val="18"/>
        </w:rPr>
        <w:t xml:space="preserve"> The assignments are abbreviated.  The abbreviations and sub-committee structure can be found at the end of the annual plan document.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top w:val="single" w:sz="4" w:space="1" w:color="auto"/>
      </w:pBdr>
      <w:jc w:val="right"/>
      <w:rPr>
        <w:sz w:val="18"/>
        <w:szCs w:val="18"/>
      </w:rPr>
    </w:pPr>
    <w:r>
      <w:rPr>
        <w:sz w:val="18"/>
        <w:szCs w:val="18"/>
      </w:rPr>
      <w:t>2013 WEQ Annual Plan Approved by the Board of Directors on December 6, 2012</w:t>
    </w:r>
  </w:p>
  <w:p>
    <w:pPr>
      <w:pStyle w:val="Foote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10</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top w:val="single" w:sz="4" w:space="1" w:color="auto"/>
      </w:pBdr>
      <w:jc w:val="right"/>
      <w:rPr>
        <w:sz w:val="18"/>
        <w:szCs w:val="18"/>
      </w:rPr>
    </w:pPr>
    <w:r>
      <w:rPr>
        <w:sz w:val="18"/>
        <w:szCs w:val="18"/>
      </w:rPr>
      <w:t>NAESB 2009 WEQ Annual Plan as approved by the Board on June 25, 2009</w:t>
    </w:r>
  </w:p>
  <w:p>
    <w:pPr>
      <w:pStyle w:val="Footer"/>
      <w:pBdr>
        <w:top w:val="single" w:sz="4" w:space="1" w:color="auto"/>
      </w:pBdr>
      <w:jc w:val="right"/>
      <w:rPr>
        <w:sz w:val="18"/>
        <w:szCs w:val="18"/>
      </w:rPr>
    </w:pPr>
    <w:r>
      <w:rPr>
        <w:sz w:val="18"/>
        <w:szCs w:val="18"/>
      </w:rPr>
      <w:t>With Redlined Changes Suggested by WEQ Leadership on July 17, 2009</w:t>
    </w:r>
  </w:p>
  <w:p>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10</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spacing w:before="60"/>
        <w:rPr>
          <w:sz w:val="16"/>
          <w:szCs w:val="16"/>
        </w:rPr>
      </w:pPr>
      <w:r>
        <w:rPr>
          <w:rStyle w:val="FootnoteReference"/>
          <w:rFonts w:ascii="Times New Roman" w:hAnsi="Times New Roman"/>
          <w:sz w:val="16"/>
          <w:szCs w:val="16"/>
        </w:rPr>
        <w:footnoteRef/>
      </w:r>
      <w:r>
        <w:rPr>
          <w:rFonts w:ascii="Times New Roman" w:hAnsi="Times New Roman"/>
          <w:sz w:val="16"/>
          <w:szCs w:val="16"/>
        </w:rPr>
        <w:t xml:space="preserve"> See AP Item 3.iv., Completion dates may be revisited contingent upon NERC-NAESB coordination of implementation related to parallel flow visualization</w:t>
      </w:r>
    </w:p>
  </w:footnote>
  <w:footnote w:id="2">
    <w:p>
      <w:pPr>
        <w:pStyle w:val="FootnoteText"/>
        <w:spacing w:before="60"/>
        <w:jc w:val="left"/>
        <w:rPr>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In some sections of WEQ 008 it appears that the standards are applicable to all of the Interconnections and other it appears that the standards are only applicable to the Eastern Interconnection.  The title indicates the standards are applicable to the Eastern Interconnection.</w:t>
      </w:r>
    </w:p>
  </w:footnote>
  <w:footnote w:id="3">
    <w:p>
      <w:pPr>
        <w:pStyle w:val="FootnoteText"/>
        <w:spacing w:before="60"/>
        <w:jc w:val="left"/>
        <w:rPr>
          <w:sz w:val="16"/>
          <w:szCs w:val="16"/>
        </w:rPr>
      </w:pPr>
      <w:r>
        <w:rPr>
          <w:rStyle w:val="FootnoteReference"/>
          <w:rFonts w:ascii="Times New Roman" w:hAnsi="Times New Roman"/>
          <w:sz w:val="16"/>
          <w:szCs w:val="16"/>
        </w:rPr>
        <w:footnoteRef/>
      </w:r>
      <w:r>
        <w:rPr>
          <w:rFonts w:ascii="Times New Roman" w:hAnsi="Times New Roman"/>
          <w:sz w:val="16"/>
          <w:szCs w:val="16"/>
        </w:rPr>
        <w:t xml:space="preserve"> FERC Order No. 890, issued February 16, 2007 can be accessed from the following link - http://www.naesb.org/doc_view4.asp?doc=ferc021607.doc</w:t>
      </w:r>
    </w:p>
  </w:footnote>
  <w:footnote w:id="4">
    <w:p>
      <w:pPr>
        <w:pStyle w:val="FootnoteText"/>
        <w:spacing w:before="60"/>
        <w:jc w:val="left"/>
        <w:rPr>
          <w:sz w:val="16"/>
          <w:szCs w:val="16"/>
        </w:rPr>
      </w:pPr>
      <w:r>
        <w:rPr>
          <w:rStyle w:val="FootnoteReference"/>
          <w:rFonts w:ascii="Times New Roman" w:hAnsi="Times New Roman"/>
          <w:sz w:val="16"/>
          <w:szCs w:val="16"/>
        </w:rPr>
        <w:footnoteRef/>
      </w:r>
      <w:r>
        <w:rPr>
          <w:rFonts w:ascii="Times New Roman" w:hAnsi="Times New Roman"/>
          <w:sz w:val="16"/>
          <w:szCs w:val="16"/>
        </w:rPr>
        <w:t xml:space="preserve"> Paragraph 1627 of FERC Order No. 890, issued February 16, 2007: We agree with suggestions for the posting of additional curtailment information on OASIS and, therefore, require transmission providers, working through NAESB, to develop a detailed template for the posting of additional information on OASIS regarding firm transmission curtailments.  Transmission providers need not implement this new OASIS functionality and any related business practices until NAESB develops appropriate standards.  These postings must include all circumstances and events contributing to the need for a firm service curtailment, specific services and customers curtailed (including the transmission provider’s own retail loads), and the duration of the curtailment.  This information is in addition to the Commission’s existing requirements: (1) when any transmission is curtailed or interrupted, the transmission provider must post notice of the curtailment or interruption on OASIS, and the transmission provider must state on OASIS the reason why the transaction could not be continued or completed; (2) information to support any such curtailment or interruption, including the operating status of facilities involved in the constraint or interruption, must be maintained for three years and made available upon request to the curtailed or interrupted customer, the Commission’s Staff, and any other person who requests it; and, (3) any offer to adjust the operation of the transmission provider’s system to restore a curtailed or interrupted transaction must be posted and made available to all curtailed and interrupted transmission customers at the same time.</w:t>
      </w:r>
    </w:p>
  </w:footnote>
  <w:footnote w:id="5">
    <w:p>
      <w:pPr>
        <w:pStyle w:val="FootnoteText"/>
        <w:spacing w:before="60"/>
        <w:rPr>
          <w:sz w:val="16"/>
          <w:szCs w:val="16"/>
        </w:rPr>
      </w:pPr>
      <w:r>
        <w:rPr>
          <w:rStyle w:val="FootnoteReference"/>
          <w:rFonts w:ascii="Times New Roman" w:hAnsi="Times New Roman"/>
          <w:sz w:val="16"/>
          <w:szCs w:val="16"/>
        </w:rPr>
        <w:footnoteRef/>
      </w:r>
      <w:r>
        <w:rPr>
          <w:rFonts w:ascii="Times New Roman" w:hAnsi="Times New Roman"/>
          <w:sz w:val="16"/>
          <w:szCs w:val="16"/>
        </w:rPr>
        <w:t xml:space="preserve"> See AP Item 1.a.iv, Completion dates may be revisited contingent upon NERC-NAESB coordination of implementation related to parallel flow visualization.</w:t>
      </w:r>
    </w:p>
  </w:footnote>
  <w:footnote w:id="6">
    <w:p>
      <w:pPr>
        <w:pStyle w:val="FootnoteText"/>
        <w:spacing w:before="6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The FERC Report may be found at: http://www.ferc.gov/EventCalendar/Files/20120827175825-EL12-86-000.pdf</w:t>
      </w:r>
    </w:p>
  </w:footnote>
  <w:footnote w:id="7">
    <w:p>
      <w:pPr>
        <w:spacing w:before="60"/>
        <w:rPr>
          <w:sz w:val="16"/>
          <w:szCs w:val="16"/>
        </w:rPr>
      </w:pPr>
      <w:r>
        <w:rPr>
          <w:rStyle w:val="FootnoteReference"/>
          <w:sz w:val="16"/>
          <w:szCs w:val="16"/>
        </w:rPr>
        <w:footnoteRef/>
      </w:r>
      <w:r>
        <w:rPr>
          <w:sz w:val="16"/>
          <w:szCs w:val="16"/>
        </w:rPr>
        <w:t xml:space="preserve"> The “</w:t>
      </w:r>
      <w:hyperlink r:id="rId1" w:tgtFrame="new" w:history="1">
        <w:r>
          <w:rPr>
            <w:rStyle w:val="Hyperlink"/>
            <w:color w:val="000000"/>
            <w:sz w:val="16"/>
            <w:szCs w:val="16"/>
          </w:rPr>
          <w:t>NAESB Accreditation Requirements for Authorized Certification Authorities</w:t>
        </w:r>
      </w:hyperlink>
      <w:r>
        <w:rPr>
          <w:color w:val="000000"/>
          <w:sz w:val="16"/>
          <w:szCs w:val="16"/>
        </w:rPr>
        <w:t xml:space="preserve">” can be found at: </w:t>
      </w:r>
      <w:hyperlink r:id="rId2" w:history="1">
        <w:r>
          <w:rPr>
            <w:rStyle w:val="Hyperlink"/>
            <w:sz w:val="16"/>
            <w:szCs w:val="16"/>
          </w:rPr>
          <w:t>http://www.naesb.org/pdf4/certification_specifications.docx</w:t>
        </w:r>
      </w:hyperlink>
    </w:p>
  </w:footnote>
  <w:footnote w:id="8">
    <w:p>
      <w:pPr>
        <w:pStyle w:val="FootnoteText"/>
        <w:spacing w:before="60"/>
        <w:jc w:val="left"/>
        <w:rPr>
          <w:sz w:val="16"/>
          <w:szCs w:val="16"/>
        </w:rPr>
      </w:pPr>
      <w:r>
        <w:rPr>
          <w:rStyle w:val="FootnoteReference"/>
          <w:rFonts w:ascii="Times New Roman" w:hAnsi="Times New Roman"/>
          <w:sz w:val="16"/>
          <w:szCs w:val="16"/>
        </w:rPr>
        <w:footnoteRef/>
      </w:r>
      <w:r>
        <w:rPr>
          <w:rFonts w:ascii="Times New Roman" w:hAnsi="Times New Roman"/>
          <w:sz w:val="16"/>
          <w:szCs w:val="16"/>
        </w:rPr>
        <w:t xml:space="preserve"> 72.</w:t>
      </w:r>
      <w:r>
        <w:rPr>
          <w:rFonts w:ascii="Times New Roman" w:hAnsi="Times New Roman"/>
          <w:sz w:val="16"/>
          <w:szCs w:val="16"/>
        </w:rPr>
        <w:tab/>
        <w:t>However, we reiterate here the Commission’s finding in Order No. 890 that a transmission provider is permitted to extend its right to reassess the availability of conditional firm service.   Since the Version 002.1 Standards do not specifically address this issue, we would ask the industry, working through NAESB, to continue to look at additional business practice standards facilitating a transmission provider’s extension of its right to perform a reassessment</w:t>
      </w:r>
    </w:p>
  </w:footnote>
  <w:footnote w:id="9">
    <w:p>
      <w:pPr>
        <w:pStyle w:val="FootnoteText"/>
        <w:spacing w:before="6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The “Report on Outages and Curtailments During the Southwest Cold Weather Event of February 1-5, 2011” can be found at http://www.ferc.gov/legal/staff-reports/08-16-11-report.pdf</w:t>
      </w:r>
    </w:p>
  </w:footnote>
  <w:footnote w:id="10">
    <w:p>
      <w:pPr>
        <w:pStyle w:val="FootnoteText"/>
        <w:spacing w:before="6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Review and develop standards as needed and requested based on the National Petroleum Council (NPC) findings as communicated by the NAESB Board of Directors, government agencies or reliability organizations, as applicable. (9-15-11 NPC Report: http://www.npc.org/NARD-ExecSummVol.pdf)</w:t>
      </w:r>
    </w:p>
  </w:footnote>
  <w:footnote w:id="11">
    <w:p>
      <w:pPr>
        <w:pStyle w:val="FootnoteText"/>
        <w:spacing w:before="6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Id.</w:t>
      </w:r>
    </w:p>
  </w:footnote>
  <w:footnote w:id="12">
    <w:p>
      <w:pPr>
        <w:pStyle w:val="FootnoteText"/>
        <w:spacing w:before="6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Id.</w:t>
      </w:r>
    </w:p>
  </w:footnote>
  <w:footnote w:id="13">
    <w:p>
      <w:pPr>
        <w:spacing w:before="60"/>
        <w:rPr>
          <w:sz w:val="16"/>
          <w:szCs w:val="16"/>
        </w:rPr>
      </w:pPr>
      <w:r>
        <w:rPr>
          <w:rStyle w:val="FootnoteReference"/>
          <w:sz w:val="16"/>
          <w:szCs w:val="16"/>
        </w:rPr>
        <w:footnoteRef/>
      </w:r>
      <w:r>
        <w:rPr>
          <w:sz w:val="16"/>
          <w:szCs w:val="16"/>
        </w:rPr>
        <w:t xml:space="preserve"> Phase 2 of the Parallel Flow Visualization looks at developing options for and reporting of the most cost effective alternatives to achieve curtail obligations assigned during Phase 1.”</w:t>
      </w:r>
    </w:p>
  </w:footnote>
  <w:footnote w:id="14">
    <w:p>
      <w:pPr>
        <w:pStyle w:val="EndnoteText"/>
        <w:spacing w:before="60"/>
        <w:jc w:val="left"/>
        <w:rPr>
          <w:sz w:val="16"/>
          <w:szCs w:val="16"/>
        </w:rPr>
      </w:pPr>
      <w:r>
        <w:rPr>
          <w:rStyle w:val="FootnoteReference"/>
          <w:sz w:val="16"/>
          <w:szCs w:val="16"/>
        </w:rPr>
        <w:footnoteRef/>
      </w:r>
      <w:r>
        <w:rPr>
          <w:sz w:val="16"/>
          <w:szCs w:val="16"/>
        </w:rPr>
        <w:t xml:space="preserve"> For additional information, please see comments submitted by PJM and Midwest ISO for this Annual Plan Item:  </w:t>
      </w:r>
      <w:hyperlink r:id="rId3" w:history="1">
        <w:r>
          <w:rPr>
            <w:rStyle w:val="Hyperlink"/>
            <w:sz w:val="16"/>
            <w:szCs w:val="16"/>
          </w:rPr>
          <w:t>http://www.naesb.org/pdf3/weq_aplan102907w1.pdf</w:t>
        </w:r>
      </w:hyperlink>
      <w:r>
        <w:rPr>
          <w:sz w:val="16"/>
          <w:szCs w:val="16"/>
        </w:rPr>
        <w:t>.</w:t>
      </w:r>
    </w:p>
  </w:footnote>
  <w:footnote w:id="15">
    <w:p>
      <w:pPr>
        <w:pStyle w:val="FootnoteText"/>
        <w:spacing w:before="60"/>
        <w:jc w:val="lef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805. The Commission recognizes that developing methods to allocate capacity among requests received during a submittal window may require detailed procedures, particularly when transmission requests received simultaneously exceed available capacity. As the Commission explained in Order No. 890, however, we believe that each transmission provider is in the best position to develop allocation procedures that are suitable for its system. This does not preclude transmission providers from working through NAESB to develop standardized practices, as suggested by Southern. For example, as we pointed out in Order No. 890, allocation methods such as that used by PJM to allocate monthly firm point-to-point transmission service could provide useful guidance in developing general allocation procedures.</w:t>
      </w:r>
    </w:p>
  </w:footnote>
  <w:footnote w:id="16">
    <w:p>
      <w:pPr>
        <w:pStyle w:val="FootnoteText"/>
        <w:keepNext/>
        <w:spacing w:before="6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For FERC Final Order No. 764, Docket No. RM10-11-000, specifically paragraph nos. 146 and 182 should be reviewed:</w:t>
      </w:r>
    </w:p>
    <w:p>
      <w:pPr>
        <w:spacing w:before="60"/>
        <w:ind w:left="360"/>
        <w:rPr>
          <w:sz w:val="16"/>
          <w:szCs w:val="16"/>
        </w:rPr>
      </w:pPr>
      <w:r>
        <w:rPr>
          <w:sz w:val="16"/>
          <w:szCs w:val="16"/>
        </w:rPr>
        <w:t xml:space="preserve">146. The Commission concludes that an independent review of NERC standards and NAESB business practices is not necessary prior to the implementation of intra-hour scheduling. As noted by NERC, several entities currently offer intra-hour scheduling without any apparent conflict with Reliability Standards. NERC comments that it does not believe there are any existing standards that prohibit industry from implementing intra-hour scheduling, and no commenters have pointed to specific NAESB business practices that prevent industry from implementing intra-hour scheduling. The Commission therefore concludes that it is not necessary to delay adoption of the intra-hour scheduling requirements of this Final Rule pending further review of NERC Reliability Standards and NAESB business practices. </w:t>
      </w:r>
      <w:r>
        <w:rPr>
          <w:sz w:val="16"/>
          <w:szCs w:val="16"/>
          <w:highlight w:val="yellow"/>
        </w:rPr>
        <w:t>To the extent industry believes it is beneficial to refine one or more existing NERC Reliability Standards or NAESB business practices to reflect intra-hour scheduling, stakeholders can use existing processes to pursue such refinements.</w:t>
      </w:r>
    </w:p>
    <w:p>
      <w:pPr>
        <w:spacing w:before="60"/>
        <w:ind w:left="360"/>
        <w:rPr>
          <w:sz w:val="16"/>
          <w:szCs w:val="16"/>
        </w:rPr>
      </w:pPr>
      <w:r>
        <w:rPr>
          <w:sz w:val="16"/>
          <w:szCs w:val="16"/>
        </w:rPr>
        <w:t xml:space="preserve">182.  Some commenters request that the Commission standardize protocols for reporting meteorological or forced outage data required by this Final Rule. The Proposed Rule did not contain standard protocols for data reporting and, as a result, the merits of such a requirement have not been fully addressed in the record.  </w:t>
      </w:r>
      <w:r>
        <w:rPr>
          <w:sz w:val="16"/>
          <w:szCs w:val="16"/>
          <w:highlight w:val="yellow"/>
        </w:rPr>
        <w:t>Whether standardization of data communications would facilitate or hinder development of power production forecasting may implicate a variety of data and communications issues that would benefit from broad industry input through standards development processes such as those used by NAESB and other organizations.</w:t>
      </w:r>
      <w:r>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1080"/>
      </w:tabs>
      <w:spacing w:before="720"/>
      <w:jc w:val="right"/>
      <w:rPr>
        <w:b/>
        <w:spacing w:val="20"/>
        <w:sz w:val="32"/>
      </w:rPr>
    </w:pPr>
    <w:r>
      <w:rPr>
        <w:noProof/>
      </w:rPr>
      <w:drawing>
        <wp:anchor distT="0" distB="0" distL="114300" distR="114300" simplePos="0" relativeHeight="251657216" behindDoc="1" locked="0" layoutInCell="1" allowOverlap="1">
          <wp:simplePos x="0" y="0"/>
          <wp:positionH relativeFrom="column">
            <wp:posOffset>41910</wp:posOffset>
          </wp:positionH>
          <wp:positionV relativeFrom="paragraph">
            <wp:posOffset>-35560</wp:posOffset>
          </wp:positionV>
          <wp:extent cx="1118870" cy="1181100"/>
          <wp:effectExtent l="0" t="0" r="5080" b="0"/>
          <wp:wrapNone/>
          <wp:docPr id="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56192" behindDoc="1" locked="0" layoutInCell="1" allowOverlap="1">
              <wp:simplePos x="0" y="0"/>
              <wp:positionH relativeFrom="column">
                <wp:posOffset>1684020</wp:posOffset>
              </wp:positionH>
              <wp:positionV relativeFrom="paragraph">
                <wp:posOffset>12700</wp:posOffset>
              </wp:positionV>
              <wp:extent cx="57785" cy="146050"/>
              <wp:effectExtent l="0" t="0" r="18415" b="6350"/>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8" o:spid="_x0000_s1054" style="position:absolute;left:0;text-align:left;margin-left:132.6pt;margin-top:1pt;width:4.55pt;height:11.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0GqAIAAJ0FAAAOAAAAZHJzL2Uyb0RvYy54bWysVF1vmzAUfZ+0/2D5nfIxkgAqqdoQpknd&#10;Vq3bD3DABGvGRrYb0k3777s2IR/ty7SNB3Sxr4/Pufdwr2/2HUc7qjSTIsfhVYARFZWsmdjm+NvX&#10;0ksw0oaImnApaI6fqcY3y7dvroc+o5FsJa+pQgAidDb0OW6N6TPf11VLO6KvZE8FbDZSdcTAp9r6&#10;tSIDoHfcj4Jg7g9S1b2SFdUaVotxEy8dftPQynxuGk0N4jkGbsa9lXtv7NtfXpNsq0jfsupAg/wF&#10;i44wAZceoQpiCHpS7BVUxyoltWzMVSU7XzYNq6jTAGrC4IWax5b01GmB4uj+WCb9/2CrT7sHhVid&#10;4wgjQTpo0RcoGhFbTlGU2PoMvc4g7bF/UFah7u9l9V0jIVctpNFbpeTQUlIDq9Dm+xcH7IeGo2gz&#10;fJQ1wJMnI12p9o3qLCAUAe1dR56PHaF7gypYnC0WyQyjCnbCeB7MXMN8kk1ne6XNeyo7ZIMcK6Du&#10;sMnuXhvLhWRTir1KyJJx7nrOxcUCJI4rcDMctXuWg2vhzzRI18k6ib04mq+9OCgK77Zcxd68DBez&#10;4l2xWhXhL3tvGGctq2sq7DWTncL4z9p1MPZohKOhtOSstnCWklbbzYortCNg59I9ruKwc0rzL2m4&#10;IoCWF5LCKA7uotQr58nCi8t45qWLIPGCML1L50GcxkV5KemeCfrvktCQ43QWzVyXzki/0Ba457U2&#10;knXMwMDgrMtxckwimTXgWtSutYYwPsZnpbD0T6WAdk+Ndna1Dh2dbvabPaBY225k/QzGVRKcBbMD&#10;phwErVQ/MBpgYuRYwEjDiH8QYH07XKZATcFmCoio4GCODUZjuDLjEHrqFdu2gBuOFelv4fcomfPu&#10;icPhp4IZ4CQc5pUdMuffLus0VZe/AQAA//8DAFBLAwQUAAYACAAAACEAK1BdUNwAAAAIAQAADwAA&#10;AGRycy9kb3ducmV2LnhtbEyPzU7DMBCE70i8g7VI3KhdQ0sV4lQIqRIgLk37AG68+VH9E9luE96e&#10;5QS3Wc1o9ptyOzvLrhjTELyC5UIAQ98EM/hOwfGwe9gAS1l7o23wqOAbE2yr25tSFyZMfo/XOneM&#10;SnwqtII+57HgPDU9Op0WYURPXhui05nO2HET9UTlznIpxJo7PXj60OsR33pszvXFKeCHejdtahtF&#10;+JTtl/1437cYlLq/m19fgGWc818YfvEJHSpiOoWLN4lZBXK9khQlQZPIl89Pj8BOJFYCeFXy/wOq&#10;HwAAAP//AwBQSwECLQAUAAYACAAAACEAtoM4kv4AAADhAQAAEwAAAAAAAAAAAAAAAAAAAAAAW0Nv&#10;bnRlbnRfVHlwZXNdLnhtbFBLAQItABQABgAIAAAAIQA4/SH/1gAAAJQBAAALAAAAAAAAAAAAAAAA&#10;AC8BAABfcmVscy8ucmVsc1BLAQItABQABgAIAAAAIQDfAr0GqAIAAJ0FAAAOAAAAAAAAAAAAAAAA&#10;AC4CAABkcnMvZTJvRG9jLnhtbFBLAQItABQABgAIAAAAIQArUF1Q3AAAAAgBAAAPAAAAAAAAAAAA&#10;AAAAAAIFAABkcnMvZG93bnJldi54bWxQSwUGAAAAAAQABADzAAAACwYAAAAA&#10;" filled="f" stroked="f">
              <v:textbox style="mso-fit-shape-to-text:t" inset="0,0,0,0">
                <w:txbxContent>
                  <w:p w:rsidR="004F7982" w:rsidRDefault="004F7982"/>
                </w:txbxContent>
              </v:textbox>
            </v:rect>
          </w:pict>
        </mc:Fallback>
      </mc:AlternateContent>
    </w:r>
    <w:r>
      <w:rPr>
        <w:b/>
        <w:spacing w:val="20"/>
        <w:sz w:val="32"/>
      </w:rPr>
      <w:t>North American Energy Standards Board</w:t>
    </w:r>
  </w:p>
  <w:p>
    <w:pPr>
      <w:pStyle w:val="Header"/>
      <w:tabs>
        <w:tab w:val="left" w:pos="680"/>
        <w:tab w:val="right" w:pos="9810"/>
      </w:tabs>
      <w:spacing w:before="60"/>
      <w:ind w:left="1800"/>
      <w:jc w:val="right"/>
    </w:pPr>
    <w:r>
      <w:t>801 Travis, Suite 1675, Houston, Texas 77002</w:t>
    </w:r>
  </w:p>
  <w:p>
    <w:pPr>
      <w:pStyle w:val="Header"/>
      <w:ind w:left="1800"/>
      <w:jc w:val="right"/>
      <w:rPr>
        <w:lang w:val="fr-FR"/>
      </w:rPr>
    </w:pPr>
    <w:r>
      <w:rPr>
        <w:lang w:val="fr-FR"/>
      </w:rPr>
      <w:t>Phone: (713) 356-0060, Fax</w:t>
    </w:r>
    <w:proofErr w:type="gramStart"/>
    <w:r>
      <w:rPr>
        <w:lang w:val="fr-FR"/>
      </w:rPr>
      <w:t>:  (</w:t>
    </w:r>
    <w:proofErr w:type="gramEnd"/>
    <w:r>
      <w:rPr>
        <w:lang w:val="fr-FR"/>
      </w:rPr>
      <w:t>713) 356-0067, E-mail: naesb@naesb.org</w:t>
    </w:r>
  </w:p>
  <w:p>
    <w:pPr>
      <w:pStyle w:val="Header"/>
      <w:pBdr>
        <w:bottom w:val="single" w:sz="18" w:space="1" w:color="auto"/>
      </w:pBdr>
      <w:tabs>
        <w:tab w:val="left" w:pos="2955"/>
        <w:tab w:val="right" w:pos="9360"/>
      </w:tabs>
      <w:spacing w:after="240"/>
      <w:ind w:left="1800" w:hanging="1800"/>
      <w:jc w:val="right"/>
      <w:rPr>
        <w:rFonts w:ascii="Bookman Old Style" w:hAnsi="Bookman Old Style" w:cs="Tahoma"/>
      </w:rPr>
    </w:pPr>
    <w:r>
      <w:rPr>
        <w:lang w:val="fr-FR"/>
      </w:rPr>
      <w:tab/>
    </w:r>
    <w:r>
      <w:rPr>
        <w:lang w:val="fr-FR"/>
      </w:rPr>
      <w:tab/>
    </w:r>
    <w:r>
      <w:t xml:space="preserve">Home Page: </w:t>
    </w:r>
    <w:hyperlink r:id="rId2" w:history="1">
      <w:r>
        <w:rPr>
          <w:rStyle w:val="Hyperlink"/>
        </w:rPr>
        <w:t>www.naesb.org</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1080"/>
      </w:tabs>
      <w:rPr>
        <w:rFonts w:ascii="Bookman Old Style" w:hAnsi="Bookman Old Style"/>
        <w:b/>
        <w:noProof/>
      </w:rPr>
    </w:pPr>
    <w:r>
      <w:rPr>
        <w:noProof/>
      </w:rPr>
      <w:drawing>
        <wp:anchor distT="0" distB="0" distL="114300" distR="114300" simplePos="0" relativeHeight="251659264" behindDoc="1" locked="0" layoutInCell="1" allowOverlap="1">
          <wp:simplePos x="0" y="0"/>
          <wp:positionH relativeFrom="column">
            <wp:posOffset>41910</wp:posOffset>
          </wp:positionH>
          <wp:positionV relativeFrom="paragraph">
            <wp:posOffset>-35560</wp:posOffset>
          </wp:positionV>
          <wp:extent cx="1118870" cy="1181100"/>
          <wp:effectExtent l="0" t="0" r="5080" b="0"/>
          <wp:wrapNone/>
          <wp:docPr id="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58240" behindDoc="1" locked="0" layoutInCell="1" allowOverlap="1">
              <wp:simplePos x="0" y="0"/>
              <wp:positionH relativeFrom="column">
                <wp:posOffset>1684020</wp:posOffset>
              </wp:positionH>
              <wp:positionV relativeFrom="paragraph">
                <wp:posOffset>12700</wp:posOffset>
              </wp:positionV>
              <wp:extent cx="57785" cy="146050"/>
              <wp:effectExtent l="0" t="0" r="18415" b="6350"/>
              <wp:wrapNone/>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1" o:spid="_x0000_s1055" style="position:absolute;margin-left:132.6pt;margin-top:1pt;width:4.55pt;height:1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Ld3qwIAAKQFAAAOAAAAZHJzL2Uyb0RvYy54bWysVF1vmzAUfZ+0/2D5nQIZJIBKqjaEaVK3&#10;Vev2AxwwwZqxke2GdNP++65NyEf7Mm3zg3VtXx+fe+/xvb7ZdxztqNJMihyHVwFGVFSyZmKb429f&#10;Sy/BSBsiasKloDl+phrfLN++uR76jM5kK3lNFQIQobOhz3FrTJ/5vq5a2hF9JXsq4LCRqiMGlmrr&#10;14oMgN5xfxYEc3+Qqu6VrKjWsFuMh3jp8JuGVuZz02hqEM8xcDNuVm7e2NlfXpNsq0jfsupAg/wF&#10;i44wAY8eoQpiCHpS7BVUxyoltWzMVSU7XzYNq6iLAaIJgxfRPLakpy4WSI7uj2nS/w+2+rR7UIjV&#10;UDuMBOmgRF8gaURsOUVRaPMz9DoDt8f+QdkIdX8vq+8aCblqwY3eKiWHlpIaWDl//+KCXWi4ijbD&#10;R1kDPHky0qVq36jOAkIS0N5V5PlYEbo3qILNeLFIYowqOAmjeRC7gvkkm+72Spv3VHbIGjlWQN1h&#10;k929NsAdXCcX+5SQJePc1ZyLiw1wHHfgZbhqzywHV8KfaZCuk3USedFsvvaioCi823IVefMyXMTF&#10;u2K1KsJf9t0wylpW11TYZyY5hdGflesg7FEIR0FpyVlt4SwlrbabFVdoR0DOpRu2QkD+zM2/pOGO&#10;IZYXIYWzKLibpV45TxZeVEaxly6CxAvC9C6dB1EaFeVlSPdM0H8PCQ05TuNZ7Kp0RvpFbIEbr2Mj&#10;WccMNAzOuhwnRyeSWQGuRe1Kawjjo32WCkv/lArI2FRoJ1er0FHpZr/ZH/4DgFn1bmT9DPpVEgQG&#10;LQSaHRitVD8wGqBx5FhAZ8OIfxDwA2yPmQw1GZvJIKKCizk2GI3myoy96KlXbNsCbjgmpr+FX1Iy&#10;J+ETB+BvF9AKXCSHtmV7zfnaeZ2a6/I3AAAA//8DAFBLAwQUAAYACAAAACEAK1BdUNwAAAAIAQAA&#10;DwAAAGRycy9kb3ducmV2LnhtbEyPzU7DMBCE70i8g7VI3KhdQ0sV4lQIqRIgLk37AG68+VH9E9lu&#10;E96e5QS3Wc1o9ptyOzvLrhjTELyC5UIAQ98EM/hOwfGwe9gAS1l7o23wqOAbE2yr25tSFyZMfo/X&#10;OneMSnwqtII+57HgPDU9Op0WYURPXhui05nO2HET9UTlznIpxJo7PXj60OsR33pszvXFKeCHejdt&#10;ahtF+JTtl/1437cYlLq/m19fgGWc818YfvEJHSpiOoWLN4lZBXK9khQlQZPIl89Pj8BOJFYCeFXy&#10;/wOqHwAAAP//AwBQSwECLQAUAAYACAAAACEAtoM4kv4AAADhAQAAEwAAAAAAAAAAAAAAAAAAAAAA&#10;W0NvbnRlbnRfVHlwZXNdLnhtbFBLAQItABQABgAIAAAAIQA4/SH/1gAAAJQBAAALAAAAAAAAAAAA&#10;AAAAAC8BAABfcmVscy8ucmVsc1BLAQItABQABgAIAAAAIQDLzLd3qwIAAKQFAAAOAAAAAAAAAAAA&#10;AAAAAC4CAABkcnMvZTJvRG9jLnhtbFBLAQItABQABgAIAAAAIQArUF1Q3AAAAAgBAAAPAAAAAAAA&#10;AAAAAAAAAAUFAABkcnMvZG93bnJldi54bWxQSwUGAAAAAAQABADzAAAADgYAAAAA&#10;" filled="f" stroked="f">
              <v:textbox style="mso-fit-shape-to-text:t" inset="0,0,0,0">
                <w:txbxContent>
                  <w:p w:rsidR="004F7982" w:rsidRDefault="004F7982" w:rsidP="00307EB9"/>
                </w:txbxContent>
              </v:textbox>
            </v:rect>
          </w:pict>
        </mc:Fallback>
      </mc:AlternateContent>
    </w:r>
  </w:p>
  <w:p>
    <w:pPr>
      <w:pStyle w:val="Header"/>
      <w:tabs>
        <w:tab w:val="left" w:pos="1080"/>
      </w:tabs>
      <w:ind w:left="2160"/>
      <w:rPr>
        <w:rFonts w:ascii="Bookman Old Style" w:hAnsi="Bookman Old Style"/>
        <w:b/>
        <w:sz w:val="28"/>
      </w:rPr>
    </w:pPr>
  </w:p>
  <w:p>
    <w:pPr>
      <w:pStyle w:val="Header"/>
      <w:tabs>
        <w:tab w:val="clear" w:pos="8640"/>
        <w:tab w:val="left" w:pos="-630"/>
        <w:tab w:val="right" w:pos="9810"/>
      </w:tabs>
      <w:ind w:left="1800"/>
      <w:jc w:val="right"/>
      <w:rPr>
        <w:b/>
        <w:spacing w:val="20"/>
        <w:sz w:val="32"/>
      </w:rPr>
    </w:pPr>
    <w:r>
      <w:rPr>
        <w:b/>
        <w:spacing w:val="20"/>
        <w:sz w:val="32"/>
      </w:rPr>
      <w:t>North American Energy Standards Board</w:t>
    </w:r>
  </w:p>
  <w:p>
    <w:pPr>
      <w:pStyle w:val="Header"/>
      <w:tabs>
        <w:tab w:val="left" w:pos="680"/>
        <w:tab w:val="right" w:pos="9810"/>
      </w:tabs>
      <w:spacing w:before="60"/>
      <w:ind w:left="1800"/>
      <w:jc w:val="right"/>
    </w:pPr>
    <w:r>
      <w:t xml:space="preserve">1301 </w:t>
    </w:r>
    <w:proofErr w:type="spellStart"/>
    <w:r>
      <w:t>Fannin</w:t>
    </w:r>
    <w:proofErr w:type="spellEnd"/>
    <w:r>
      <w:t>, Suite 2350, Houston, Texas 77002</w:t>
    </w:r>
  </w:p>
  <w:p>
    <w:pPr>
      <w:pStyle w:val="Header"/>
      <w:ind w:left="1800"/>
      <w:jc w:val="right"/>
      <w:rPr>
        <w:lang w:val="fr-FR"/>
      </w:rPr>
    </w:pPr>
    <w:r>
      <w:rPr>
        <w:lang w:val="fr-FR"/>
      </w:rPr>
      <w:t>Phone</w:t>
    </w:r>
    <w:proofErr w:type="gramStart"/>
    <w:r>
      <w:rPr>
        <w:lang w:val="fr-FR"/>
      </w:rPr>
      <w:t>:  (</w:t>
    </w:r>
    <w:proofErr w:type="gramEnd"/>
    <w:r>
      <w:rPr>
        <w:lang w:val="fr-FR"/>
      </w:rPr>
      <w:t>713) 356-0060, Fax:  (713) 356-0067, E-mail: naesb@naesb.org</w:t>
    </w:r>
  </w:p>
  <w:p>
    <w:pPr>
      <w:pStyle w:val="Header"/>
      <w:pBdr>
        <w:bottom w:val="single" w:sz="18" w:space="1" w:color="auto"/>
      </w:pBdr>
      <w:tabs>
        <w:tab w:val="left" w:pos="2955"/>
        <w:tab w:val="right" w:pos="9360"/>
      </w:tabs>
      <w:ind w:left="1800" w:hanging="1800"/>
      <w:jc w:val="right"/>
    </w:pPr>
    <w:r>
      <w:rPr>
        <w:lang w:val="fr-FR"/>
      </w:rPr>
      <w:tab/>
    </w:r>
    <w:r>
      <w:rPr>
        <w:lang w:val="fr-FR"/>
      </w:rPr>
      <w:tab/>
    </w:r>
    <w:r>
      <w:t xml:space="preserve">Home Page: </w:t>
    </w:r>
    <w:hyperlink r:id="rId2" w:history="1">
      <w:r>
        <w:rPr>
          <w:rStyle w:val="Hyperlink"/>
        </w:rPr>
        <w:t>www.naesb.org</w:t>
      </w:r>
    </w:hyperlink>
  </w:p>
  <w:p>
    <w:pPr>
      <w:pStyle w:val="Header"/>
      <w:pBdr>
        <w:bottom w:val="single" w:sz="18" w:space="1" w:color="auto"/>
      </w:pBdr>
      <w:spacing w:after="120"/>
      <w:ind w:left="1800" w:hanging="1800"/>
      <w:rPr>
        <w:rFonts w:ascii="Bookman Old Style" w:hAnsi="Bookman Old Style" w:cs="Tahoma"/>
        <w:sz w:val="12"/>
        <w:szCs w:val="12"/>
      </w:rPr>
    </w:pPr>
  </w:p>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nsid w:val="1765399B"/>
    <w:multiLevelType w:val="hybridMultilevel"/>
    <w:tmpl w:val="1BB0B05C"/>
    <w:lvl w:ilvl="0" w:tplc="57E090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7">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9">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1">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3">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5">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6">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7">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8">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9">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0">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1">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3">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5">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6">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27">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29">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1">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21"/>
  </w:num>
  <w:num w:numId="3">
    <w:abstractNumId w:val="29"/>
  </w:num>
  <w:num w:numId="4">
    <w:abstractNumId w:val="27"/>
  </w:num>
  <w:num w:numId="5">
    <w:abstractNumId w:val="30"/>
  </w:num>
  <w:num w:numId="6">
    <w:abstractNumId w:val="20"/>
  </w:num>
  <w:num w:numId="7">
    <w:abstractNumId w:val="22"/>
  </w:num>
  <w:num w:numId="8">
    <w:abstractNumId w:val="19"/>
  </w:num>
  <w:num w:numId="9">
    <w:abstractNumId w:val="6"/>
  </w:num>
  <w:num w:numId="10">
    <w:abstractNumId w:val="25"/>
  </w:num>
  <w:num w:numId="11">
    <w:abstractNumId w:val="15"/>
  </w:num>
  <w:num w:numId="12">
    <w:abstractNumId w:val="3"/>
  </w:num>
  <w:num w:numId="13">
    <w:abstractNumId w:val="28"/>
  </w:num>
  <w:num w:numId="14">
    <w:abstractNumId w:val="17"/>
  </w:num>
  <w:num w:numId="15">
    <w:abstractNumId w:val="12"/>
  </w:num>
  <w:num w:numId="16">
    <w:abstractNumId w:val="9"/>
  </w:num>
  <w:num w:numId="17">
    <w:abstractNumId w:val="18"/>
  </w:num>
  <w:num w:numId="18">
    <w:abstractNumId w:val="16"/>
  </w:num>
  <w:num w:numId="19">
    <w:abstractNumId w:val="1"/>
  </w:num>
  <w:num w:numId="20">
    <w:abstractNumId w:val="23"/>
  </w:num>
  <w:num w:numId="21">
    <w:abstractNumId w:val="24"/>
  </w:num>
  <w:num w:numId="22">
    <w:abstractNumId w:val="5"/>
  </w:num>
  <w:num w:numId="23">
    <w:abstractNumId w:val="11"/>
  </w:num>
  <w:num w:numId="24">
    <w:abstractNumId w:val="14"/>
  </w:num>
  <w:num w:numId="25">
    <w:abstractNumId w:val="13"/>
  </w:num>
  <w:num w:numId="26">
    <w:abstractNumId w:val="8"/>
  </w:num>
  <w:num w:numId="27">
    <w:abstractNumId w:val="31"/>
  </w:num>
  <w:num w:numId="28">
    <w:abstractNumId w:val="2"/>
  </w:num>
  <w:num w:numId="29">
    <w:abstractNumId w:val="7"/>
  </w:num>
  <w:num w:numId="30">
    <w:abstractNumId w:val="10"/>
  </w:num>
  <w:num w:numId="31">
    <w:abstractNumId w:val="26"/>
  </w:num>
  <w:num w:numId="32">
    <w:abstractNumId w:val="32"/>
  </w:num>
  <w:num w:numId="33">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paragraph" w:styleId="Heading1">
    <w:name w:val="heading 1"/>
    <w:basedOn w:val="Normal"/>
    <w:next w:val="Normal"/>
    <w:link w:val="Heading1Char"/>
    <w:uiPriority w:val="99"/>
    <w:qFormat/>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pPr>
      <w:keepNext/>
      <w:outlineLvl w:val="3"/>
    </w:pPr>
    <w:rPr>
      <w:rFonts w:ascii="Calibri" w:hAnsi="Calibri"/>
      <w:b/>
      <w:sz w:val="28"/>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2Char">
    <w:name w:val="Heading 2 Char"/>
    <w:basedOn w:val="DefaultParagraphFont"/>
    <w:link w:val="Heading2"/>
    <w:uiPriority w:val="99"/>
    <w:semiHidden/>
    <w:locked/>
    <w:rPr>
      <w:rFonts w:ascii="Cambria" w:hAnsi="Cambria" w:cs="Times New Roman"/>
      <w:b/>
      <w:i/>
      <w:sz w:val="28"/>
    </w:rPr>
  </w:style>
  <w:style w:type="character" w:customStyle="1" w:styleId="Heading3Char">
    <w:name w:val="Heading 3 Char"/>
    <w:basedOn w:val="DefaultParagraphFont"/>
    <w:link w:val="Heading3"/>
    <w:uiPriority w:val="99"/>
    <w:semiHidden/>
    <w:locked/>
    <w:rPr>
      <w:rFonts w:ascii="Cambria" w:hAnsi="Cambria" w:cs="Times New Roman"/>
      <w:b/>
      <w:sz w:val="26"/>
    </w:rPr>
  </w:style>
  <w:style w:type="character" w:customStyle="1" w:styleId="Heading4Char">
    <w:name w:val="Heading 4 Char"/>
    <w:basedOn w:val="DefaultParagraphFont"/>
    <w:link w:val="Heading4"/>
    <w:uiPriority w:val="99"/>
    <w:semiHidden/>
    <w:locked/>
    <w:rPr>
      <w:rFonts w:ascii="Calibri" w:hAnsi="Calibri" w:cs="Times New Roman"/>
      <w:b/>
      <w:sz w:val="28"/>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character" w:customStyle="1" w:styleId="Heading6Char">
    <w:name w:val="Heading 6 Char"/>
    <w:basedOn w:val="DefaultParagraphFont"/>
    <w:link w:val="Heading6"/>
    <w:uiPriority w:val="99"/>
    <w:semiHidden/>
    <w:locked/>
    <w:rPr>
      <w:rFonts w:ascii="Calibri" w:hAnsi="Calibri" w:cs="Times New Roman"/>
      <w:b/>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paragraph" w:customStyle="1" w:styleId="Print-FromToSubjectDate">
    <w:name w:val="Print- From: To: Subject: Date:"/>
    <w:basedOn w:val="Normal"/>
    <w:uiPriority w:val="99"/>
    <w:pPr>
      <w:pBdr>
        <w:left w:val="single" w:sz="18" w:space="1" w:color="auto"/>
      </w:pBdr>
    </w:pPr>
    <w:rPr>
      <w:rFonts w:ascii="Arial" w:hAnsi="Arial"/>
    </w:rPr>
  </w:style>
  <w:style w:type="paragraph" w:customStyle="1" w:styleId="DefaultText">
    <w:name w:val="Default Text"/>
    <w:uiPriority w:val="99"/>
    <w:rPr>
      <w:color w:val="000000"/>
      <w:sz w:val="24"/>
      <w:szCs w:val="20"/>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0"/>
    </w:rPr>
  </w:style>
  <w:style w:type="paragraph" w:customStyle="1" w:styleId="InsideAddressName">
    <w:name w:val="Inside Address Name"/>
    <w:basedOn w:val="Normal"/>
    <w:uiPriority w:val="99"/>
  </w:style>
  <w:style w:type="paragraph" w:customStyle="1" w:styleId="InsideAddress">
    <w:name w:val="Inside Address"/>
    <w:basedOn w:val="Normal"/>
    <w:uiPriority w:val="99"/>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cs="Times New Roman"/>
      <w:sz w:val="20"/>
    </w:rPr>
  </w:style>
  <w:style w:type="paragraph" w:styleId="Closing">
    <w:name w:val="Closing"/>
    <w:basedOn w:val="Normal"/>
    <w:link w:val="ClosingChar"/>
    <w:uiPriority w:val="99"/>
  </w:style>
  <w:style w:type="character" w:customStyle="1" w:styleId="ClosingChar">
    <w:name w:val="Closing Char"/>
    <w:basedOn w:val="DefaultParagraphFont"/>
    <w:link w:val="Closing"/>
    <w:uiPriority w:val="99"/>
    <w:semiHidden/>
    <w:locked/>
    <w:rPr>
      <w:rFonts w:cs="Times New Roman"/>
      <w:sz w:val="20"/>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paragraph" w:customStyle="1" w:styleId="TableText">
    <w:name w:val="Table Text"/>
    <w:uiPriority w:val="99"/>
    <w:rPr>
      <w:rFonts w:ascii="Arial Narrow" w:hAnsi="Arial Narrow"/>
      <w:color w:val="000000"/>
      <w:sz w:val="24"/>
      <w:szCs w:val="20"/>
    </w:rPr>
  </w:style>
  <w:style w:type="paragraph" w:styleId="BodyTextIndent">
    <w:name w:val="Body Text Indent"/>
    <w:basedOn w:val="Normal"/>
    <w:link w:val="BodyTextIndentChar"/>
    <w:uiPriority w:val="99"/>
    <w:pPr>
      <w:spacing w:before="120"/>
      <w:ind w:firstLine="720"/>
      <w:jc w:val="both"/>
    </w:pPr>
  </w:style>
  <w:style w:type="character" w:customStyle="1" w:styleId="BodyTextIndentChar">
    <w:name w:val="Body Text Indent Char"/>
    <w:basedOn w:val="DefaultParagraphFont"/>
    <w:link w:val="BodyTextIndent"/>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pPr>
      <w:ind w:left="200"/>
    </w:pPr>
  </w:style>
  <w:style w:type="paragraph" w:styleId="TOC1">
    <w:name w:val="toc 1"/>
    <w:basedOn w:val="Normal"/>
    <w:next w:val="Normal"/>
    <w:autoRedefine/>
    <w:uiPriority w:val="99"/>
    <w:semiHidden/>
  </w:style>
  <w:style w:type="paragraph" w:styleId="TOC3">
    <w:name w:val="toc 3"/>
    <w:basedOn w:val="Normal"/>
    <w:next w:val="Normal"/>
    <w:autoRedefine/>
    <w:uiPriority w:val="99"/>
    <w:semiHidden/>
    <w:pPr>
      <w:ind w:left="400"/>
    </w:pPr>
  </w:style>
  <w:style w:type="paragraph" w:customStyle="1" w:styleId="BulletStatusReport">
    <w:name w:val="Bullet Status Report"/>
    <w:basedOn w:val="Normal"/>
    <w:uiPriority w:val="9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Pr>
      <w:rFonts w:cs="Times New Roman"/>
      <w:b/>
    </w:rPr>
  </w:style>
  <w:style w:type="character" w:styleId="Emphasis">
    <w:name w:val="Emphasis"/>
    <w:basedOn w:val="DefaultParagraphFont"/>
    <w:uiPriority w:val="99"/>
    <w:qFormat/>
    <w:rPr>
      <w:rFonts w:cs="Times New Roman"/>
      <w:i/>
    </w:rPr>
  </w:style>
  <w:style w:type="paragraph" w:styleId="FootnoteText">
    <w:name w:val="footnote text"/>
    <w:basedOn w:val="Normal"/>
    <w:link w:val="FootnoteTextChar"/>
    <w:uiPriority w:val="99"/>
    <w:semiHidden/>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Pr>
      <w:rFonts w:ascii="Arial" w:hAnsi="Arial" w:cs="Times New Roman"/>
      <w:snapToGrid w:val="0"/>
      <w:lang w:val="en-US" w:eastAsia="en-US"/>
    </w:rPr>
  </w:style>
  <w:style w:type="character" w:styleId="FootnoteReference">
    <w:name w:val="footnote reference"/>
    <w:basedOn w:val="DefaultParagraphFont"/>
    <w:uiPriority w:val="99"/>
    <w:semiHidden/>
    <w:rPr>
      <w:rFonts w:cs="Times New Roman"/>
      <w:vertAlign w:val="superscript"/>
    </w:rPr>
  </w:style>
  <w:style w:type="character" w:styleId="EndnoteReference">
    <w:name w:val="end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paragraph" w:styleId="BodyTextIndent3">
    <w:name w:val="Body Text Indent 3"/>
    <w:basedOn w:val="Normal"/>
    <w:link w:val="BodyTextIndent3Char"/>
    <w:uiPriority w:val="99"/>
    <w:pPr>
      <w:spacing w:after="120"/>
      <w:ind w:left="360"/>
    </w:pPr>
    <w:rPr>
      <w:sz w:val="16"/>
    </w:rPr>
  </w:style>
  <w:style w:type="character" w:customStyle="1" w:styleId="BodyTextIndent3Char">
    <w:name w:val="Body Text Indent 3 Char"/>
    <w:basedOn w:val="DefaultParagraphFont"/>
    <w:link w:val="BodyTextIndent3"/>
    <w:uiPriority w:val="99"/>
    <w:semiHidden/>
    <w:locked/>
    <w:rPr>
      <w:rFonts w:cs="Times New Roman"/>
      <w:sz w:val="16"/>
    </w:r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locked/>
    <w:rPr>
      <w:rFonts w:cs="Times New Roman"/>
      <w:sz w:val="20"/>
    </w:rPr>
  </w:style>
  <w:style w:type="paragraph" w:styleId="CommentSubject">
    <w:name w:val="annotation subject"/>
    <w:basedOn w:val="CommentText"/>
    <w:next w:val="CommentText"/>
    <w:link w:val="CommentSubjectChar"/>
    <w:uiPriority w:val="99"/>
    <w:semiHidden/>
    <w:rPr>
      <w:b/>
    </w:rPr>
  </w:style>
  <w:style w:type="character" w:customStyle="1" w:styleId="CommentSubjectChar">
    <w:name w:val="Comment Subject Char"/>
    <w:basedOn w:val="CommentTextChar"/>
    <w:link w:val="CommentSubject"/>
    <w:uiPriority w:val="99"/>
    <w:semiHidden/>
    <w:locked/>
    <w:rPr>
      <w:rFonts w:cs="Times New Roman"/>
      <w:b/>
      <w:sz w:val="20"/>
    </w:rPr>
  </w:style>
  <w:style w:type="paragraph" w:customStyle="1" w:styleId="FERCparanumber">
    <w:name w:val="FERC paranumber"/>
    <w:basedOn w:val="Normal"/>
    <w:link w:val="FERCparanumberChar"/>
    <w:uiPriority w:val="9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Pr>
      <w:sz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paragraph" w:styleId="Heading1">
    <w:name w:val="heading 1"/>
    <w:basedOn w:val="Normal"/>
    <w:next w:val="Normal"/>
    <w:link w:val="Heading1Char"/>
    <w:uiPriority w:val="99"/>
    <w:qFormat/>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pPr>
      <w:keepNext/>
      <w:outlineLvl w:val="3"/>
    </w:pPr>
    <w:rPr>
      <w:rFonts w:ascii="Calibri" w:hAnsi="Calibri"/>
      <w:b/>
      <w:sz w:val="28"/>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2Char">
    <w:name w:val="Heading 2 Char"/>
    <w:basedOn w:val="DefaultParagraphFont"/>
    <w:link w:val="Heading2"/>
    <w:uiPriority w:val="99"/>
    <w:semiHidden/>
    <w:locked/>
    <w:rPr>
      <w:rFonts w:ascii="Cambria" w:hAnsi="Cambria" w:cs="Times New Roman"/>
      <w:b/>
      <w:i/>
      <w:sz w:val="28"/>
    </w:rPr>
  </w:style>
  <w:style w:type="character" w:customStyle="1" w:styleId="Heading3Char">
    <w:name w:val="Heading 3 Char"/>
    <w:basedOn w:val="DefaultParagraphFont"/>
    <w:link w:val="Heading3"/>
    <w:uiPriority w:val="99"/>
    <w:semiHidden/>
    <w:locked/>
    <w:rPr>
      <w:rFonts w:ascii="Cambria" w:hAnsi="Cambria" w:cs="Times New Roman"/>
      <w:b/>
      <w:sz w:val="26"/>
    </w:rPr>
  </w:style>
  <w:style w:type="character" w:customStyle="1" w:styleId="Heading4Char">
    <w:name w:val="Heading 4 Char"/>
    <w:basedOn w:val="DefaultParagraphFont"/>
    <w:link w:val="Heading4"/>
    <w:uiPriority w:val="99"/>
    <w:semiHidden/>
    <w:locked/>
    <w:rPr>
      <w:rFonts w:ascii="Calibri" w:hAnsi="Calibri" w:cs="Times New Roman"/>
      <w:b/>
      <w:sz w:val="28"/>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character" w:customStyle="1" w:styleId="Heading6Char">
    <w:name w:val="Heading 6 Char"/>
    <w:basedOn w:val="DefaultParagraphFont"/>
    <w:link w:val="Heading6"/>
    <w:uiPriority w:val="99"/>
    <w:semiHidden/>
    <w:locked/>
    <w:rPr>
      <w:rFonts w:ascii="Calibri" w:hAnsi="Calibri" w:cs="Times New Roman"/>
      <w:b/>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paragraph" w:customStyle="1" w:styleId="Print-FromToSubjectDate">
    <w:name w:val="Print- From: To: Subject: Date:"/>
    <w:basedOn w:val="Normal"/>
    <w:uiPriority w:val="99"/>
    <w:pPr>
      <w:pBdr>
        <w:left w:val="single" w:sz="18" w:space="1" w:color="auto"/>
      </w:pBdr>
    </w:pPr>
    <w:rPr>
      <w:rFonts w:ascii="Arial" w:hAnsi="Arial"/>
    </w:rPr>
  </w:style>
  <w:style w:type="paragraph" w:customStyle="1" w:styleId="DefaultText">
    <w:name w:val="Default Text"/>
    <w:uiPriority w:val="99"/>
    <w:rPr>
      <w:color w:val="000000"/>
      <w:sz w:val="24"/>
      <w:szCs w:val="20"/>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0"/>
    </w:rPr>
  </w:style>
  <w:style w:type="paragraph" w:customStyle="1" w:styleId="InsideAddressName">
    <w:name w:val="Inside Address Name"/>
    <w:basedOn w:val="Normal"/>
    <w:uiPriority w:val="99"/>
  </w:style>
  <w:style w:type="paragraph" w:customStyle="1" w:styleId="InsideAddress">
    <w:name w:val="Inside Address"/>
    <w:basedOn w:val="Normal"/>
    <w:uiPriority w:val="99"/>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cs="Times New Roman"/>
      <w:sz w:val="20"/>
    </w:rPr>
  </w:style>
  <w:style w:type="paragraph" w:styleId="Closing">
    <w:name w:val="Closing"/>
    <w:basedOn w:val="Normal"/>
    <w:link w:val="ClosingChar"/>
    <w:uiPriority w:val="99"/>
  </w:style>
  <w:style w:type="character" w:customStyle="1" w:styleId="ClosingChar">
    <w:name w:val="Closing Char"/>
    <w:basedOn w:val="DefaultParagraphFont"/>
    <w:link w:val="Closing"/>
    <w:uiPriority w:val="99"/>
    <w:semiHidden/>
    <w:locked/>
    <w:rPr>
      <w:rFonts w:cs="Times New Roman"/>
      <w:sz w:val="20"/>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paragraph" w:customStyle="1" w:styleId="TableText">
    <w:name w:val="Table Text"/>
    <w:uiPriority w:val="99"/>
    <w:rPr>
      <w:rFonts w:ascii="Arial Narrow" w:hAnsi="Arial Narrow"/>
      <w:color w:val="000000"/>
      <w:sz w:val="24"/>
      <w:szCs w:val="20"/>
    </w:rPr>
  </w:style>
  <w:style w:type="paragraph" w:styleId="BodyTextIndent">
    <w:name w:val="Body Text Indent"/>
    <w:basedOn w:val="Normal"/>
    <w:link w:val="BodyTextIndentChar"/>
    <w:uiPriority w:val="99"/>
    <w:pPr>
      <w:spacing w:before="120"/>
      <w:ind w:firstLine="720"/>
      <w:jc w:val="both"/>
    </w:pPr>
  </w:style>
  <w:style w:type="character" w:customStyle="1" w:styleId="BodyTextIndentChar">
    <w:name w:val="Body Text Indent Char"/>
    <w:basedOn w:val="DefaultParagraphFont"/>
    <w:link w:val="BodyTextIndent"/>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pPr>
      <w:ind w:left="200"/>
    </w:pPr>
  </w:style>
  <w:style w:type="paragraph" w:styleId="TOC1">
    <w:name w:val="toc 1"/>
    <w:basedOn w:val="Normal"/>
    <w:next w:val="Normal"/>
    <w:autoRedefine/>
    <w:uiPriority w:val="99"/>
    <w:semiHidden/>
  </w:style>
  <w:style w:type="paragraph" w:styleId="TOC3">
    <w:name w:val="toc 3"/>
    <w:basedOn w:val="Normal"/>
    <w:next w:val="Normal"/>
    <w:autoRedefine/>
    <w:uiPriority w:val="99"/>
    <w:semiHidden/>
    <w:pPr>
      <w:ind w:left="400"/>
    </w:pPr>
  </w:style>
  <w:style w:type="paragraph" w:customStyle="1" w:styleId="BulletStatusReport">
    <w:name w:val="Bullet Status Report"/>
    <w:basedOn w:val="Normal"/>
    <w:uiPriority w:val="9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Pr>
      <w:rFonts w:cs="Times New Roman"/>
      <w:b/>
    </w:rPr>
  </w:style>
  <w:style w:type="character" w:styleId="Emphasis">
    <w:name w:val="Emphasis"/>
    <w:basedOn w:val="DefaultParagraphFont"/>
    <w:uiPriority w:val="99"/>
    <w:qFormat/>
    <w:rPr>
      <w:rFonts w:cs="Times New Roman"/>
      <w:i/>
    </w:rPr>
  </w:style>
  <w:style w:type="paragraph" w:styleId="FootnoteText">
    <w:name w:val="footnote text"/>
    <w:basedOn w:val="Normal"/>
    <w:link w:val="FootnoteTextChar"/>
    <w:uiPriority w:val="99"/>
    <w:semiHidden/>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Pr>
      <w:rFonts w:ascii="Arial" w:hAnsi="Arial" w:cs="Times New Roman"/>
      <w:snapToGrid w:val="0"/>
      <w:lang w:val="en-US" w:eastAsia="en-US"/>
    </w:rPr>
  </w:style>
  <w:style w:type="character" w:styleId="FootnoteReference">
    <w:name w:val="footnote reference"/>
    <w:basedOn w:val="DefaultParagraphFont"/>
    <w:uiPriority w:val="99"/>
    <w:semiHidden/>
    <w:rPr>
      <w:rFonts w:cs="Times New Roman"/>
      <w:vertAlign w:val="superscript"/>
    </w:rPr>
  </w:style>
  <w:style w:type="character" w:styleId="EndnoteReference">
    <w:name w:val="end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paragraph" w:styleId="BodyTextIndent3">
    <w:name w:val="Body Text Indent 3"/>
    <w:basedOn w:val="Normal"/>
    <w:link w:val="BodyTextIndent3Char"/>
    <w:uiPriority w:val="99"/>
    <w:pPr>
      <w:spacing w:after="120"/>
      <w:ind w:left="360"/>
    </w:pPr>
    <w:rPr>
      <w:sz w:val="16"/>
    </w:rPr>
  </w:style>
  <w:style w:type="character" w:customStyle="1" w:styleId="BodyTextIndent3Char">
    <w:name w:val="Body Text Indent 3 Char"/>
    <w:basedOn w:val="DefaultParagraphFont"/>
    <w:link w:val="BodyTextIndent3"/>
    <w:uiPriority w:val="99"/>
    <w:semiHidden/>
    <w:locked/>
    <w:rPr>
      <w:rFonts w:cs="Times New Roman"/>
      <w:sz w:val="16"/>
    </w:r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locked/>
    <w:rPr>
      <w:rFonts w:cs="Times New Roman"/>
      <w:sz w:val="20"/>
    </w:rPr>
  </w:style>
  <w:style w:type="paragraph" w:styleId="CommentSubject">
    <w:name w:val="annotation subject"/>
    <w:basedOn w:val="CommentText"/>
    <w:next w:val="CommentText"/>
    <w:link w:val="CommentSubjectChar"/>
    <w:uiPriority w:val="99"/>
    <w:semiHidden/>
    <w:rPr>
      <w:b/>
    </w:rPr>
  </w:style>
  <w:style w:type="character" w:customStyle="1" w:styleId="CommentSubjectChar">
    <w:name w:val="Comment Subject Char"/>
    <w:basedOn w:val="CommentTextChar"/>
    <w:link w:val="CommentSubject"/>
    <w:uiPriority w:val="99"/>
    <w:semiHidden/>
    <w:locked/>
    <w:rPr>
      <w:rFonts w:cs="Times New Roman"/>
      <w:b/>
      <w:sz w:val="20"/>
    </w:rPr>
  </w:style>
  <w:style w:type="paragraph" w:customStyle="1" w:styleId="FERCparanumber">
    <w:name w:val="FERC paranumber"/>
    <w:basedOn w:val="Normal"/>
    <w:link w:val="FERCparanumberChar"/>
    <w:uiPriority w:val="9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Pr>
      <w:sz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225163">
      <w:bodyDiv w:val="1"/>
      <w:marLeft w:val="0"/>
      <w:marRight w:val="0"/>
      <w:marTop w:val="0"/>
      <w:marBottom w:val="0"/>
      <w:divBdr>
        <w:top w:val="none" w:sz="0" w:space="0" w:color="auto"/>
        <w:left w:val="none" w:sz="0" w:space="0" w:color="auto"/>
        <w:bottom w:val="none" w:sz="0" w:space="0" w:color="auto"/>
        <w:right w:val="none" w:sz="0" w:space="0" w:color="auto"/>
      </w:divBdr>
    </w:div>
    <w:div w:id="1608150748">
      <w:marLeft w:val="0"/>
      <w:marRight w:val="0"/>
      <w:marTop w:val="0"/>
      <w:marBottom w:val="0"/>
      <w:divBdr>
        <w:top w:val="none" w:sz="0" w:space="0" w:color="auto"/>
        <w:left w:val="none" w:sz="0" w:space="0" w:color="auto"/>
        <w:bottom w:val="none" w:sz="0" w:space="0" w:color="auto"/>
        <w:right w:val="none" w:sz="0" w:space="0" w:color="auto"/>
      </w:divBdr>
    </w:div>
    <w:div w:id="1608150753">
      <w:marLeft w:val="0"/>
      <w:marRight w:val="0"/>
      <w:marTop w:val="0"/>
      <w:marBottom w:val="0"/>
      <w:divBdr>
        <w:top w:val="none" w:sz="0" w:space="0" w:color="auto"/>
        <w:left w:val="none" w:sz="0" w:space="0" w:color="auto"/>
        <w:bottom w:val="none" w:sz="0" w:space="0" w:color="auto"/>
        <w:right w:val="none" w:sz="0" w:space="0" w:color="auto"/>
      </w:divBdr>
    </w:div>
    <w:div w:id="1608150754">
      <w:marLeft w:val="0"/>
      <w:marRight w:val="0"/>
      <w:marTop w:val="0"/>
      <w:marBottom w:val="0"/>
      <w:divBdr>
        <w:top w:val="none" w:sz="0" w:space="0" w:color="auto"/>
        <w:left w:val="none" w:sz="0" w:space="0" w:color="auto"/>
        <w:bottom w:val="none" w:sz="0" w:space="0" w:color="auto"/>
        <w:right w:val="none" w:sz="0" w:space="0" w:color="auto"/>
      </w:divBdr>
      <w:divsChild>
        <w:div w:id="1608150750">
          <w:marLeft w:val="0"/>
          <w:marRight w:val="0"/>
          <w:marTop w:val="0"/>
          <w:marBottom w:val="0"/>
          <w:divBdr>
            <w:top w:val="none" w:sz="0" w:space="0" w:color="auto"/>
            <w:left w:val="none" w:sz="0" w:space="0" w:color="auto"/>
            <w:bottom w:val="none" w:sz="0" w:space="0" w:color="auto"/>
            <w:right w:val="none" w:sz="0" w:space="0" w:color="auto"/>
          </w:divBdr>
        </w:div>
        <w:div w:id="1608150764">
          <w:marLeft w:val="0"/>
          <w:marRight w:val="0"/>
          <w:marTop w:val="0"/>
          <w:marBottom w:val="0"/>
          <w:divBdr>
            <w:top w:val="none" w:sz="0" w:space="0" w:color="auto"/>
            <w:left w:val="none" w:sz="0" w:space="0" w:color="auto"/>
            <w:bottom w:val="none" w:sz="0" w:space="0" w:color="auto"/>
            <w:right w:val="none" w:sz="0" w:space="0" w:color="auto"/>
          </w:divBdr>
        </w:div>
        <w:div w:id="1608150766">
          <w:marLeft w:val="0"/>
          <w:marRight w:val="0"/>
          <w:marTop w:val="0"/>
          <w:marBottom w:val="0"/>
          <w:divBdr>
            <w:top w:val="none" w:sz="0" w:space="0" w:color="auto"/>
            <w:left w:val="none" w:sz="0" w:space="0" w:color="auto"/>
            <w:bottom w:val="none" w:sz="0" w:space="0" w:color="auto"/>
            <w:right w:val="none" w:sz="0" w:space="0" w:color="auto"/>
          </w:divBdr>
        </w:div>
        <w:div w:id="1608150768">
          <w:marLeft w:val="0"/>
          <w:marRight w:val="0"/>
          <w:marTop w:val="0"/>
          <w:marBottom w:val="0"/>
          <w:divBdr>
            <w:top w:val="none" w:sz="0" w:space="0" w:color="auto"/>
            <w:left w:val="none" w:sz="0" w:space="0" w:color="auto"/>
            <w:bottom w:val="none" w:sz="0" w:space="0" w:color="auto"/>
            <w:right w:val="none" w:sz="0" w:space="0" w:color="auto"/>
          </w:divBdr>
        </w:div>
        <w:div w:id="1608150775">
          <w:marLeft w:val="0"/>
          <w:marRight w:val="0"/>
          <w:marTop w:val="0"/>
          <w:marBottom w:val="0"/>
          <w:divBdr>
            <w:top w:val="none" w:sz="0" w:space="0" w:color="auto"/>
            <w:left w:val="none" w:sz="0" w:space="0" w:color="auto"/>
            <w:bottom w:val="none" w:sz="0" w:space="0" w:color="auto"/>
            <w:right w:val="none" w:sz="0" w:space="0" w:color="auto"/>
          </w:divBdr>
        </w:div>
      </w:divsChild>
    </w:div>
    <w:div w:id="1608150757">
      <w:marLeft w:val="0"/>
      <w:marRight w:val="0"/>
      <w:marTop w:val="0"/>
      <w:marBottom w:val="0"/>
      <w:divBdr>
        <w:top w:val="none" w:sz="0" w:space="0" w:color="auto"/>
        <w:left w:val="none" w:sz="0" w:space="0" w:color="auto"/>
        <w:bottom w:val="none" w:sz="0" w:space="0" w:color="auto"/>
        <w:right w:val="none" w:sz="0" w:space="0" w:color="auto"/>
      </w:divBdr>
    </w:div>
    <w:div w:id="1608150758">
      <w:marLeft w:val="0"/>
      <w:marRight w:val="0"/>
      <w:marTop w:val="0"/>
      <w:marBottom w:val="0"/>
      <w:divBdr>
        <w:top w:val="none" w:sz="0" w:space="0" w:color="auto"/>
        <w:left w:val="none" w:sz="0" w:space="0" w:color="auto"/>
        <w:bottom w:val="none" w:sz="0" w:space="0" w:color="auto"/>
        <w:right w:val="none" w:sz="0" w:space="0" w:color="auto"/>
      </w:divBdr>
    </w:div>
    <w:div w:id="1608150761">
      <w:marLeft w:val="0"/>
      <w:marRight w:val="0"/>
      <w:marTop w:val="0"/>
      <w:marBottom w:val="0"/>
      <w:divBdr>
        <w:top w:val="none" w:sz="0" w:space="0" w:color="auto"/>
        <w:left w:val="none" w:sz="0" w:space="0" w:color="auto"/>
        <w:bottom w:val="none" w:sz="0" w:space="0" w:color="auto"/>
        <w:right w:val="none" w:sz="0" w:space="0" w:color="auto"/>
      </w:divBdr>
      <w:divsChild>
        <w:div w:id="1608150749">
          <w:marLeft w:val="0"/>
          <w:marRight w:val="0"/>
          <w:marTop w:val="0"/>
          <w:marBottom w:val="0"/>
          <w:divBdr>
            <w:top w:val="none" w:sz="0" w:space="0" w:color="auto"/>
            <w:left w:val="none" w:sz="0" w:space="0" w:color="auto"/>
            <w:bottom w:val="none" w:sz="0" w:space="0" w:color="auto"/>
            <w:right w:val="none" w:sz="0" w:space="0" w:color="auto"/>
          </w:divBdr>
        </w:div>
        <w:div w:id="1608150765">
          <w:marLeft w:val="0"/>
          <w:marRight w:val="0"/>
          <w:marTop w:val="0"/>
          <w:marBottom w:val="0"/>
          <w:divBdr>
            <w:top w:val="none" w:sz="0" w:space="0" w:color="auto"/>
            <w:left w:val="none" w:sz="0" w:space="0" w:color="auto"/>
            <w:bottom w:val="none" w:sz="0" w:space="0" w:color="auto"/>
            <w:right w:val="none" w:sz="0" w:space="0" w:color="auto"/>
          </w:divBdr>
        </w:div>
        <w:div w:id="1608150770">
          <w:marLeft w:val="0"/>
          <w:marRight w:val="0"/>
          <w:marTop w:val="0"/>
          <w:marBottom w:val="0"/>
          <w:divBdr>
            <w:top w:val="none" w:sz="0" w:space="0" w:color="auto"/>
            <w:left w:val="none" w:sz="0" w:space="0" w:color="auto"/>
            <w:bottom w:val="none" w:sz="0" w:space="0" w:color="auto"/>
            <w:right w:val="none" w:sz="0" w:space="0" w:color="auto"/>
          </w:divBdr>
        </w:div>
      </w:divsChild>
    </w:div>
    <w:div w:id="1608150762">
      <w:marLeft w:val="0"/>
      <w:marRight w:val="0"/>
      <w:marTop w:val="0"/>
      <w:marBottom w:val="0"/>
      <w:divBdr>
        <w:top w:val="none" w:sz="0" w:space="0" w:color="auto"/>
        <w:left w:val="none" w:sz="0" w:space="0" w:color="auto"/>
        <w:bottom w:val="none" w:sz="0" w:space="0" w:color="auto"/>
        <w:right w:val="none" w:sz="0" w:space="0" w:color="auto"/>
      </w:divBdr>
    </w:div>
    <w:div w:id="1608150769">
      <w:marLeft w:val="0"/>
      <w:marRight w:val="0"/>
      <w:marTop w:val="0"/>
      <w:marBottom w:val="0"/>
      <w:divBdr>
        <w:top w:val="none" w:sz="0" w:space="0" w:color="auto"/>
        <w:left w:val="none" w:sz="0" w:space="0" w:color="auto"/>
        <w:bottom w:val="none" w:sz="0" w:space="0" w:color="auto"/>
        <w:right w:val="none" w:sz="0" w:space="0" w:color="auto"/>
      </w:divBdr>
      <w:divsChild>
        <w:div w:id="1608150781">
          <w:marLeft w:val="0"/>
          <w:marRight w:val="0"/>
          <w:marTop w:val="0"/>
          <w:marBottom w:val="0"/>
          <w:divBdr>
            <w:top w:val="none" w:sz="0" w:space="0" w:color="auto"/>
            <w:left w:val="none" w:sz="0" w:space="0" w:color="auto"/>
            <w:bottom w:val="none" w:sz="0" w:space="0" w:color="auto"/>
            <w:right w:val="none" w:sz="0" w:space="0" w:color="auto"/>
          </w:divBdr>
        </w:div>
      </w:divsChild>
    </w:div>
    <w:div w:id="1608150772">
      <w:marLeft w:val="0"/>
      <w:marRight w:val="0"/>
      <w:marTop w:val="0"/>
      <w:marBottom w:val="0"/>
      <w:divBdr>
        <w:top w:val="none" w:sz="0" w:space="0" w:color="auto"/>
        <w:left w:val="none" w:sz="0" w:space="0" w:color="auto"/>
        <w:bottom w:val="none" w:sz="0" w:space="0" w:color="auto"/>
        <w:right w:val="none" w:sz="0" w:space="0" w:color="auto"/>
      </w:divBdr>
      <w:divsChild>
        <w:div w:id="1608150773">
          <w:marLeft w:val="0"/>
          <w:marRight w:val="0"/>
          <w:marTop w:val="0"/>
          <w:marBottom w:val="0"/>
          <w:divBdr>
            <w:top w:val="none" w:sz="0" w:space="0" w:color="auto"/>
            <w:left w:val="none" w:sz="0" w:space="0" w:color="auto"/>
            <w:bottom w:val="none" w:sz="0" w:space="0" w:color="auto"/>
            <w:right w:val="none" w:sz="0" w:space="0" w:color="auto"/>
          </w:divBdr>
          <w:divsChild>
            <w:div w:id="1608150777">
              <w:marLeft w:val="0"/>
              <w:marRight w:val="0"/>
              <w:marTop w:val="0"/>
              <w:marBottom w:val="0"/>
              <w:divBdr>
                <w:top w:val="none" w:sz="0" w:space="0" w:color="auto"/>
                <w:left w:val="none" w:sz="0" w:space="0" w:color="auto"/>
                <w:bottom w:val="none" w:sz="0" w:space="0" w:color="auto"/>
                <w:right w:val="none" w:sz="0" w:space="0" w:color="auto"/>
              </w:divBdr>
              <w:divsChild>
                <w:div w:id="1608150751">
                  <w:marLeft w:val="0"/>
                  <w:marRight w:val="0"/>
                  <w:marTop w:val="0"/>
                  <w:marBottom w:val="0"/>
                  <w:divBdr>
                    <w:top w:val="none" w:sz="0" w:space="0" w:color="auto"/>
                    <w:left w:val="none" w:sz="0" w:space="0" w:color="auto"/>
                    <w:bottom w:val="none" w:sz="0" w:space="0" w:color="auto"/>
                    <w:right w:val="none" w:sz="0" w:space="0" w:color="auto"/>
                  </w:divBdr>
                </w:div>
                <w:div w:id="1608150756">
                  <w:marLeft w:val="0"/>
                  <w:marRight w:val="0"/>
                  <w:marTop w:val="0"/>
                  <w:marBottom w:val="0"/>
                  <w:divBdr>
                    <w:top w:val="none" w:sz="0" w:space="0" w:color="auto"/>
                    <w:left w:val="none" w:sz="0" w:space="0" w:color="auto"/>
                    <w:bottom w:val="none" w:sz="0" w:space="0" w:color="auto"/>
                    <w:right w:val="none" w:sz="0" w:space="0" w:color="auto"/>
                  </w:divBdr>
                </w:div>
                <w:div w:id="1608150779">
                  <w:marLeft w:val="0"/>
                  <w:marRight w:val="0"/>
                  <w:marTop w:val="0"/>
                  <w:marBottom w:val="0"/>
                  <w:divBdr>
                    <w:top w:val="none" w:sz="0" w:space="0" w:color="auto"/>
                    <w:left w:val="none" w:sz="0" w:space="0" w:color="auto"/>
                    <w:bottom w:val="none" w:sz="0" w:space="0" w:color="auto"/>
                    <w:right w:val="none" w:sz="0" w:space="0" w:color="auto"/>
                  </w:divBdr>
                </w:div>
                <w:div w:id="1608150782">
                  <w:marLeft w:val="0"/>
                  <w:marRight w:val="0"/>
                  <w:marTop w:val="0"/>
                  <w:marBottom w:val="0"/>
                  <w:divBdr>
                    <w:top w:val="none" w:sz="0" w:space="0" w:color="auto"/>
                    <w:left w:val="none" w:sz="0" w:space="0" w:color="auto"/>
                    <w:bottom w:val="none" w:sz="0" w:space="0" w:color="auto"/>
                    <w:right w:val="none" w:sz="0" w:space="0" w:color="auto"/>
                  </w:divBdr>
                </w:div>
                <w:div w:id="1608150785">
                  <w:marLeft w:val="0"/>
                  <w:marRight w:val="0"/>
                  <w:marTop w:val="0"/>
                  <w:marBottom w:val="0"/>
                  <w:divBdr>
                    <w:top w:val="none" w:sz="0" w:space="0" w:color="auto"/>
                    <w:left w:val="none" w:sz="0" w:space="0" w:color="auto"/>
                    <w:bottom w:val="none" w:sz="0" w:space="0" w:color="auto"/>
                    <w:right w:val="none" w:sz="0" w:space="0" w:color="auto"/>
                  </w:divBdr>
                </w:div>
                <w:div w:id="16081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50774">
      <w:marLeft w:val="0"/>
      <w:marRight w:val="0"/>
      <w:marTop w:val="0"/>
      <w:marBottom w:val="0"/>
      <w:divBdr>
        <w:top w:val="none" w:sz="0" w:space="0" w:color="auto"/>
        <w:left w:val="none" w:sz="0" w:space="0" w:color="auto"/>
        <w:bottom w:val="none" w:sz="0" w:space="0" w:color="auto"/>
        <w:right w:val="none" w:sz="0" w:space="0" w:color="auto"/>
      </w:divBdr>
      <w:divsChild>
        <w:div w:id="1608150791">
          <w:marLeft w:val="0"/>
          <w:marRight w:val="0"/>
          <w:marTop w:val="0"/>
          <w:marBottom w:val="0"/>
          <w:divBdr>
            <w:top w:val="none" w:sz="0" w:space="0" w:color="auto"/>
            <w:left w:val="none" w:sz="0" w:space="0" w:color="auto"/>
            <w:bottom w:val="none" w:sz="0" w:space="0" w:color="auto"/>
            <w:right w:val="none" w:sz="0" w:space="0" w:color="auto"/>
          </w:divBdr>
        </w:div>
      </w:divsChild>
    </w:div>
    <w:div w:id="1608150776">
      <w:marLeft w:val="0"/>
      <w:marRight w:val="0"/>
      <w:marTop w:val="0"/>
      <w:marBottom w:val="0"/>
      <w:divBdr>
        <w:top w:val="none" w:sz="0" w:space="0" w:color="auto"/>
        <w:left w:val="none" w:sz="0" w:space="0" w:color="auto"/>
        <w:bottom w:val="none" w:sz="0" w:space="0" w:color="auto"/>
        <w:right w:val="none" w:sz="0" w:space="0" w:color="auto"/>
      </w:divBdr>
      <w:divsChild>
        <w:div w:id="1608150760">
          <w:marLeft w:val="0"/>
          <w:marRight w:val="0"/>
          <w:marTop w:val="0"/>
          <w:marBottom w:val="0"/>
          <w:divBdr>
            <w:top w:val="none" w:sz="0" w:space="0" w:color="auto"/>
            <w:left w:val="none" w:sz="0" w:space="0" w:color="auto"/>
            <w:bottom w:val="none" w:sz="0" w:space="0" w:color="auto"/>
            <w:right w:val="none" w:sz="0" w:space="0" w:color="auto"/>
          </w:divBdr>
        </w:div>
      </w:divsChild>
    </w:div>
    <w:div w:id="1608150780">
      <w:marLeft w:val="0"/>
      <w:marRight w:val="0"/>
      <w:marTop w:val="0"/>
      <w:marBottom w:val="0"/>
      <w:divBdr>
        <w:top w:val="none" w:sz="0" w:space="0" w:color="auto"/>
        <w:left w:val="none" w:sz="0" w:space="0" w:color="auto"/>
        <w:bottom w:val="none" w:sz="0" w:space="0" w:color="auto"/>
        <w:right w:val="none" w:sz="0" w:space="0" w:color="auto"/>
      </w:divBdr>
      <w:divsChild>
        <w:div w:id="1608150755">
          <w:marLeft w:val="0"/>
          <w:marRight w:val="0"/>
          <w:marTop w:val="0"/>
          <w:marBottom w:val="0"/>
          <w:divBdr>
            <w:top w:val="none" w:sz="0" w:space="0" w:color="auto"/>
            <w:left w:val="none" w:sz="0" w:space="0" w:color="auto"/>
            <w:bottom w:val="none" w:sz="0" w:space="0" w:color="auto"/>
            <w:right w:val="none" w:sz="0" w:space="0" w:color="auto"/>
          </w:divBdr>
        </w:div>
      </w:divsChild>
    </w:div>
    <w:div w:id="1608150783">
      <w:marLeft w:val="0"/>
      <w:marRight w:val="0"/>
      <w:marTop w:val="0"/>
      <w:marBottom w:val="0"/>
      <w:divBdr>
        <w:top w:val="none" w:sz="0" w:space="0" w:color="auto"/>
        <w:left w:val="none" w:sz="0" w:space="0" w:color="auto"/>
        <w:bottom w:val="none" w:sz="0" w:space="0" w:color="auto"/>
        <w:right w:val="none" w:sz="0" w:space="0" w:color="auto"/>
      </w:divBdr>
      <w:divsChild>
        <w:div w:id="1608150752">
          <w:marLeft w:val="0"/>
          <w:marRight w:val="0"/>
          <w:marTop w:val="0"/>
          <w:marBottom w:val="0"/>
          <w:divBdr>
            <w:top w:val="none" w:sz="0" w:space="0" w:color="auto"/>
            <w:left w:val="none" w:sz="0" w:space="0" w:color="auto"/>
            <w:bottom w:val="none" w:sz="0" w:space="0" w:color="auto"/>
            <w:right w:val="none" w:sz="0" w:space="0" w:color="auto"/>
          </w:divBdr>
        </w:div>
        <w:div w:id="1608150763">
          <w:marLeft w:val="0"/>
          <w:marRight w:val="0"/>
          <w:marTop w:val="0"/>
          <w:marBottom w:val="0"/>
          <w:divBdr>
            <w:top w:val="none" w:sz="0" w:space="0" w:color="auto"/>
            <w:left w:val="none" w:sz="0" w:space="0" w:color="auto"/>
            <w:bottom w:val="none" w:sz="0" w:space="0" w:color="auto"/>
            <w:right w:val="none" w:sz="0" w:space="0" w:color="auto"/>
          </w:divBdr>
        </w:div>
        <w:div w:id="1608150767">
          <w:marLeft w:val="0"/>
          <w:marRight w:val="0"/>
          <w:marTop w:val="0"/>
          <w:marBottom w:val="0"/>
          <w:divBdr>
            <w:top w:val="none" w:sz="0" w:space="0" w:color="auto"/>
            <w:left w:val="none" w:sz="0" w:space="0" w:color="auto"/>
            <w:bottom w:val="none" w:sz="0" w:space="0" w:color="auto"/>
            <w:right w:val="none" w:sz="0" w:space="0" w:color="auto"/>
          </w:divBdr>
        </w:div>
        <w:div w:id="1608150771">
          <w:marLeft w:val="0"/>
          <w:marRight w:val="0"/>
          <w:marTop w:val="0"/>
          <w:marBottom w:val="0"/>
          <w:divBdr>
            <w:top w:val="none" w:sz="0" w:space="0" w:color="auto"/>
            <w:left w:val="none" w:sz="0" w:space="0" w:color="auto"/>
            <w:bottom w:val="none" w:sz="0" w:space="0" w:color="auto"/>
            <w:right w:val="none" w:sz="0" w:space="0" w:color="auto"/>
          </w:divBdr>
        </w:div>
        <w:div w:id="1608150784">
          <w:marLeft w:val="0"/>
          <w:marRight w:val="0"/>
          <w:marTop w:val="0"/>
          <w:marBottom w:val="0"/>
          <w:divBdr>
            <w:top w:val="none" w:sz="0" w:space="0" w:color="auto"/>
            <w:left w:val="none" w:sz="0" w:space="0" w:color="auto"/>
            <w:bottom w:val="none" w:sz="0" w:space="0" w:color="auto"/>
            <w:right w:val="none" w:sz="0" w:space="0" w:color="auto"/>
          </w:divBdr>
        </w:div>
        <w:div w:id="1608150787">
          <w:marLeft w:val="0"/>
          <w:marRight w:val="0"/>
          <w:marTop w:val="0"/>
          <w:marBottom w:val="0"/>
          <w:divBdr>
            <w:top w:val="none" w:sz="0" w:space="0" w:color="auto"/>
            <w:left w:val="none" w:sz="0" w:space="0" w:color="auto"/>
            <w:bottom w:val="none" w:sz="0" w:space="0" w:color="auto"/>
            <w:right w:val="none" w:sz="0" w:space="0" w:color="auto"/>
          </w:divBdr>
        </w:div>
        <w:div w:id="1608150788">
          <w:marLeft w:val="0"/>
          <w:marRight w:val="0"/>
          <w:marTop w:val="0"/>
          <w:marBottom w:val="0"/>
          <w:divBdr>
            <w:top w:val="none" w:sz="0" w:space="0" w:color="auto"/>
            <w:left w:val="none" w:sz="0" w:space="0" w:color="auto"/>
            <w:bottom w:val="none" w:sz="0" w:space="0" w:color="auto"/>
            <w:right w:val="none" w:sz="0" w:space="0" w:color="auto"/>
          </w:divBdr>
        </w:div>
      </w:divsChild>
    </w:div>
    <w:div w:id="1608150786">
      <w:marLeft w:val="0"/>
      <w:marRight w:val="0"/>
      <w:marTop w:val="0"/>
      <w:marBottom w:val="0"/>
      <w:divBdr>
        <w:top w:val="none" w:sz="0" w:space="0" w:color="auto"/>
        <w:left w:val="none" w:sz="0" w:space="0" w:color="auto"/>
        <w:bottom w:val="none" w:sz="0" w:space="0" w:color="auto"/>
        <w:right w:val="none" w:sz="0" w:space="0" w:color="auto"/>
      </w:divBdr>
      <w:divsChild>
        <w:div w:id="1608150778">
          <w:marLeft w:val="0"/>
          <w:marRight w:val="0"/>
          <w:marTop w:val="0"/>
          <w:marBottom w:val="0"/>
          <w:divBdr>
            <w:top w:val="none" w:sz="0" w:space="0" w:color="auto"/>
            <w:left w:val="none" w:sz="0" w:space="0" w:color="auto"/>
            <w:bottom w:val="none" w:sz="0" w:space="0" w:color="auto"/>
            <w:right w:val="none" w:sz="0" w:space="0" w:color="auto"/>
          </w:divBdr>
        </w:div>
      </w:divsChild>
    </w:div>
    <w:div w:id="1608150790">
      <w:marLeft w:val="0"/>
      <w:marRight w:val="0"/>
      <w:marTop w:val="0"/>
      <w:marBottom w:val="0"/>
      <w:divBdr>
        <w:top w:val="none" w:sz="0" w:space="0" w:color="auto"/>
        <w:left w:val="none" w:sz="0" w:space="0" w:color="auto"/>
        <w:bottom w:val="none" w:sz="0" w:space="0" w:color="auto"/>
        <w:right w:val="none" w:sz="0" w:space="0" w:color="auto"/>
      </w:divBdr>
      <w:divsChild>
        <w:div w:id="1608150759">
          <w:marLeft w:val="0"/>
          <w:marRight w:val="0"/>
          <w:marTop w:val="0"/>
          <w:marBottom w:val="0"/>
          <w:divBdr>
            <w:top w:val="none" w:sz="0" w:space="0" w:color="auto"/>
            <w:left w:val="none" w:sz="0" w:space="0" w:color="auto"/>
            <w:bottom w:val="none" w:sz="0" w:space="0" w:color="auto"/>
            <w:right w:val="none" w:sz="0" w:space="0" w:color="auto"/>
          </w:divBdr>
        </w:div>
      </w:divsChild>
    </w:div>
    <w:div w:id="1608150792">
      <w:marLeft w:val="0"/>
      <w:marRight w:val="0"/>
      <w:marTop w:val="0"/>
      <w:marBottom w:val="0"/>
      <w:divBdr>
        <w:top w:val="none" w:sz="0" w:space="0" w:color="auto"/>
        <w:left w:val="none" w:sz="0" w:space="0" w:color="auto"/>
        <w:bottom w:val="none" w:sz="0" w:space="0" w:color="auto"/>
        <w:right w:val="none" w:sz="0" w:space="0" w:color="auto"/>
      </w:divBdr>
    </w:div>
    <w:div w:id="1608150793">
      <w:marLeft w:val="0"/>
      <w:marRight w:val="0"/>
      <w:marTop w:val="0"/>
      <w:marBottom w:val="0"/>
      <w:divBdr>
        <w:top w:val="none" w:sz="0" w:space="0" w:color="auto"/>
        <w:left w:val="none" w:sz="0" w:space="0" w:color="auto"/>
        <w:bottom w:val="none" w:sz="0" w:space="0" w:color="auto"/>
        <w:right w:val="none" w:sz="0" w:space="0" w:color="auto"/>
      </w:divBdr>
    </w:div>
    <w:div w:id="1608150794">
      <w:marLeft w:val="0"/>
      <w:marRight w:val="0"/>
      <w:marTop w:val="0"/>
      <w:marBottom w:val="0"/>
      <w:divBdr>
        <w:top w:val="none" w:sz="0" w:space="0" w:color="auto"/>
        <w:left w:val="none" w:sz="0" w:space="0" w:color="auto"/>
        <w:bottom w:val="none" w:sz="0" w:space="0" w:color="auto"/>
        <w:right w:val="none" w:sz="0" w:space="0" w:color="auto"/>
      </w:divBdr>
    </w:div>
    <w:div w:id="1608150795">
      <w:marLeft w:val="0"/>
      <w:marRight w:val="0"/>
      <w:marTop w:val="0"/>
      <w:marBottom w:val="0"/>
      <w:divBdr>
        <w:top w:val="none" w:sz="0" w:space="0" w:color="auto"/>
        <w:left w:val="none" w:sz="0" w:space="0" w:color="auto"/>
        <w:bottom w:val="none" w:sz="0" w:space="0" w:color="auto"/>
        <w:right w:val="none" w:sz="0" w:space="0" w:color="auto"/>
      </w:divBdr>
    </w:div>
    <w:div w:id="1608150796">
      <w:marLeft w:val="0"/>
      <w:marRight w:val="0"/>
      <w:marTop w:val="0"/>
      <w:marBottom w:val="0"/>
      <w:divBdr>
        <w:top w:val="none" w:sz="0" w:space="0" w:color="auto"/>
        <w:left w:val="none" w:sz="0" w:space="0" w:color="auto"/>
        <w:bottom w:val="none" w:sz="0" w:space="0" w:color="auto"/>
        <w:right w:val="none" w:sz="0" w:space="0" w:color="auto"/>
      </w:divBdr>
    </w:div>
    <w:div w:id="16081507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erc.com/filez/standards/Project2010-17_BES.html" TargetMode="External"/><Relationship Id="rId18" Type="http://schemas.openxmlformats.org/officeDocument/2006/relationships/hyperlink" Target="http://www.naesb.org/pdf2/r05026.doc" TargetMode="External"/><Relationship Id="rId26" Type="http://schemas.openxmlformats.org/officeDocument/2006/relationships/hyperlink" Target="http://www.naesb.org/pdf4/r09015.doc" TargetMode="External"/><Relationship Id="rId39" Type="http://schemas.openxmlformats.org/officeDocument/2006/relationships/hyperlink" Target="http://www.ferc.gov/whats-new/comm-meet/2012/062112/E-3.pdf" TargetMode="External"/><Relationship Id="rId3" Type="http://schemas.openxmlformats.org/officeDocument/2006/relationships/styles" Target="styles.xml"/><Relationship Id="rId21" Type="http://schemas.openxmlformats.org/officeDocument/2006/relationships/hyperlink" Target="http://www.naesb.org/pdf4/r12001.doc" TargetMode="External"/><Relationship Id="rId34" Type="http://schemas.openxmlformats.org/officeDocument/2006/relationships/hyperlink" Target="http://www.naesb.org/pdf4/bd092012a1.pdf" TargetMode="External"/><Relationship Id="rId42"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nerc.com/filez/standards/Project2010-14.2_Phase_2_of_Balancing_Authority_RBC.html" TargetMode="External"/><Relationship Id="rId17" Type="http://schemas.openxmlformats.org/officeDocument/2006/relationships/hyperlink" Target="http://www.naesb.org/pdf2/r05019.doc" TargetMode="External"/><Relationship Id="rId25" Type="http://schemas.openxmlformats.org/officeDocument/2006/relationships/hyperlink" Target="http://www.naesb.org/../pdf4/r09003.doc" TargetMode="External"/><Relationship Id="rId33" Type="http://schemas.openxmlformats.org/officeDocument/2006/relationships/hyperlink" Target="http://www.naesb.org/pdf4/bd092012a1.pdf" TargetMode="External"/><Relationship Id="rId38" Type="http://schemas.openxmlformats.org/officeDocument/2006/relationships/hyperlink" Target="http://www.naesb.org/pdf4/ferc_111810_vers_nopr.doc"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aesb.org/pdf2/r05019.doc" TargetMode="External"/><Relationship Id="rId20" Type="http://schemas.openxmlformats.org/officeDocument/2006/relationships/hyperlink" Target="http://www.nerc.com/filez/standards/Project2008-12_Coordinate_Interchange_Stds_Modifications.html" TargetMode="External"/><Relationship Id="rId29" Type="http://schemas.openxmlformats.org/officeDocument/2006/relationships/hyperlink" Target="http://www.nerc.com/filez/standards/Project2008-01_Voltage_and_Reactive_Planning_and_Control.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rc.com/filez/standards/Resource_Adequacy.html" TargetMode="External"/><Relationship Id="rId24" Type="http://schemas.openxmlformats.org/officeDocument/2006/relationships/hyperlink" Target="http://www.naesb.org/../pdf4/r08027.doc" TargetMode="External"/><Relationship Id="rId32" Type="http://schemas.openxmlformats.org/officeDocument/2006/relationships/hyperlink" Target="http://www.naesb.org/pdf4/bd092012a1.pdf" TargetMode="External"/><Relationship Id="rId37" Type="http://schemas.openxmlformats.org/officeDocument/2006/relationships/hyperlink" Target="http://www.naesb.org/pdf4/naesb_comments_ver_integration_nopr_030211.pdf"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aesb.org/pdf3/ferc062308_order890b.doc" TargetMode="External"/><Relationship Id="rId23" Type="http://schemas.openxmlformats.org/officeDocument/2006/relationships/hyperlink" Target="http://www.naesb.org/pdf3/r08011.doc" TargetMode="External"/><Relationship Id="rId28" Type="http://schemas.openxmlformats.org/officeDocument/2006/relationships/hyperlink" Target="http://www.naesb.org/pdf4/ferc112409_order_676E.doc" TargetMode="External"/><Relationship Id="rId36" Type="http://schemas.openxmlformats.org/officeDocument/2006/relationships/hyperlink" Target="http://www.naesb.org/pdf4/ferc_order1000_100311mn.doc" TargetMode="External"/><Relationship Id="rId10" Type="http://schemas.openxmlformats.org/officeDocument/2006/relationships/hyperlink" Target="http://www.naesb.org/pdf4/r11020.doc" TargetMode="External"/><Relationship Id="rId19" Type="http://schemas.openxmlformats.org/officeDocument/2006/relationships/hyperlink" Target="http://www.naesb.org/pdf2/weq_srs112006a1.doc" TargetMode="External"/><Relationship Id="rId31" Type="http://schemas.openxmlformats.org/officeDocument/2006/relationships/hyperlink" Target="http://www.nerc.com/filez/standards/Project2013-02_Paragraph_81.html" TargetMode="Externa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nerc.com/filez/standards/Project2010-14.1_Phase_1_of_Balancing_Authority_RBC.html" TargetMode="External"/><Relationship Id="rId14" Type="http://schemas.openxmlformats.org/officeDocument/2006/relationships/hyperlink" Target="http://www.naesb.org/doc_view4.asp?doc=ferc041107.pdf" TargetMode="External"/><Relationship Id="rId22" Type="http://schemas.openxmlformats.org/officeDocument/2006/relationships/hyperlink" Target="http://www.kb.cert.org/vuls/id/864643" TargetMode="External"/><Relationship Id="rId27" Type="http://schemas.openxmlformats.org/officeDocument/2006/relationships/hyperlink" Target="http://www.naesb.org/pdf4/r12006.doc" TargetMode="External"/><Relationship Id="rId30" Type="http://schemas.openxmlformats.org/officeDocument/2006/relationships/hyperlink" Target="http://www.nerc.com/filez/standards/Project2010-08_FM_Glossary_Revisions.html" TargetMode="External"/><Relationship Id="rId35" Type="http://schemas.openxmlformats.org/officeDocument/2006/relationships/hyperlink" Target="http://www.naesb.org/doc_view2.asp?doc=ferc122807.pdf" TargetMode="External"/><Relationship Id="rId43"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naesb.org/pdf3/weq_aplan102907w1.pdf" TargetMode="External"/><Relationship Id="rId2" Type="http://schemas.openxmlformats.org/officeDocument/2006/relationships/hyperlink" Target="http://www.naesb.org/pdf4/certification_specifications.docx" TargetMode="External"/><Relationship Id="rId1" Type="http://schemas.openxmlformats.org/officeDocument/2006/relationships/hyperlink" Target="http://www.naesb.org/pdf4/certification_specifications.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43A222-974C-490F-AAD3-3FA1613FE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2607</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Gas Industry Standards Board</Company>
  <LinksUpToDate>false</LinksUpToDate>
  <CharactersWithSpaces>17433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Cory Galik</dc:creator>
  <cp:lastModifiedBy>Veronica Thomason</cp:lastModifiedBy>
  <cp:revision>4</cp:revision>
  <cp:lastPrinted>2012-12-11T21:26:00Z</cp:lastPrinted>
  <dcterms:created xsi:type="dcterms:W3CDTF">2012-12-11T21:37:00Z</dcterms:created>
  <dcterms:modified xsi:type="dcterms:W3CDTF">2012-12-11T22:21:00Z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