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318311F0" w:rsidR="00AD2480" w:rsidRPr="005D1B94" w:rsidRDefault="0002124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5A625B">
        <w:rPr>
          <w:rFonts w:ascii="Times New Roman" w:hAnsi="Times New Roman" w:cs="Times New Roman"/>
          <w:b w:val="0"/>
        </w:rPr>
        <w:t>,</w:t>
      </w:r>
      <w:r w:rsidR="00326080">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C2873F3"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93027">
        <w:rPr>
          <w:bCs/>
        </w:rPr>
        <w:t>Caroline Trum, Director of Wholesale Electric Activities</w:t>
      </w:r>
    </w:p>
    <w:p w14:paraId="045CFB00" w14:textId="4D2AC699"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 xml:space="preserve">WEQ/RMQ/WGQ Cybersecurity </w:t>
      </w:r>
      <w:r w:rsidR="00021240">
        <w:rPr>
          <w:b/>
          <w:bCs/>
        </w:rPr>
        <w:t>Activities</w:t>
      </w:r>
    </w:p>
    <w:p w14:paraId="0DA6DFD2" w14:textId="53B77B99" w:rsidR="00021240" w:rsidRDefault="00021240" w:rsidP="003A1D03">
      <w:pPr>
        <w:spacing w:before="120" w:after="120"/>
        <w:jc w:val="both"/>
      </w:pPr>
      <w:r>
        <w:t xml:space="preserve">The WEQ Cybersecurity Subcommittee and WEQ Business Practices Subcommittee have scheduled a meeting for December 15, 2025 to begin discussing the jointly assigned item on the 2025 and proposed 2026 WEQ Annual Plan.  </w:t>
      </w:r>
      <w:r w:rsidRPr="00021240">
        <w:t xml:space="preserve">As part of this effort, the subcommittees will consider and develop standards to support cybersecurity vulnerability disclosures, such as software supply chain risks, including those that could support industry implementation of NERC reliability requirements.  For the upcoming meeting, </w:t>
      </w:r>
      <w:r w:rsidR="00866E3C">
        <w:t>leadership</w:t>
      </w:r>
      <w:r w:rsidRPr="00021240">
        <w:t xml:space="preserve"> </w:t>
      </w:r>
      <w:r w:rsidR="00866E3C">
        <w:t xml:space="preserve">of the subcommittees </w:t>
      </w:r>
      <w:r>
        <w:t>anticipate a presentation will be provided overviewing</w:t>
      </w:r>
      <w:r w:rsidRPr="00021240">
        <w:t xml:space="preserve"> the topic and potential considerations that could help inform initial discussions</w:t>
      </w:r>
      <w:r>
        <w:t xml:space="preserve"> for standards development.</w:t>
      </w:r>
    </w:p>
    <w:p w14:paraId="1E4A98BC" w14:textId="040119D3" w:rsidR="009078D9" w:rsidRDefault="00021240" w:rsidP="003A1D03">
      <w:pPr>
        <w:spacing w:before="120" w:after="120"/>
        <w:jc w:val="both"/>
      </w:pPr>
      <w:r>
        <w:t xml:space="preserve">In October, the Executive Committees approved recommendations proposing cybersecurity-related modifications identified by the </w:t>
      </w:r>
      <w:r w:rsidR="009078D9">
        <w:t xml:space="preserve">WEQ, WGQ, and RMQ as part of annual reviews to help ensure </w:t>
      </w:r>
      <w:r w:rsidR="00D93027">
        <w:t xml:space="preserve">the business practices continue to meet industry needs and support secure electronic commercial communications.  </w:t>
      </w:r>
      <w:r w:rsidR="009078D9">
        <w:t xml:space="preserve">Within the WGQ and RMQ, these modifications included updates to </w:t>
      </w:r>
      <w:r w:rsidR="009078D9">
        <w:rPr>
          <w:kern w:val="28"/>
          <w14:cntxtAlts/>
        </w:rPr>
        <w:t>internet protocol technical guidance, correct outdated or obsolete citations, and make minor language changes for consistency purposes.  Additionally, the WGQ and RMQ both added cross-references to their respective cybersecurity and electronic delivery mechanism (EDM) related standards to better clarify that use of both is necessary to help protect the electronic transmission of data.  WGQ and RMQ membership have now ratified the revised standards which will be included in the next versions of the WGQ and RMQ Business Practice Standards, respectively.</w:t>
      </w:r>
    </w:p>
    <w:p w14:paraId="02A756E0" w14:textId="18B83D9E" w:rsidR="00DD068B" w:rsidRDefault="009078D9" w:rsidP="003A1D03">
      <w:pPr>
        <w:spacing w:before="120" w:after="120"/>
        <w:jc w:val="both"/>
      </w:pPr>
      <w:r>
        <w:t xml:space="preserve">Within the WEQ, the new version of the </w:t>
      </w:r>
      <w:r w:rsidRPr="00BB5CD2">
        <w:rPr>
          <w:kern w:val="28"/>
          <w14:cntxtAlts/>
        </w:rPr>
        <w:t>Accreditation Requirements for Authorized Certification Authorities (ACAs)</w:t>
      </w:r>
      <w:r>
        <w:rPr>
          <w:kern w:val="28"/>
          <w14:cntxtAlts/>
        </w:rPr>
        <w:t xml:space="preserve"> became effective on October 22, 2025 upon approval of the WEQ Executive Committee.  </w:t>
      </w:r>
      <w:r w:rsidR="00CF1B31">
        <w:rPr>
          <w:kern w:val="28"/>
          <w14:cntxtAlts/>
        </w:rPr>
        <w:t xml:space="preserve">This document supports the NAESB Certification Program for ACAs by defining the technical requirements used by a NAESB ACA to issue WEQ-012 </w:t>
      </w:r>
      <w:r w:rsidR="00CF1B31" w:rsidRPr="00BB5CD2">
        <w:rPr>
          <w:kern w:val="28"/>
          <w14:cntxtAlts/>
        </w:rPr>
        <w:t>Public Key Infrastructure (PKI)</w:t>
      </w:r>
      <w:r w:rsidR="00CF1B31">
        <w:rPr>
          <w:kern w:val="28"/>
          <w14:cntxtAlts/>
        </w:rPr>
        <w:t xml:space="preserve"> digital certificates.  The revisions </w:t>
      </w:r>
      <w:r w:rsidR="00CF1B31" w:rsidRPr="00107D4E">
        <w:rPr>
          <w:kern w:val="28"/>
          <w14:cntxtAlts/>
        </w:rPr>
        <w:t>include the deprecation of an obsolete encryption methodology and outdated cryptographic modules used as part of digital certificate generation</w:t>
      </w:r>
      <w:r w:rsidR="00CF1B31">
        <w:rPr>
          <w:kern w:val="28"/>
          <w14:cntxtAlts/>
        </w:rPr>
        <w:t xml:space="preserve"> and are aligned with broader, general industry guidance from the </w:t>
      </w:r>
      <w:r w:rsidR="00CF1B31" w:rsidRPr="00107D4E">
        <w:rPr>
          <w:kern w:val="28"/>
          <w14:cntxtAlts/>
        </w:rPr>
        <w:t>National Institute of Standards and Technology and the Certificate Authority/Browser Forum regarding the issuance of PKI digital certificates</w:t>
      </w:r>
      <w:r w:rsidR="00CF1B31">
        <w:rPr>
          <w:kern w:val="28"/>
          <w14:cntxtAlts/>
        </w:rPr>
        <w:t xml:space="preserve">.  These changes will help ensure </w:t>
      </w:r>
      <w:r w:rsidR="00CF1B31" w:rsidRPr="00107D4E">
        <w:rPr>
          <w:kern w:val="28"/>
          <w14:cntxtAlts/>
        </w:rPr>
        <w:t xml:space="preserve">NAESB ACAs continue to create and issue WEQ-012 PKI </w:t>
      </w:r>
      <w:r w:rsidR="00CF1B31">
        <w:rPr>
          <w:kern w:val="28"/>
          <w14:cntxtAlts/>
        </w:rPr>
        <w:t>d</w:t>
      </w:r>
      <w:r w:rsidR="00CF1B31" w:rsidRPr="00107D4E">
        <w:rPr>
          <w:kern w:val="28"/>
          <w14:cntxtAlts/>
        </w:rPr>
        <w:t xml:space="preserve">igital </w:t>
      </w:r>
      <w:r w:rsidR="00CF1B31">
        <w:rPr>
          <w:kern w:val="28"/>
          <w14:cntxtAlts/>
        </w:rPr>
        <w:t>c</w:t>
      </w:r>
      <w:r w:rsidR="00CF1B31" w:rsidRPr="00107D4E">
        <w:rPr>
          <w:kern w:val="28"/>
          <w14:cntxtAlts/>
        </w:rPr>
        <w:t>ertificates in a secure manner reflective of evolving industry cybersecurity needs</w:t>
      </w:r>
      <w:r w:rsidR="00CF1B31">
        <w:t>.</w:t>
      </w:r>
    </w:p>
    <w:p w14:paraId="4AD87F9B" w14:textId="27FCEF36" w:rsidR="000E5EE6" w:rsidRPr="00635D85" w:rsidRDefault="000E5EE6" w:rsidP="000E5EE6">
      <w:pPr>
        <w:spacing w:before="120" w:after="120"/>
        <w:jc w:val="both"/>
      </w:pPr>
    </w:p>
    <w:sectPr w:rsidR="000E5E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9B52" w14:textId="77777777" w:rsidR="00F74F51" w:rsidRDefault="00F74F51">
      <w:r>
        <w:separator/>
      </w:r>
    </w:p>
  </w:endnote>
  <w:endnote w:type="continuationSeparator" w:id="0">
    <w:p w14:paraId="5F229B45" w14:textId="77777777" w:rsidR="00F74F51" w:rsidRDefault="00F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0BDB3EBF" w:rsidR="004D4805" w:rsidRPr="00176FB9" w:rsidRDefault="004602DD" w:rsidP="005E6421">
    <w:pPr>
      <w:pStyle w:val="Footer"/>
      <w:pBdr>
        <w:top w:val="single" w:sz="12" w:space="1" w:color="auto"/>
      </w:pBdr>
      <w:jc w:val="right"/>
      <w:rPr>
        <w:sz w:val="18"/>
        <w:szCs w:val="18"/>
      </w:rPr>
    </w:pPr>
    <w:r>
      <w:rPr>
        <w:sz w:val="18"/>
        <w:szCs w:val="18"/>
      </w:rPr>
      <w:t xml:space="preserve">WEQ/RMQ/WGQ Cybersecurity </w:t>
    </w:r>
    <w:r w:rsidR="00D07262">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E058" w14:textId="77777777" w:rsidR="00F74F51" w:rsidRDefault="00F74F51">
      <w:r>
        <w:separator/>
      </w:r>
    </w:p>
  </w:footnote>
  <w:footnote w:type="continuationSeparator" w:id="0">
    <w:p w14:paraId="72276AAF" w14:textId="77777777" w:rsidR="00F74F51" w:rsidRDefault="00F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91792"/>
    <w:multiLevelType w:val="hybridMultilevel"/>
    <w:tmpl w:val="F78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5"/>
  </w:num>
  <w:num w:numId="3" w16cid:durableId="392630661">
    <w:abstractNumId w:val="8"/>
  </w:num>
  <w:num w:numId="4" w16cid:durableId="1026372022">
    <w:abstractNumId w:val="13"/>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2"/>
  </w:num>
  <w:num w:numId="15" w16cid:durableId="84817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240"/>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8E3"/>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5EE6"/>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350"/>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3B0"/>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1BB"/>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39A"/>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58"/>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6FA4"/>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080"/>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3B0"/>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327"/>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6A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18D"/>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57DF1"/>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4C72"/>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0E"/>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B"/>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D9D"/>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976"/>
    <w:rsid w:val="007A5E69"/>
    <w:rsid w:val="007A6062"/>
    <w:rsid w:val="007A63D6"/>
    <w:rsid w:val="007A6418"/>
    <w:rsid w:val="007A64DC"/>
    <w:rsid w:val="007A6523"/>
    <w:rsid w:val="007A6B07"/>
    <w:rsid w:val="007B04B0"/>
    <w:rsid w:val="007B0539"/>
    <w:rsid w:val="007B0551"/>
    <w:rsid w:val="007B0735"/>
    <w:rsid w:val="007B0B4C"/>
    <w:rsid w:val="007B1269"/>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22B"/>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E3C"/>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8D9"/>
    <w:rsid w:val="00907E62"/>
    <w:rsid w:val="0091010F"/>
    <w:rsid w:val="00910305"/>
    <w:rsid w:val="0091087F"/>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3E39"/>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124"/>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1AF"/>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C87"/>
    <w:rsid w:val="00A22E67"/>
    <w:rsid w:val="00A22F33"/>
    <w:rsid w:val="00A239A7"/>
    <w:rsid w:val="00A23A16"/>
    <w:rsid w:val="00A23D6E"/>
    <w:rsid w:val="00A23D8F"/>
    <w:rsid w:val="00A24402"/>
    <w:rsid w:val="00A24C65"/>
    <w:rsid w:val="00A25AEE"/>
    <w:rsid w:val="00A260E8"/>
    <w:rsid w:val="00A26376"/>
    <w:rsid w:val="00A26BE1"/>
    <w:rsid w:val="00A272B3"/>
    <w:rsid w:val="00A303FF"/>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482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0A6B"/>
    <w:rsid w:val="00CF1419"/>
    <w:rsid w:val="00CF156E"/>
    <w:rsid w:val="00CF1880"/>
    <w:rsid w:val="00CF1A39"/>
    <w:rsid w:val="00CF1B31"/>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26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3D8B"/>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027"/>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C7F0E"/>
    <w:rsid w:val="00DD068B"/>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07EFE"/>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045"/>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4B"/>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3C6"/>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C76"/>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6D4"/>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4F51"/>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3</cp:revision>
  <cp:lastPrinted>2015-09-24T15:30:00Z</cp:lastPrinted>
  <dcterms:created xsi:type="dcterms:W3CDTF">2025-12-02T23:09:00Z</dcterms:created>
  <dcterms:modified xsi:type="dcterms:W3CDTF">2025-12-05T18:05:00Z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