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480" w:rsidRPr="005D1B94" w:rsidRDefault="00C57642" w:rsidP="005E2A1C">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 xml:space="preserve"> </w:t>
      </w:r>
      <w:r w:rsidR="003B0CB6">
        <w:rPr>
          <w:rFonts w:ascii="Times New Roman" w:hAnsi="Times New Roman" w:cs="Times New Roman"/>
          <w:b w:val="0"/>
        </w:rPr>
        <w:t>November 18</w:t>
      </w:r>
      <w:r w:rsidR="006650C1">
        <w:rPr>
          <w:rFonts w:ascii="Times New Roman" w:hAnsi="Times New Roman" w:cs="Times New Roman"/>
          <w:b w:val="0"/>
        </w:rPr>
        <w:t>, 2015</w:t>
      </w:r>
    </w:p>
    <w:p w:rsidR="00AD2480" w:rsidRPr="005D1B94" w:rsidRDefault="00AD2480" w:rsidP="005E2A1C">
      <w:pPr>
        <w:tabs>
          <w:tab w:val="left" w:pos="900"/>
        </w:tabs>
        <w:spacing w:after="120"/>
        <w:ind w:left="907" w:hanging="907"/>
      </w:pPr>
      <w:r w:rsidRPr="005D1B94">
        <w:rPr>
          <w:b/>
        </w:rPr>
        <w:t>TO:</w:t>
      </w:r>
      <w:r w:rsidRPr="005D1B94">
        <w:tab/>
        <w:t>All Interested Parties</w:t>
      </w:r>
    </w:p>
    <w:p w:rsidR="00AD2480" w:rsidRPr="005D1B94" w:rsidRDefault="00AD2480" w:rsidP="005E2A1C">
      <w:pPr>
        <w:tabs>
          <w:tab w:val="left" w:pos="900"/>
        </w:tabs>
        <w:ind w:left="907" w:hanging="907"/>
        <w:jc w:val="both"/>
        <w:rPr>
          <w:bCs/>
        </w:rPr>
      </w:pPr>
      <w:r w:rsidRPr="005D1B94">
        <w:rPr>
          <w:b/>
          <w:bCs/>
        </w:rPr>
        <w:t>FROM:</w:t>
      </w:r>
      <w:r w:rsidRPr="005D1B94">
        <w:rPr>
          <w:b/>
          <w:bCs/>
        </w:rPr>
        <w:tab/>
      </w:r>
      <w:r w:rsidRPr="005D1B94">
        <w:rPr>
          <w:b/>
          <w:bCs/>
        </w:rPr>
        <w:tab/>
      </w:r>
      <w:r w:rsidR="00AB0485">
        <w:rPr>
          <w:bCs/>
        </w:rPr>
        <w:t>Caroline Trum, NAESB Deputy Director</w:t>
      </w:r>
    </w:p>
    <w:p w:rsidR="00AD2480" w:rsidRPr="005D1B94" w:rsidRDefault="00AD2480" w:rsidP="005E2A1C">
      <w:pPr>
        <w:pBdr>
          <w:bottom w:val="single" w:sz="12" w:space="1" w:color="auto"/>
        </w:pBdr>
        <w:tabs>
          <w:tab w:val="left" w:pos="900"/>
        </w:tabs>
        <w:spacing w:before="120"/>
        <w:ind w:left="900" w:hanging="900"/>
        <w:jc w:val="both"/>
        <w:rPr>
          <w:bCs/>
        </w:rPr>
      </w:pPr>
      <w:r w:rsidRPr="005D1B94">
        <w:rPr>
          <w:b/>
          <w:bCs/>
        </w:rPr>
        <w:t>RE:</w:t>
      </w:r>
      <w:r w:rsidRPr="005D1B94">
        <w:rPr>
          <w:b/>
          <w:bCs/>
        </w:rPr>
        <w:tab/>
      </w:r>
      <w:r w:rsidR="0059537D">
        <w:rPr>
          <w:b/>
          <w:bCs/>
        </w:rPr>
        <w:t>Update to the Board of Directors –</w:t>
      </w:r>
      <w:r w:rsidR="003B0CB6">
        <w:rPr>
          <w:b/>
          <w:bCs/>
        </w:rPr>
        <w:t>Legal Entity Identifiers (LEI)</w:t>
      </w:r>
    </w:p>
    <w:p w:rsidR="00AD2480" w:rsidRPr="005D1B94" w:rsidRDefault="00AD2480" w:rsidP="005E2A1C">
      <w:pPr>
        <w:jc w:val="center"/>
        <w:rPr>
          <w:b/>
        </w:rPr>
      </w:pPr>
    </w:p>
    <w:p w:rsidR="005C3992" w:rsidRDefault="006A4862" w:rsidP="003B0CB6">
      <w:pPr>
        <w:spacing w:after="120"/>
        <w:jc w:val="both"/>
      </w:pPr>
      <w:r>
        <w:t xml:space="preserve">On </w:t>
      </w:r>
      <w:r w:rsidR="003B0CB6">
        <w:t>September 17</w:t>
      </w:r>
      <w:r>
        <w:t xml:space="preserve">, 2015, </w:t>
      </w:r>
      <w:r w:rsidR="003B0CB6">
        <w:t>the Commission issued a Notice of Proposed Rulemaking (NOPR)</w:t>
      </w:r>
      <w:r w:rsidR="00F857DB">
        <w:rPr>
          <w:rStyle w:val="FootnoteReference"/>
        </w:rPr>
        <w:footnoteReference w:id="1"/>
      </w:r>
      <w:r w:rsidR="003B0CB6">
        <w:t xml:space="preserve"> regarding the collection of connected entity data from regional transmission organizations (RTOs) and independent system operators (ISOs).  In the NOPR, the Commission proposes to require each RTO and ISO to electronically provide the Commission with data from market participants that, among other information, would identify the market participant by means of a common alpha-numeric identifier.  The Commission identified the Legal Entity Identifier (LEI) system as the best method by which to achieve a reliable, standard identification system.  </w:t>
      </w:r>
      <w:r w:rsidR="005C3992">
        <w:t>The Commission is proposing that RTOs and ISOs require their market participants to obtain LEIs and report their own LEI as well as the LEIs of each of their connected entities.</w:t>
      </w:r>
    </w:p>
    <w:p w:rsidR="005C3992" w:rsidRDefault="003B0CB6" w:rsidP="003B0CB6">
      <w:pPr>
        <w:spacing w:after="120"/>
        <w:jc w:val="both"/>
      </w:pPr>
      <w:r>
        <w:t xml:space="preserve">LEIs are a unique identification assigned to a single entity by Local Operating Units </w:t>
      </w:r>
      <w:r w:rsidR="005C3992">
        <w:t xml:space="preserve">(LOU) </w:t>
      </w:r>
      <w:r>
        <w:t>of the Global LEI System and are already in use by several federal agencies, including the Securities and Exchange Commission, the Office of Financial Research, and the Commodity Futures Trading Commission.</w:t>
      </w:r>
      <w:r w:rsidR="00F31754">
        <w:rPr>
          <w:rStyle w:val="FootnoteReference"/>
        </w:rPr>
        <w:footnoteReference w:id="2"/>
      </w:r>
      <w:r w:rsidR="005C3992">
        <w:t xml:space="preserve">  As of the end of 2014, over 330,000 entities from 189 countries obtained LEIs from LOUs endorsed by the LEI Regulatory Oversight Committee.  The Global LEI System maintains the centralized data base of LEIs.  LOUs assign a 20-digit alpha-numeric LEI to an entity after verifying the entity’s authenticity by checking official government records.  The use of the LEI value is exclusive to the single entity, and an entity may not obtain more than one LEI</w:t>
      </w:r>
      <w:r w:rsidR="001A0825">
        <w:t>.</w:t>
      </w:r>
    </w:p>
    <w:p w:rsidR="00F857DB" w:rsidRDefault="00CA5E86" w:rsidP="003B0CB6">
      <w:pPr>
        <w:spacing w:after="120"/>
        <w:jc w:val="both"/>
      </w:pPr>
      <w:r>
        <w:t>As part of the NOPR, the Commission asked for comments from the industry on the feasibility of the LEI system, alternative methods to the LEI system to achieve uniform identification, and if waivers should be granted.</w:t>
      </w:r>
      <w:r w:rsidR="00F857DB">
        <w:t xml:space="preserve">  The Commission will hold a technical conference regarding the NOPR on December 8, 2015.  Comments on the NOPR are due forty-five days following the date of the technical conference on January 22, 2016.</w:t>
      </w:r>
    </w:p>
    <w:p w:rsidR="005C3992" w:rsidRPr="00F857DB" w:rsidRDefault="005C3992" w:rsidP="003B0CB6">
      <w:pPr>
        <w:spacing w:after="120"/>
        <w:jc w:val="both"/>
      </w:pPr>
      <w:r>
        <w:t xml:space="preserve">The NOPR also proposes RTOs and ISOs provide the Commission with certain with a list of their connected entities and a brief description of the nature of the relationship with each connected entity.  The Commission </w:t>
      </w:r>
      <w:r w:rsidR="00520D4D">
        <w:t xml:space="preserve">proposes that the “uniform identification of market participants, together with the listing of entities that comprise a network of common interests, would enhance the Commission’s efforts to detect and deter market manipulation.” </w:t>
      </w:r>
    </w:p>
    <w:p w:rsidR="006650C1" w:rsidRPr="005D1B94" w:rsidRDefault="006650C1" w:rsidP="003413EE">
      <w:pPr>
        <w:spacing w:before="120"/>
        <w:jc w:val="both"/>
        <w:rPr>
          <w:b/>
          <w:bCs/>
        </w:rPr>
      </w:pPr>
    </w:p>
    <w:sectPr w:rsidR="006650C1" w:rsidRPr="005D1B94" w:rsidSect="00BA3C0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D0D" w:rsidRDefault="00877D0D">
      <w:r>
        <w:separator/>
      </w:r>
    </w:p>
  </w:endnote>
  <w:endnote w:type="continuationSeparator" w:id="0">
    <w:p w:rsidR="00877D0D" w:rsidRDefault="00877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CA4" w:rsidRPr="00176FB9" w:rsidRDefault="00B82CA4" w:rsidP="005E6421">
    <w:pPr>
      <w:pStyle w:val="Footer"/>
      <w:pBdr>
        <w:top w:val="single" w:sz="12" w:space="1" w:color="auto"/>
      </w:pBdr>
      <w:jc w:val="right"/>
      <w:rPr>
        <w:sz w:val="18"/>
        <w:szCs w:val="18"/>
      </w:rPr>
    </w:pPr>
    <w:r>
      <w:rPr>
        <w:sz w:val="18"/>
        <w:szCs w:val="18"/>
      </w:rPr>
      <w:t xml:space="preserve">Update to the Board of Directors – </w:t>
    </w:r>
    <w:r w:rsidR="003B0CB6">
      <w:rPr>
        <w:sz w:val="18"/>
        <w:szCs w:val="18"/>
      </w:rPr>
      <w:t>Legal Entity Identifiers</w:t>
    </w:r>
  </w:p>
  <w:p w:rsidR="00B82CA4" w:rsidRPr="00176FB9" w:rsidRDefault="00B82CA4" w:rsidP="005E6421">
    <w:pPr>
      <w:pStyle w:val="Footer"/>
      <w:pBdr>
        <w:top w:val="single" w:sz="12" w:space="1" w:color="auto"/>
      </w:pBdr>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D0D" w:rsidRDefault="00877D0D">
      <w:r>
        <w:separator/>
      </w:r>
    </w:p>
  </w:footnote>
  <w:footnote w:type="continuationSeparator" w:id="0">
    <w:p w:rsidR="00877D0D" w:rsidRDefault="00877D0D">
      <w:r>
        <w:continuationSeparator/>
      </w:r>
    </w:p>
  </w:footnote>
  <w:footnote w:id="1">
    <w:p w:rsidR="00F857DB" w:rsidRPr="00F857DB" w:rsidRDefault="00F857DB">
      <w:pPr>
        <w:pStyle w:val="FootnoteText"/>
        <w:rPr>
          <w:rFonts w:ascii="Times New Roman" w:hAnsi="Times New Roman"/>
          <w:sz w:val="16"/>
          <w:szCs w:val="16"/>
        </w:rPr>
      </w:pPr>
      <w:r w:rsidRPr="00F857DB">
        <w:rPr>
          <w:rStyle w:val="FootnoteReference"/>
          <w:rFonts w:ascii="Times New Roman" w:hAnsi="Times New Roman"/>
          <w:sz w:val="16"/>
          <w:szCs w:val="16"/>
        </w:rPr>
        <w:footnoteRef/>
      </w:r>
      <w:r w:rsidRPr="00F857DB">
        <w:rPr>
          <w:rFonts w:ascii="Times New Roman" w:hAnsi="Times New Roman"/>
          <w:sz w:val="16"/>
          <w:szCs w:val="16"/>
        </w:rPr>
        <w:t xml:space="preserve"> FERC NOPR: </w:t>
      </w:r>
      <w:hyperlink r:id="rId1" w:history="1">
        <w:r w:rsidRPr="00F31754">
          <w:rPr>
            <w:rStyle w:val="Hyperlink"/>
            <w:rFonts w:ascii="Times New Roman" w:hAnsi="Times New Roman"/>
            <w:sz w:val="16"/>
            <w:szCs w:val="16"/>
          </w:rPr>
          <w:t>https://www.ferc.gov/whats-new/comm-meet/2015/091715/E-2.pdf</w:t>
        </w:r>
      </w:hyperlink>
      <w:r w:rsidRPr="00F857DB">
        <w:rPr>
          <w:rFonts w:ascii="Times New Roman" w:hAnsi="Times New Roman"/>
          <w:sz w:val="16"/>
          <w:szCs w:val="16"/>
        </w:rPr>
        <w:t xml:space="preserve"> </w:t>
      </w:r>
      <w:bookmarkStart w:id="0" w:name="_GoBack"/>
      <w:bookmarkEnd w:id="0"/>
    </w:p>
  </w:footnote>
  <w:footnote w:id="2">
    <w:p w:rsidR="00F31754" w:rsidRDefault="00F31754">
      <w:pPr>
        <w:pStyle w:val="FootnoteText"/>
      </w:pPr>
      <w:r w:rsidRPr="00F31754">
        <w:rPr>
          <w:rStyle w:val="FootnoteReference"/>
          <w:rFonts w:ascii="Times New Roman" w:hAnsi="Times New Roman"/>
          <w:sz w:val="16"/>
          <w:szCs w:val="16"/>
        </w:rPr>
        <w:footnoteRef/>
      </w:r>
      <w:r w:rsidRPr="00F31754">
        <w:rPr>
          <w:rStyle w:val="FootnoteReference"/>
          <w:rFonts w:ascii="Times New Roman" w:hAnsi="Times New Roman"/>
          <w:sz w:val="16"/>
          <w:szCs w:val="16"/>
        </w:rPr>
        <w:t xml:space="preserve"> </w:t>
      </w:r>
      <w:r w:rsidRPr="00F31754">
        <w:rPr>
          <w:rFonts w:ascii="Times New Roman" w:hAnsi="Times New Roman"/>
          <w:sz w:val="16"/>
          <w:szCs w:val="16"/>
        </w:rPr>
        <w:t>Federal Reserve Publication:</w:t>
      </w:r>
      <w:r w:rsidRPr="00F31754">
        <w:rPr>
          <w:sz w:val="16"/>
          <w:szCs w:val="16"/>
        </w:rPr>
        <w:t xml:space="preserve"> </w:t>
      </w:r>
      <w:hyperlink r:id="rId2" w:history="1">
        <w:r w:rsidRPr="00F31754">
          <w:rPr>
            <w:rStyle w:val="Hyperlink"/>
            <w:rFonts w:ascii="Times New Roman" w:hAnsi="Times New Roman"/>
            <w:sz w:val="16"/>
            <w:szCs w:val="16"/>
          </w:rPr>
          <w:t>http://www.federalreserve.gov/pubs/feds/2011/201131/201131pap.pdf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CA4" w:rsidRPr="00D65256" w:rsidRDefault="00B82CA4"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CA4" w:rsidRDefault="00B82CA4"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7sEA&#10;AADaAAAADwAAAGRycy9kb3ducmV2LnhtbESPQYvCMBSE7wv+h/AEb2tqBZFqFBGUxYOwKoi3Z/Ns&#10;a5uX0mRt/fcbQfA4zMw3zHzZmUo8qHGFZQWjYQSCOLW64EzB6bj5noJwHlljZZkUPMnBctH7mmOi&#10;bcu/9Dj4TAQIuwQV5N7XiZQuzcmgG9qaOHg32xj0QTaZ1A22AW4qGUfRRBosOCzkWNM6p7Q8/BkF&#10;nTP3ttyfx5vddcu7mMrbxZRKDfrdagbCU+c/4Xf7RyuI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2Tu7BAAAA2gAAAA8AAAAAAAAAAAAAAAAAmAIAAGRycy9kb3du&#10;cmV2LnhtbFBLBQYAAAAABAAEAPUAAACGAwAAAAA=&#10;" filled="f" stroked="f">
                <v:textbox style="mso-fit-shape-to-text:t" inset="0,0,0,0">
                  <w:txbxContent>
                    <w:p w:rsidR="00B82CA4" w:rsidRDefault="00B82CA4"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p>
  <w:p w:rsidR="00B82CA4" w:rsidRPr="00D65256" w:rsidRDefault="00B82CA4" w:rsidP="00D41CDD">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rsidR="00B82CA4" w:rsidRPr="00D65256" w:rsidRDefault="00B82CA4" w:rsidP="00A214E1">
    <w:pPr>
      <w:pStyle w:val="Header"/>
      <w:tabs>
        <w:tab w:val="left" w:pos="680"/>
        <w:tab w:val="right" w:pos="9810"/>
      </w:tabs>
      <w:spacing w:before="60"/>
      <w:ind w:left="1800"/>
      <w:jc w:val="right"/>
    </w:pPr>
    <w:r>
      <w:t>801 Travis</w:t>
    </w:r>
    <w:r w:rsidRPr="00D65256">
      <w:t xml:space="preserve">, Suite </w:t>
    </w:r>
    <w:r>
      <w:t>1675</w:t>
    </w:r>
    <w:r w:rsidRPr="00D65256">
      <w:t>, Houston, Texas 77002</w:t>
    </w:r>
  </w:p>
  <w:p w:rsidR="00B82CA4" w:rsidRPr="003019B2" w:rsidRDefault="00B82CA4" w:rsidP="005E6421">
    <w:pPr>
      <w:pStyle w:val="Header"/>
      <w:ind w:left="1800"/>
      <w:jc w:val="right"/>
      <w:rPr>
        <w:lang w:val="fr-FR"/>
      </w:rPr>
    </w:pPr>
    <w:r w:rsidRPr="003019B2">
      <w:rPr>
        <w:lang w:val="fr-FR"/>
      </w:rPr>
      <w:t>Phone</w:t>
    </w:r>
    <w:proofErr w:type="gramStart"/>
    <w:r w:rsidRPr="003019B2">
      <w:rPr>
        <w:lang w:val="fr-FR"/>
      </w:rPr>
      <w:t>:  (</w:t>
    </w:r>
    <w:proofErr w:type="gramEnd"/>
    <w:r w:rsidRPr="003019B2">
      <w:rPr>
        <w:lang w:val="fr-FR"/>
      </w:rPr>
      <w:t>713) 356-0060, Fax:  (713) 356-0067, E-mail: naesb@naesb.org</w:t>
    </w:r>
  </w:p>
  <w:p w:rsidR="00B82CA4" w:rsidRPr="00D65256" w:rsidRDefault="00B82CA4"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rsidR="00B82CA4" w:rsidRDefault="00B82C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5"/>
  </w:num>
  <w:num w:numId="3">
    <w:abstractNumId w:val="7"/>
  </w:num>
  <w:num w:numId="4">
    <w:abstractNumId w:val="10"/>
  </w:num>
  <w:num w:numId="5">
    <w:abstractNumId w:val="1"/>
  </w:num>
  <w:num w:numId="6">
    <w:abstractNumId w:val="9"/>
  </w:num>
  <w:num w:numId="7">
    <w:abstractNumId w:val="0"/>
  </w:num>
  <w:num w:numId="8">
    <w:abstractNumId w:val="2"/>
  </w:num>
  <w:num w:numId="9">
    <w:abstractNumId w:val="3"/>
  </w:num>
  <w:num w:numId="10">
    <w:abstractNumId w:val="8"/>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C11"/>
    <w:rsid w:val="00006CAB"/>
    <w:rsid w:val="000072ED"/>
    <w:rsid w:val="00007D51"/>
    <w:rsid w:val="00011E4D"/>
    <w:rsid w:val="00012783"/>
    <w:rsid w:val="00012A3B"/>
    <w:rsid w:val="00013118"/>
    <w:rsid w:val="000133E0"/>
    <w:rsid w:val="0001360C"/>
    <w:rsid w:val="00013CA2"/>
    <w:rsid w:val="000145BD"/>
    <w:rsid w:val="00014D02"/>
    <w:rsid w:val="00015E38"/>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AE3"/>
    <w:rsid w:val="00033359"/>
    <w:rsid w:val="0003425F"/>
    <w:rsid w:val="00034737"/>
    <w:rsid w:val="00034CE8"/>
    <w:rsid w:val="00036EE3"/>
    <w:rsid w:val="000370A6"/>
    <w:rsid w:val="0004038C"/>
    <w:rsid w:val="00040677"/>
    <w:rsid w:val="000406DE"/>
    <w:rsid w:val="000408F6"/>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3FF"/>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DB7"/>
    <w:rsid w:val="00151E49"/>
    <w:rsid w:val="0015279F"/>
    <w:rsid w:val="00152983"/>
    <w:rsid w:val="00152C64"/>
    <w:rsid w:val="00152EF2"/>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825"/>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8CA"/>
    <w:rsid w:val="001D1E3D"/>
    <w:rsid w:val="001D23A3"/>
    <w:rsid w:val="001D2608"/>
    <w:rsid w:val="001D29AC"/>
    <w:rsid w:val="001D32D0"/>
    <w:rsid w:val="001D333B"/>
    <w:rsid w:val="001D36D2"/>
    <w:rsid w:val="001D3AAF"/>
    <w:rsid w:val="001D401E"/>
    <w:rsid w:val="001D4144"/>
    <w:rsid w:val="001D452A"/>
    <w:rsid w:val="001D45A7"/>
    <w:rsid w:val="001D4E64"/>
    <w:rsid w:val="001D5CDE"/>
    <w:rsid w:val="001D72BE"/>
    <w:rsid w:val="001D74A6"/>
    <w:rsid w:val="001D79FA"/>
    <w:rsid w:val="001E03D0"/>
    <w:rsid w:val="001E2744"/>
    <w:rsid w:val="001E28E6"/>
    <w:rsid w:val="001E2D68"/>
    <w:rsid w:val="001E337E"/>
    <w:rsid w:val="001E349C"/>
    <w:rsid w:val="001E364D"/>
    <w:rsid w:val="001E3B1A"/>
    <w:rsid w:val="001E44D2"/>
    <w:rsid w:val="001E45AC"/>
    <w:rsid w:val="001E474B"/>
    <w:rsid w:val="001E4B13"/>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605E"/>
    <w:rsid w:val="0031629B"/>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334"/>
    <w:rsid w:val="003658B1"/>
    <w:rsid w:val="003670D4"/>
    <w:rsid w:val="003678D2"/>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39E"/>
    <w:rsid w:val="00393474"/>
    <w:rsid w:val="003943BA"/>
    <w:rsid w:val="00395611"/>
    <w:rsid w:val="003956A8"/>
    <w:rsid w:val="00395F80"/>
    <w:rsid w:val="00396358"/>
    <w:rsid w:val="0039799E"/>
    <w:rsid w:val="00397CDD"/>
    <w:rsid w:val="00397F56"/>
    <w:rsid w:val="003A0FB7"/>
    <w:rsid w:val="003A1A48"/>
    <w:rsid w:val="003A1D68"/>
    <w:rsid w:val="003A2988"/>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CB6"/>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9CB"/>
    <w:rsid w:val="003E6D0E"/>
    <w:rsid w:val="003E6F85"/>
    <w:rsid w:val="003E70CC"/>
    <w:rsid w:val="003E7117"/>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414F"/>
    <w:rsid w:val="00424BA1"/>
    <w:rsid w:val="004257D7"/>
    <w:rsid w:val="004258BE"/>
    <w:rsid w:val="00425A0A"/>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40BD1"/>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5A01"/>
    <w:rsid w:val="00456095"/>
    <w:rsid w:val="00456AD3"/>
    <w:rsid w:val="00456D16"/>
    <w:rsid w:val="00456D75"/>
    <w:rsid w:val="004570DF"/>
    <w:rsid w:val="0045714E"/>
    <w:rsid w:val="004576BE"/>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E01AE"/>
    <w:rsid w:val="004E11F7"/>
    <w:rsid w:val="004E120E"/>
    <w:rsid w:val="004E26A9"/>
    <w:rsid w:val="004E4059"/>
    <w:rsid w:val="004E4666"/>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1B32"/>
    <w:rsid w:val="004F1BB9"/>
    <w:rsid w:val="004F1F3D"/>
    <w:rsid w:val="004F1F8B"/>
    <w:rsid w:val="004F335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17C26"/>
    <w:rsid w:val="00520D4D"/>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3BBC"/>
    <w:rsid w:val="00584046"/>
    <w:rsid w:val="0058534A"/>
    <w:rsid w:val="00585829"/>
    <w:rsid w:val="00585CCE"/>
    <w:rsid w:val="00592551"/>
    <w:rsid w:val="00593072"/>
    <w:rsid w:val="0059341F"/>
    <w:rsid w:val="0059396C"/>
    <w:rsid w:val="005940FE"/>
    <w:rsid w:val="00594305"/>
    <w:rsid w:val="00594605"/>
    <w:rsid w:val="0059537D"/>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3992"/>
    <w:rsid w:val="005C3BB7"/>
    <w:rsid w:val="005C4114"/>
    <w:rsid w:val="005C448A"/>
    <w:rsid w:val="005C4790"/>
    <w:rsid w:val="005C4FF8"/>
    <w:rsid w:val="005C51B3"/>
    <w:rsid w:val="005C55C8"/>
    <w:rsid w:val="005C5B82"/>
    <w:rsid w:val="005C6CA5"/>
    <w:rsid w:val="005C6E6A"/>
    <w:rsid w:val="005C6E96"/>
    <w:rsid w:val="005C6F37"/>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1178"/>
    <w:rsid w:val="00601263"/>
    <w:rsid w:val="00601EB8"/>
    <w:rsid w:val="00602332"/>
    <w:rsid w:val="006025E7"/>
    <w:rsid w:val="00602B88"/>
    <w:rsid w:val="00602C05"/>
    <w:rsid w:val="006031DA"/>
    <w:rsid w:val="006032FB"/>
    <w:rsid w:val="0060537B"/>
    <w:rsid w:val="00605984"/>
    <w:rsid w:val="00605D20"/>
    <w:rsid w:val="00605EA9"/>
    <w:rsid w:val="00606665"/>
    <w:rsid w:val="00606A54"/>
    <w:rsid w:val="00606CFC"/>
    <w:rsid w:val="00607093"/>
    <w:rsid w:val="00607F43"/>
    <w:rsid w:val="0061040E"/>
    <w:rsid w:val="006105C1"/>
    <w:rsid w:val="00611A5C"/>
    <w:rsid w:val="00611A93"/>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E9B"/>
    <w:rsid w:val="006430FD"/>
    <w:rsid w:val="00643474"/>
    <w:rsid w:val="006439E6"/>
    <w:rsid w:val="00643D0B"/>
    <w:rsid w:val="00644292"/>
    <w:rsid w:val="00644A69"/>
    <w:rsid w:val="0064531D"/>
    <w:rsid w:val="006453E6"/>
    <w:rsid w:val="006454C4"/>
    <w:rsid w:val="00645D08"/>
    <w:rsid w:val="006460FB"/>
    <w:rsid w:val="00646331"/>
    <w:rsid w:val="0064668C"/>
    <w:rsid w:val="00646731"/>
    <w:rsid w:val="00646E8F"/>
    <w:rsid w:val="00646FCD"/>
    <w:rsid w:val="00647450"/>
    <w:rsid w:val="00650D73"/>
    <w:rsid w:val="006512CC"/>
    <w:rsid w:val="00652098"/>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E5"/>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EE3"/>
    <w:rsid w:val="00676530"/>
    <w:rsid w:val="00676875"/>
    <w:rsid w:val="00676895"/>
    <w:rsid w:val="00676C46"/>
    <w:rsid w:val="0067796C"/>
    <w:rsid w:val="00677B6E"/>
    <w:rsid w:val="00680817"/>
    <w:rsid w:val="006809E0"/>
    <w:rsid w:val="00681D32"/>
    <w:rsid w:val="00681F65"/>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190E"/>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4185"/>
    <w:rsid w:val="00744671"/>
    <w:rsid w:val="007447ED"/>
    <w:rsid w:val="00744A0E"/>
    <w:rsid w:val="0074739F"/>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24A7"/>
    <w:rsid w:val="007E40A8"/>
    <w:rsid w:val="007E5891"/>
    <w:rsid w:val="007E6790"/>
    <w:rsid w:val="007E6A3D"/>
    <w:rsid w:val="007E6AA5"/>
    <w:rsid w:val="007E6C60"/>
    <w:rsid w:val="007E7767"/>
    <w:rsid w:val="007E7B05"/>
    <w:rsid w:val="007E7F68"/>
    <w:rsid w:val="007F0AEB"/>
    <w:rsid w:val="007F0C98"/>
    <w:rsid w:val="007F10C4"/>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5313"/>
    <w:rsid w:val="00835454"/>
    <w:rsid w:val="008359EC"/>
    <w:rsid w:val="00836BC5"/>
    <w:rsid w:val="00836D54"/>
    <w:rsid w:val="00840108"/>
    <w:rsid w:val="008408BC"/>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77D0D"/>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0C"/>
    <w:rsid w:val="008F0883"/>
    <w:rsid w:val="008F0AD4"/>
    <w:rsid w:val="008F0AF6"/>
    <w:rsid w:val="008F0E8A"/>
    <w:rsid w:val="008F0ECF"/>
    <w:rsid w:val="008F10C9"/>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95B"/>
    <w:rsid w:val="00937B28"/>
    <w:rsid w:val="009425F2"/>
    <w:rsid w:val="00942697"/>
    <w:rsid w:val="009429D5"/>
    <w:rsid w:val="00944139"/>
    <w:rsid w:val="00944825"/>
    <w:rsid w:val="00944A7C"/>
    <w:rsid w:val="00944DEC"/>
    <w:rsid w:val="00945369"/>
    <w:rsid w:val="00945CF3"/>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CE2"/>
    <w:rsid w:val="00995E18"/>
    <w:rsid w:val="009963CC"/>
    <w:rsid w:val="00996455"/>
    <w:rsid w:val="009964C4"/>
    <w:rsid w:val="00997FA5"/>
    <w:rsid w:val="009A0054"/>
    <w:rsid w:val="009A2511"/>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C8D"/>
    <w:rsid w:val="009F0139"/>
    <w:rsid w:val="009F0321"/>
    <w:rsid w:val="009F22AC"/>
    <w:rsid w:val="009F3023"/>
    <w:rsid w:val="009F3168"/>
    <w:rsid w:val="009F427D"/>
    <w:rsid w:val="009F4AB1"/>
    <w:rsid w:val="009F4C2B"/>
    <w:rsid w:val="009F529E"/>
    <w:rsid w:val="009F5415"/>
    <w:rsid w:val="009F561D"/>
    <w:rsid w:val="009F5A33"/>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331"/>
    <w:rsid w:val="00A14A7C"/>
    <w:rsid w:val="00A14C53"/>
    <w:rsid w:val="00A14E9D"/>
    <w:rsid w:val="00A156C9"/>
    <w:rsid w:val="00A15EF0"/>
    <w:rsid w:val="00A161EC"/>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617"/>
    <w:rsid w:val="00A653F3"/>
    <w:rsid w:val="00A65578"/>
    <w:rsid w:val="00A65BA5"/>
    <w:rsid w:val="00A661A8"/>
    <w:rsid w:val="00A667A2"/>
    <w:rsid w:val="00A66AFD"/>
    <w:rsid w:val="00A66E51"/>
    <w:rsid w:val="00A66F7B"/>
    <w:rsid w:val="00A671C6"/>
    <w:rsid w:val="00A67588"/>
    <w:rsid w:val="00A6788D"/>
    <w:rsid w:val="00A70357"/>
    <w:rsid w:val="00A712B8"/>
    <w:rsid w:val="00A721C5"/>
    <w:rsid w:val="00A72219"/>
    <w:rsid w:val="00A726F2"/>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83A"/>
    <w:rsid w:val="00A84836"/>
    <w:rsid w:val="00A84B69"/>
    <w:rsid w:val="00A85A81"/>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31D7"/>
    <w:rsid w:val="00AA32BF"/>
    <w:rsid w:val="00AA3D67"/>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F59"/>
    <w:rsid w:val="00B2106D"/>
    <w:rsid w:val="00B2196E"/>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721"/>
    <w:rsid w:val="00B54946"/>
    <w:rsid w:val="00B54DB3"/>
    <w:rsid w:val="00B5505A"/>
    <w:rsid w:val="00B550B3"/>
    <w:rsid w:val="00B550CE"/>
    <w:rsid w:val="00B551CA"/>
    <w:rsid w:val="00B55783"/>
    <w:rsid w:val="00B56005"/>
    <w:rsid w:val="00B56B11"/>
    <w:rsid w:val="00B56D59"/>
    <w:rsid w:val="00B5714B"/>
    <w:rsid w:val="00B57302"/>
    <w:rsid w:val="00B57A98"/>
    <w:rsid w:val="00B60C6D"/>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CA4"/>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7681"/>
    <w:rsid w:val="00B97887"/>
    <w:rsid w:val="00B97A95"/>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30A7C"/>
    <w:rsid w:val="00C30C64"/>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ECB"/>
    <w:rsid w:val="00C37EDC"/>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567B"/>
    <w:rsid w:val="00C55DE9"/>
    <w:rsid w:val="00C56754"/>
    <w:rsid w:val="00C5675B"/>
    <w:rsid w:val="00C56B7D"/>
    <w:rsid w:val="00C57642"/>
    <w:rsid w:val="00C60239"/>
    <w:rsid w:val="00C60DD2"/>
    <w:rsid w:val="00C612D5"/>
    <w:rsid w:val="00C615D8"/>
    <w:rsid w:val="00C61A94"/>
    <w:rsid w:val="00C61DF2"/>
    <w:rsid w:val="00C623C8"/>
    <w:rsid w:val="00C62444"/>
    <w:rsid w:val="00C626B8"/>
    <w:rsid w:val="00C6329C"/>
    <w:rsid w:val="00C63848"/>
    <w:rsid w:val="00C6421A"/>
    <w:rsid w:val="00C645C4"/>
    <w:rsid w:val="00C649C9"/>
    <w:rsid w:val="00C64D3A"/>
    <w:rsid w:val="00C64E5D"/>
    <w:rsid w:val="00C65042"/>
    <w:rsid w:val="00C665C5"/>
    <w:rsid w:val="00C673B5"/>
    <w:rsid w:val="00C67A5C"/>
    <w:rsid w:val="00C67B20"/>
    <w:rsid w:val="00C70098"/>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5E8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B4F"/>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42E"/>
    <w:rsid w:val="00CF66C7"/>
    <w:rsid w:val="00CF66E4"/>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3F9"/>
    <w:rsid w:val="00D15726"/>
    <w:rsid w:val="00D15F17"/>
    <w:rsid w:val="00D160A8"/>
    <w:rsid w:val="00D17041"/>
    <w:rsid w:val="00D1704E"/>
    <w:rsid w:val="00D171ED"/>
    <w:rsid w:val="00D17400"/>
    <w:rsid w:val="00D17D37"/>
    <w:rsid w:val="00D17FFE"/>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4A65"/>
    <w:rsid w:val="00D5565D"/>
    <w:rsid w:val="00D55743"/>
    <w:rsid w:val="00D561BF"/>
    <w:rsid w:val="00D566EC"/>
    <w:rsid w:val="00D575CA"/>
    <w:rsid w:val="00D57823"/>
    <w:rsid w:val="00D57ADE"/>
    <w:rsid w:val="00D57B21"/>
    <w:rsid w:val="00D60422"/>
    <w:rsid w:val="00D60488"/>
    <w:rsid w:val="00D605A3"/>
    <w:rsid w:val="00D60A70"/>
    <w:rsid w:val="00D60B0C"/>
    <w:rsid w:val="00D60D86"/>
    <w:rsid w:val="00D6160E"/>
    <w:rsid w:val="00D618A2"/>
    <w:rsid w:val="00D62409"/>
    <w:rsid w:val="00D6268F"/>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702"/>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35B"/>
    <w:rsid w:val="00DE0690"/>
    <w:rsid w:val="00DE06FA"/>
    <w:rsid w:val="00DE0A29"/>
    <w:rsid w:val="00DE1B9E"/>
    <w:rsid w:val="00DE23B4"/>
    <w:rsid w:val="00DE2954"/>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85D"/>
    <w:rsid w:val="00E10CFB"/>
    <w:rsid w:val="00E10E64"/>
    <w:rsid w:val="00E114C6"/>
    <w:rsid w:val="00E11978"/>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D84"/>
    <w:rsid w:val="00E179D4"/>
    <w:rsid w:val="00E17A65"/>
    <w:rsid w:val="00E17E88"/>
    <w:rsid w:val="00E2044D"/>
    <w:rsid w:val="00E206A6"/>
    <w:rsid w:val="00E22369"/>
    <w:rsid w:val="00E22D7A"/>
    <w:rsid w:val="00E23AE3"/>
    <w:rsid w:val="00E23C52"/>
    <w:rsid w:val="00E2415E"/>
    <w:rsid w:val="00E246F8"/>
    <w:rsid w:val="00E26D00"/>
    <w:rsid w:val="00E27626"/>
    <w:rsid w:val="00E27E26"/>
    <w:rsid w:val="00E27EB4"/>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63"/>
    <w:rsid w:val="00E44748"/>
    <w:rsid w:val="00E45317"/>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A6C"/>
    <w:rsid w:val="00E67B03"/>
    <w:rsid w:val="00E67BEA"/>
    <w:rsid w:val="00E70439"/>
    <w:rsid w:val="00E706EF"/>
    <w:rsid w:val="00E72283"/>
    <w:rsid w:val="00E725F0"/>
    <w:rsid w:val="00E72A6C"/>
    <w:rsid w:val="00E72A7B"/>
    <w:rsid w:val="00E731B6"/>
    <w:rsid w:val="00E7336B"/>
    <w:rsid w:val="00E734BC"/>
    <w:rsid w:val="00E74DAB"/>
    <w:rsid w:val="00E753E7"/>
    <w:rsid w:val="00E757B7"/>
    <w:rsid w:val="00E75ACB"/>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17EC"/>
    <w:rsid w:val="00EA1F44"/>
    <w:rsid w:val="00EA290E"/>
    <w:rsid w:val="00EA2B47"/>
    <w:rsid w:val="00EA2C74"/>
    <w:rsid w:val="00EA2DB3"/>
    <w:rsid w:val="00EA2E5C"/>
    <w:rsid w:val="00EA2EDE"/>
    <w:rsid w:val="00EA2EF9"/>
    <w:rsid w:val="00EA33C8"/>
    <w:rsid w:val="00EA3438"/>
    <w:rsid w:val="00EA3BA7"/>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4DF"/>
    <w:rsid w:val="00EB258B"/>
    <w:rsid w:val="00EB2B20"/>
    <w:rsid w:val="00EB2D72"/>
    <w:rsid w:val="00EB2EB1"/>
    <w:rsid w:val="00EB2F24"/>
    <w:rsid w:val="00EB4727"/>
    <w:rsid w:val="00EB492D"/>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577"/>
    <w:rsid w:val="00EE6632"/>
    <w:rsid w:val="00EE7A48"/>
    <w:rsid w:val="00EF01E1"/>
    <w:rsid w:val="00EF0603"/>
    <w:rsid w:val="00EF14C5"/>
    <w:rsid w:val="00EF1799"/>
    <w:rsid w:val="00EF2362"/>
    <w:rsid w:val="00EF25FB"/>
    <w:rsid w:val="00EF32DD"/>
    <w:rsid w:val="00EF41B8"/>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1"/>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754"/>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3EC"/>
    <w:rsid w:val="00F4152B"/>
    <w:rsid w:val="00F41DA3"/>
    <w:rsid w:val="00F42405"/>
    <w:rsid w:val="00F42670"/>
    <w:rsid w:val="00F431FF"/>
    <w:rsid w:val="00F43282"/>
    <w:rsid w:val="00F4363E"/>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6B5"/>
    <w:rsid w:val="00F5388E"/>
    <w:rsid w:val="00F53FF0"/>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57DB"/>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E61"/>
    <w:rsid w:val="00FE5DFA"/>
    <w:rsid w:val="00FE7129"/>
    <w:rsid w:val="00FE7496"/>
    <w:rsid w:val="00FE78CB"/>
    <w:rsid w:val="00FE7B42"/>
    <w:rsid w:val="00FF00D3"/>
    <w:rsid w:val="00FF03BA"/>
    <w:rsid w:val="00FF0D0B"/>
    <w:rsid w:val="00FF0E47"/>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70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federalreserve.gov/pubs/feds/2011/201131/201131pap.pdf" TargetMode="External"/><Relationship Id="rId1" Type="http://schemas.openxmlformats.org/officeDocument/2006/relationships/hyperlink" Target="https://www.ferc.gov/whats-new/comm-meet/2015/091715/E-2.pdf"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CB170-81EB-40B6-B94E-FE972D09D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Jonathan Booe</cp:lastModifiedBy>
  <cp:revision>2</cp:revision>
  <cp:lastPrinted>2011-11-02T20:41:00Z</cp:lastPrinted>
  <dcterms:created xsi:type="dcterms:W3CDTF">2015-11-19T17:51:00Z</dcterms:created>
  <dcterms:modified xsi:type="dcterms:W3CDTF">2015-11-19T17:51:00Z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