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5"/>
        <w:tabs>
          <w:tab w:val="left" w:pos="900"/>
        </w:tabs>
        <w:spacing w:before="0"/>
        <w:ind w:left="5760" w:firstLine="720"/>
        <w:jc w:val="right"/>
        <w:rPr>
          <w:rFonts w:ascii="Times New Roman" w:hAnsi="Times New Roman" w:cs="Times New Roman"/>
          <w:b w:val="0"/>
        </w:rPr>
      </w:pPr>
      <w:bookmarkStart w:id="0" w:name="_GoBack"/>
      <w:bookmarkEnd w:id="0"/>
      <w:r>
        <w:rPr>
          <w:rFonts w:ascii="Times New Roman" w:hAnsi="Times New Roman" w:cs="Times New Roman"/>
          <w:b w:val="0"/>
        </w:rPr>
        <w:t>August 14, 2012</w:t>
      </w:r>
    </w:p>
    <w:p>
      <w:pPr>
        <w:tabs>
          <w:tab w:val="left" w:pos="900"/>
        </w:tabs>
        <w:spacing w:after="120"/>
        <w:ind w:left="907" w:hanging="907"/>
      </w:pPr>
      <w:r>
        <w:rPr>
          <w:b/>
        </w:rPr>
        <w:t>TO:</w:t>
      </w:r>
      <w:r>
        <w:tab/>
        <w:t>All Interested Parties</w:t>
      </w:r>
    </w:p>
    <w:p>
      <w:pPr>
        <w:tabs>
          <w:tab w:val="left" w:pos="900"/>
        </w:tabs>
        <w:ind w:left="907" w:hanging="907"/>
        <w:jc w:val="both"/>
        <w:rPr>
          <w:bCs/>
        </w:rPr>
      </w:pPr>
      <w:r>
        <w:rPr>
          <w:b/>
          <w:bCs/>
        </w:rPr>
        <w:t>FROM:</w:t>
      </w:r>
      <w:r>
        <w:rPr>
          <w:b/>
          <w:bCs/>
        </w:rPr>
        <w:tab/>
      </w:r>
      <w:r>
        <w:rPr>
          <w:b/>
          <w:bCs/>
        </w:rPr>
        <w:tab/>
      </w:r>
      <w:r>
        <w:rPr>
          <w:bCs/>
        </w:rPr>
        <w:t>Jonathan Booe, NAESB Deputy Director</w:t>
      </w:r>
    </w:p>
    <w:p>
      <w:pPr>
        <w:pBdr>
          <w:bottom w:val="single" w:sz="12" w:space="1" w:color="auto"/>
        </w:pBdr>
        <w:tabs>
          <w:tab w:val="left" w:pos="900"/>
        </w:tabs>
        <w:spacing w:before="120"/>
        <w:ind w:left="900" w:hanging="900"/>
        <w:jc w:val="both"/>
        <w:rPr>
          <w:bCs/>
        </w:rPr>
      </w:pPr>
      <w:r>
        <w:rPr>
          <w:b/>
          <w:bCs/>
        </w:rPr>
        <w:t>RE:</w:t>
      </w:r>
      <w:r>
        <w:rPr>
          <w:b/>
          <w:bCs/>
        </w:rPr>
        <w:tab/>
        <w:t>Electric Industry Registry Update</w:t>
      </w:r>
    </w:p>
    <w:p>
      <w:pPr>
        <w:jc w:val="center"/>
        <w:rPr>
          <w:b/>
        </w:rPr>
      </w:pPr>
    </w:p>
    <w:p>
      <w:pPr>
        <w:spacing w:before="120"/>
        <w:rPr>
          <w:b/>
          <w:bCs/>
        </w:rPr>
      </w:pPr>
      <w:r>
        <w:rPr>
          <w:b/>
        </w:rPr>
        <w:t>Update on the Electric Industry Registry Efforts –</w:t>
      </w:r>
    </w:p>
    <w:p>
      <w:pPr>
        <w:spacing w:before="120"/>
        <w:rPr>
          <w:bCs/>
        </w:rPr>
      </w:pPr>
      <w:r>
        <w:rPr>
          <w:bCs/>
        </w:rPr>
        <w:t xml:space="preserve">The NAESB office continues to work with both OATI and NERC on the transition of the NERC TSIN Registry to the NAESB Electric Industry Registry (EIR).  </w:t>
      </w:r>
    </w:p>
    <w:p>
      <w:pPr>
        <w:spacing w:before="120"/>
        <w:rPr>
          <w:bCs/>
        </w:rPr>
      </w:pPr>
      <w:r>
        <w:rPr>
          <w:bCs/>
        </w:rPr>
        <w:t xml:space="preserve">Parallel testing of the new system began on May 14 and to date over 1067 entities-roles have registered in the new EIR.  According to estimates calculated by OATI, the 1067 entities account for nearly 96% of all entities anticipated to register in the new system.  OATI is in the process of wrapping up their efforts to individually contact each of the remaining entities with active eTags in the current TSIN registry about registration.  Once the contact efforts are complete, NERC, NAESB and OATI will meet to discuss the next steps regarding entity registration and the process of verifying the source/sink and PoR/PoD points in the new system.  </w:t>
      </w:r>
    </w:p>
    <w:p>
      <w:pPr>
        <w:spacing w:before="120"/>
        <w:rPr>
          <w:bCs/>
        </w:rPr>
      </w:pPr>
      <w:r>
        <w:rPr>
          <w:bCs/>
        </w:rPr>
        <w:t>At the request of the Joint Interchange Scheduling Subcommittee (JESS), NAESB has begun posting registration statistics information on a more frequent basis on the EIR website (</w:t>
      </w:r>
      <w:hyperlink r:id="rId8" w:history="1">
        <w:r>
          <w:rPr>
            <w:rStyle w:val="Hyperlink"/>
            <w:bCs/>
          </w:rPr>
          <w:t>http://www.naesb.org/weq/weq_eir.asp</w:t>
        </w:r>
      </w:hyperlink>
      <w:r>
        <w:rPr>
          <w:bCs/>
        </w:rPr>
        <w:t>) and will also post additional reports concerning the unregistered source/sink and PoR/PoD points contained in the TSIN.</w:t>
      </w:r>
    </w:p>
    <w:p>
      <w:pPr>
        <w:spacing w:before="120"/>
        <w:rPr>
          <w:bCs/>
        </w:rPr>
      </w:pPr>
      <w:r>
        <w:rPr>
          <w:bCs/>
        </w:rPr>
        <w:t>NAESB and OATI have continued to hold weekly calls to review the status of issues identified during the parallel test of the new system and make modifications when needed through the OATI web support system.  The co-chairs of the JESS have participated in these calls and have been absolutely essential in resolving the issues identified.   OATI and NAESB are currently finalizing the 24 hour emergency publication process requested by the JESS and are continuing to discuss possible solutions for making the registry publication publically available without  compromising the security of the webRegistry system. The parallel test is scheduled to run for six months in duration but the cutover date will be set once all issues have been resolved.  NERC and NAESB will work together to make certain that the registry publication is meeting the needs of the industry and provide ample notice to the industry before cutting over to the new system.</w:t>
      </w:r>
    </w:p>
    <w:sectPr>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top w:val="single" w:sz="12" w:space="1" w:color="auto"/>
      </w:pBdr>
      <w:jc w:val="right"/>
      <w:rPr>
        <w:sz w:val="18"/>
        <w:szCs w:val="18"/>
      </w:rPr>
    </w:pPr>
    <w:r>
      <w:rPr>
        <w:sz w:val="18"/>
        <w:szCs w:val="18"/>
      </w:rPr>
      <w:t>NAESB Electric Industry Registry Update</w:t>
    </w:r>
  </w:p>
  <w:p>
    <w:pPr>
      <w:pStyle w:val="Footer"/>
      <w:pBdr>
        <w:top w:val="single" w:sz="12"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pPr>
      <w:pStyle w:val="Header"/>
      <w:tabs>
        <w:tab w:val="left" w:pos="680"/>
        <w:tab w:val="right" w:pos="9810"/>
      </w:tabs>
      <w:spacing w:before="60"/>
      <w:ind w:left="1800"/>
      <w:jc w:val="right"/>
    </w:pPr>
    <w:r>
      <w:t xml:space="preserve">801 Travis,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t>Suite</w:t>
            </w:r>
          </w:smartTag>
        </w:smartTag>
        <w:r>
          <w:t xml:space="preserve"> 1675</w:t>
        </w:r>
      </w:smartTag>
    </w:smartTag>
    <w:r>
      <w:t xml:space="preserve">, </w:t>
    </w:r>
    <w:smartTag w:uri="urn:schemas-microsoft-com:office:smarttags" w:element="place">
      <w:smartTag w:uri="urn:schemas-microsoft-com:office:smarttags" w:element="City">
        <w:r>
          <w:t>Houston</w:t>
        </w:r>
      </w:smartTag>
      <w:r>
        <w:t xml:space="preserve">, </w:t>
      </w:r>
      <w:smartTag w:uri="urn:schemas-microsoft-com:office:smarttags" w:element="place">
        <w:r>
          <w:t>Texas</w:t>
        </w:r>
      </w:smartTag>
      <w:r>
        <w:t xml:space="preserve"> </w:t>
      </w:r>
      <w:smartTag w:uri="urn:schemas-microsoft-com:office:smarttags" w:element="place">
        <w:r>
          <w:t>77002</w:t>
        </w:r>
      </w:smartTag>
    </w:smartTag>
  </w:p>
  <w:p>
    <w:pPr>
      <w:pStyle w:val="Header"/>
      <w:ind w:left="1800"/>
      <w:jc w:val="right"/>
      <w:rPr>
        <w:lang w:val="fr-FR"/>
      </w:rPr>
    </w:pPr>
    <w:r>
      <w:rPr>
        <w:lang w:val="fr-FR"/>
      </w:rPr>
      <w:t>Phone:  (713) 356-0060, Fax:  (713) 356-0067, E-mail: naesb@naesb.org</w:t>
    </w:r>
  </w:p>
  <w:p>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9"/>
  </w:num>
  <w:num w:numId="5">
    <w:abstractNumId w:val="1"/>
  </w:num>
  <w:num w:numId="6">
    <w:abstractNumId w:val="8"/>
  </w:num>
  <w:num w:numId="7">
    <w:abstractNumId w:val="0"/>
  </w:num>
  <w:num w:numId="8">
    <w:abstractNumId w:val="2"/>
  </w:num>
  <w:num w:numId="9">
    <w:abstractNumId w:val="3"/>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9"/>
    <w:qFormat/>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sz w:val="20"/>
      <w:szCs w:val="20"/>
    </w:rPr>
  </w:style>
  <w:style w:type="character" w:styleId="Hyperlink">
    <w:name w:val="Hyperlink"/>
    <w:uiPriority w:val="99"/>
    <w:rPr>
      <w:rFonts w:cs="Times New Roman"/>
      <w:color w:val="0000FF"/>
      <w:u w:val="single"/>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rPr>
      <w:sz w:val="0"/>
      <w:szCs w:val="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Pr>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9"/>
    <w:qFormat/>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sz w:val="20"/>
      <w:szCs w:val="20"/>
    </w:rPr>
  </w:style>
  <w:style w:type="character" w:styleId="Hyperlink">
    <w:name w:val="Hyperlink"/>
    <w:uiPriority w:val="99"/>
    <w:rPr>
      <w:rFonts w:cs="Times New Roman"/>
      <w:color w:val="0000FF"/>
      <w:u w:val="single"/>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rPr>
      <w:sz w:val="0"/>
      <w:szCs w:val="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esb.org/weq/weq_eir.as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1968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Veronica Thomason</cp:lastModifiedBy>
  <cp:revision>2</cp:revision>
  <cp:lastPrinted>2011-11-02T20:41:00Z</cp:lastPrinted>
  <dcterms:created xsi:type="dcterms:W3CDTF">2012-08-28T16:30:00Z</dcterms:created>
  <dcterms:modified xsi:type="dcterms:W3CDTF">2012-08-28T16:30:00Z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