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BF" w:rsidRPr="00510AE7" w:rsidRDefault="00F87CF3" w:rsidP="007478E3">
      <w:pPr>
        <w:spacing w:after="60"/>
        <w:rPr>
          <w:rFonts w:ascii="Arial" w:hAnsi="Arial" w:cs="Arial"/>
          <w:color w:val="000000"/>
          <w:sz w:val="20"/>
          <w:szCs w:val="20"/>
        </w:rPr>
      </w:pPr>
      <w:r w:rsidRPr="00510AE7">
        <w:rPr>
          <w:rFonts w:ascii="Arial" w:hAnsi="Arial" w:cs="Arial"/>
          <w:color w:val="000000"/>
          <w:sz w:val="20"/>
          <w:szCs w:val="20"/>
        </w:rPr>
        <w:t xml:space="preserve">The </w:t>
      </w:r>
      <w:r w:rsidR="00FC06BF" w:rsidRPr="00510AE7">
        <w:rPr>
          <w:rFonts w:ascii="Arial" w:hAnsi="Arial" w:cs="Arial"/>
          <w:color w:val="000000"/>
          <w:sz w:val="20"/>
          <w:szCs w:val="20"/>
        </w:rPr>
        <w:t xml:space="preserve">Dodd-Frank Wall Street Reform and Consumer Protection Act (Act) was signed into law by the President on July 21, 2010.  </w:t>
      </w:r>
      <w:r w:rsidR="00D21D8A" w:rsidRPr="00510AE7">
        <w:rPr>
          <w:rFonts w:ascii="Arial" w:hAnsi="Arial" w:cs="Arial"/>
          <w:color w:val="000000"/>
          <w:sz w:val="20"/>
          <w:szCs w:val="20"/>
        </w:rPr>
        <w:t>This summary is from the perspective of non-financial end-user which is believed to comprise most of NAESB membership that would be subject to the Act.</w:t>
      </w:r>
      <w:r w:rsidR="00542BA2" w:rsidRPr="00510AE7">
        <w:rPr>
          <w:rFonts w:ascii="Arial" w:hAnsi="Arial" w:cs="Arial"/>
          <w:color w:val="000000"/>
          <w:sz w:val="20"/>
          <w:szCs w:val="20"/>
        </w:rPr>
        <w:t xml:space="preserve">  </w:t>
      </w:r>
      <w:r w:rsidR="002F5210">
        <w:rPr>
          <w:rFonts w:ascii="Arial" w:hAnsi="Arial" w:cs="Arial"/>
          <w:color w:val="000000"/>
          <w:sz w:val="20"/>
          <w:szCs w:val="20"/>
        </w:rPr>
        <w:t>The u</w:t>
      </w:r>
      <w:bookmarkStart w:id="0" w:name="_GoBack"/>
      <w:bookmarkEnd w:id="0"/>
      <w:r w:rsidR="00542BA2" w:rsidRPr="00510AE7">
        <w:rPr>
          <w:rFonts w:ascii="Arial" w:hAnsi="Arial" w:cs="Arial"/>
          <w:color w:val="000000"/>
          <w:sz w:val="20"/>
          <w:szCs w:val="20"/>
        </w:rPr>
        <w:t>pdates</w:t>
      </w:r>
      <w:r w:rsidR="00D53307" w:rsidRPr="00510AE7">
        <w:rPr>
          <w:rFonts w:ascii="Arial" w:hAnsi="Arial" w:cs="Arial"/>
          <w:color w:val="000000"/>
          <w:sz w:val="20"/>
          <w:szCs w:val="20"/>
        </w:rPr>
        <w:t xml:space="preserve"> since March</w:t>
      </w:r>
      <w:r w:rsidR="00FF73AD" w:rsidRPr="00510AE7">
        <w:rPr>
          <w:rFonts w:ascii="Arial" w:hAnsi="Arial" w:cs="Arial"/>
          <w:color w:val="000000"/>
          <w:sz w:val="20"/>
          <w:szCs w:val="20"/>
        </w:rPr>
        <w:t xml:space="preserve"> 14,</w:t>
      </w:r>
      <w:r w:rsidR="00D53307" w:rsidRPr="00510AE7">
        <w:rPr>
          <w:rFonts w:ascii="Arial" w:hAnsi="Arial" w:cs="Arial"/>
          <w:color w:val="000000"/>
          <w:sz w:val="20"/>
          <w:szCs w:val="20"/>
        </w:rPr>
        <w:t xml:space="preserve"> </w:t>
      </w:r>
      <w:r w:rsidR="00FF73AD" w:rsidRPr="00510AE7">
        <w:rPr>
          <w:rFonts w:ascii="Arial" w:hAnsi="Arial" w:cs="Arial"/>
          <w:color w:val="000000"/>
          <w:sz w:val="20"/>
          <w:szCs w:val="20"/>
        </w:rPr>
        <w:t>2012</w:t>
      </w:r>
      <w:r w:rsidR="0026534E">
        <w:rPr>
          <w:rFonts w:ascii="Arial" w:hAnsi="Arial" w:cs="Arial"/>
          <w:color w:val="000000"/>
          <w:sz w:val="20"/>
          <w:szCs w:val="20"/>
        </w:rPr>
        <w:t xml:space="preserve"> are</w:t>
      </w:r>
      <w:r w:rsidR="00542BA2" w:rsidRPr="00510AE7">
        <w:rPr>
          <w:rFonts w:ascii="Arial" w:hAnsi="Arial" w:cs="Arial"/>
          <w:color w:val="000000"/>
          <w:sz w:val="20"/>
          <w:szCs w:val="20"/>
        </w:rPr>
        <w:t xml:space="preserve"> noted by </w:t>
      </w:r>
      <w:r w:rsidR="00542BA2" w:rsidRPr="00510AE7">
        <w:rPr>
          <w:rFonts w:ascii="Arial" w:hAnsi="Arial" w:cs="Arial"/>
          <w:b/>
          <w:color w:val="000000"/>
          <w:sz w:val="20"/>
          <w:szCs w:val="20"/>
          <w:u w:val="single"/>
        </w:rPr>
        <w:t>bold underlined text.</w:t>
      </w:r>
    </w:p>
    <w:p w:rsidR="00FC06BF" w:rsidRPr="00DB2297" w:rsidRDefault="00D21D8A" w:rsidP="007478E3">
      <w:pPr>
        <w:spacing w:after="120"/>
        <w:rPr>
          <w:rFonts w:ascii="Arial" w:hAnsi="Arial" w:cs="Arial"/>
          <w:b/>
          <w:color w:val="000000"/>
          <w:sz w:val="22"/>
          <w:szCs w:val="22"/>
          <w:u w:val="single"/>
        </w:rPr>
      </w:pPr>
      <w:r w:rsidRPr="00DB2297">
        <w:rPr>
          <w:rFonts w:ascii="Arial" w:hAnsi="Arial" w:cs="Arial"/>
          <w:b/>
          <w:color w:val="000000"/>
          <w:sz w:val="22"/>
          <w:szCs w:val="22"/>
          <w:u w:val="single"/>
        </w:rPr>
        <w:t>Background:</w:t>
      </w:r>
    </w:p>
    <w:p w:rsidR="00FC06BF" w:rsidRPr="00510AE7" w:rsidRDefault="00526D2C" w:rsidP="007478E3">
      <w:pPr>
        <w:spacing w:after="60"/>
        <w:rPr>
          <w:rFonts w:ascii="Arial" w:hAnsi="Arial" w:cs="Arial"/>
          <w:color w:val="000000"/>
          <w:sz w:val="20"/>
          <w:szCs w:val="20"/>
        </w:rPr>
      </w:pPr>
      <w:r w:rsidRPr="00510AE7">
        <w:rPr>
          <w:rFonts w:ascii="Arial" w:hAnsi="Arial" w:cs="Arial"/>
          <w:color w:val="000000"/>
          <w:sz w:val="20"/>
          <w:szCs w:val="20"/>
        </w:rPr>
        <w:t>T</w:t>
      </w:r>
      <w:r w:rsidR="00350DAC" w:rsidRPr="00510AE7">
        <w:rPr>
          <w:rFonts w:ascii="Arial" w:hAnsi="Arial" w:cs="Arial"/>
          <w:color w:val="000000"/>
          <w:sz w:val="20"/>
          <w:szCs w:val="20"/>
        </w:rPr>
        <w:t xml:space="preserve">he </w:t>
      </w:r>
      <w:r w:rsidR="00FC06BF" w:rsidRPr="00510AE7">
        <w:rPr>
          <w:rFonts w:ascii="Arial" w:hAnsi="Arial" w:cs="Arial"/>
          <w:color w:val="000000"/>
          <w:sz w:val="20"/>
          <w:szCs w:val="20"/>
        </w:rPr>
        <w:t>Commodity Futures Trading Commission (CFTC) issued a</w:t>
      </w:r>
      <w:r w:rsidR="001F308A" w:rsidRPr="00510AE7">
        <w:rPr>
          <w:rFonts w:ascii="Arial" w:hAnsi="Arial" w:cs="Arial"/>
          <w:color w:val="000000"/>
          <w:sz w:val="20"/>
          <w:szCs w:val="20"/>
        </w:rPr>
        <w:t>n</w:t>
      </w:r>
      <w:r w:rsidR="00FC06BF" w:rsidRPr="00510AE7">
        <w:rPr>
          <w:rFonts w:ascii="Arial" w:hAnsi="Arial" w:cs="Arial"/>
          <w:color w:val="000000"/>
          <w:sz w:val="20"/>
          <w:szCs w:val="20"/>
        </w:rPr>
        <w:t xml:space="preserve"> order </w:t>
      </w:r>
      <w:r w:rsidR="00350DAC" w:rsidRPr="00510AE7">
        <w:rPr>
          <w:rFonts w:ascii="Arial" w:hAnsi="Arial" w:cs="Arial"/>
          <w:color w:val="000000"/>
          <w:sz w:val="20"/>
          <w:szCs w:val="20"/>
        </w:rPr>
        <w:t xml:space="preserve">amending the previously-issued </w:t>
      </w:r>
      <w:r w:rsidR="00FC06BF" w:rsidRPr="00510AE7">
        <w:rPr>
          <w:rFonts w:ascii="Arial" w:hAnsi="Arial" w:cs="Arial"/>
          <w:color w:val="000000"/>
          <w:sz w:val="20"/>
          <w:szCs w:val="20"/>
        </w:rPr>
        <w:t xml:space="preserve">“Temporary Exemptive Relief” from </w:t>
      </w:r>
      <w:r w:rsidR="00350DAC" w:rsidRPr="00510AE7">
        <w:rPr>
          <w:rFonts w:ascii="Arial" w:hAnsi="Arial" w:cs="Arial"/>
          <w:color w:val="000000"/>
          <w:sz w:val="20"/>
          <w:szCs w:val="20"/>
        </w:rPr>
        <w:t xml:space="preserve">certain provisions of </w:t>
      </w:r>
      <w:r w:rsidR="00FC06BF" w:rsidRPr="00510AE7">
        <w:rPr>
          <w:rFonts w:ascii="Arial" w:hAnsi="Arial" w:cs="Arial"/>
          <w:color w:val="000000"/>
          <w:sz w:val="20"/>
          <w:szCs w:val="20"/>
        </w:rPr>
        <w:t xml:space="preserve">the Act </w:t>
      </w:r>
      <w:r w:rsidR="00350DAC" w:rsidRPr="00510AE7">
        <w:rPr>
          <w:rFonts w:ascii="Arial" w:hAnsi="Arial" w:cs="Arial"/>
          <w:color w:val="000000"/>
          <w:sz w:val="20"/>
          <w:szCs w:val="20"/>
        </w:rPr>
        <w:t xml:space="preserve">that would have otherwise taken </w:t>
      </w:r>
      <w:r w:rsidR="00FC06BF" w:rsidRPr="00510AE7">
        <w:rPr>
          <w:rFonts w:ascii="Arial" w:hAnsi="Arial" w:cs="Arial"/>
          <w:color w:val="000000"/>
          <w:sz w:val="20"/>
          <w:szCs w:val="20"/>
        </w:rPr>
        <w:t>effect o</w:t>
      </w:r>
      <w:r w:rsidR="00350DAC" w:rsidRPr="00510AE7">
        <w:rPr>
          <w:rFonts w:ascii="Arial" w:hAnsi="Arial" w:cs="Arial"/>
          <w:color w:val="000000"/>
          <w:sz w:val="20"/>
          <w:szCs w:val="20"/>
        </w:rPr>
        <w:t>n</w:t>
      </w:r>
      <w:r w:rsidR="00FC06BF" w:rsidRPr="00510AE7">
        <w:rPr>
          <w:rFonts w:ascii="Arial" w:hAnsi="Arial" w:cs="Arial"/>
          <w:color w:val="000000"/>
          <w:sz w:val="20"/>
          <w:szCs w:val="20"/>
        </w:rPr>
        <w:t xml:space="preserve"> July 16, 2011.  The </w:t>
      </w:r>
      <w:r w:rsidR="00350DAC" w:rsidRPr="00510AE7">
        <w:rPr>
          <w:rFonts w:ascii="Arial" w:hAnsi="Arial" w:cs="Arial"/>
          <w:color w:val="000000"/>
          <w:sz w:val="20"/>
          <w:szCs w:val="20"/>
        </w:rPr>
        <w:t xml:space="preserve">temporary </w:t>
      </w:r>
      <w:r w:rsidR="00FC06BF" w:rsidRPr="00510AE7">
        <w:rPr>
          <w:rFonts w:ascii="Arial" w:hAnsi="Arial" w:cs="Arial"/>
          <w:color w:val="000000"/>
          <w:sz w:val="20"/>
          <w:szCs w:val="20"/>
        </w:rPr>
        <w:t>exemptive relief appl</w:t>
      </w:r>
      <w:r w:rsidR="00350DAC" w:rsidRPr="00510AE7">
        <w:rPr>
          <w:rFonts w:ascii="Arial" w:hAnsi="Arial" w:cs="Arial"/>
          <w:color w:val="000000"/>
          <w:sz w:val="20"/>
          <w:szCs w:val="20"/>
        </w:rPr>
        <w:t>ies</w:t>
      </w:r>
      <w:r w:rsidR="00FC06BF" w:rsidRPr="00510AE7">
        <w:rPr>
          <w:rFonts w:ascii="Arial" w:hAnsi="Arial" w:cs="Arial"/>
          <w:color w:val="000000"/>
          <w:sz w:val="20"/>
          <w:szCs w:val="20"/>
        </w:rPr>
        <w:t xml:space="preserve"> to provisions of the Act that require rulemakings.  </w:t>
      </w:r>
      <w:r w:rsidR="00350DAC" w:rsidRPr="00510AE7">
        <w:rPr>
          <w:rFonts w:ascii="Arial" w:hAnsi="Arial" w:cs="Arial"/>
          <w:b/>
          <w:color w:val="000000"/>
          <w:sz w:val="20"/>
          <w:szCs w:val="20"/>
          <w:u w:val="single"/>
        </w:rPr>
        <w:t>The temporary exemptive relief will expire upon the</w:t>
      </w:r>
      <w:r w:rsidRPr="00510AE7">
        <w:rPr>
          <w:rFonts w:ascii="Arial" w:hAnsi="Arial" w:cs="Arial"/>
          <w:b/>
          <w:color w:val="000000"/>
          <w:sz w:val="20"/>
          <w:szCs w:val="20"/>
          <w:u w:val="single"/>
        </w:rPr>
        <w:t xml:space="preserve"> earlier of the </w:t>
      </w:r>
      <w:r w:rsidR="00350DAC" w:rsidRPr="00510AE7">
        <w:rPr>
          <w:rFonts w:ascii="Arial" w:hAnsi="Arial" w:cs="Arial"/>
          <w:b/>
          <w:color w:val="000000"/>
          <w:sz w:val="20"/>
          <w:szCs w:val="20"/>
          <w:u w:val="single"/>
        </w:rPr>
        <w:t xml:space="preserve">effective date of the relevant </w:t>
      </w:r>
      <w:r w:rsidR="00D53307" w:rsidRPr="00510AE7">
        <w:rPr>
          <w:rFonts w:ascii="Arial" w:hAnsi="Arial" w:cs="Arial"/>
          <w:b/>
          <w:color w:val="000000"/>
          <w:sz w:val="20"/>
          <w:szCs w:val="20"/>
          <w:u w:val="single"/>
        </w:rPr>
        <w:t>F</w:t>
      </w:r>
      <w:r w:rsidR="00350DAC" w:rsidRPr="00510AE7">
        <w:rPr>
          <w:rFonts w:ascii="Arial" w:hAnsi="Arial" w:cs="Arial"/>
          <w:b/>
          <w:color w:val="000000"/>
          <w:sz w:val="20"/>
          <w:szCs w:val="20"/>
          <w:u w:val="single"/>
        </w:rPr>
        <w:t>inal</w:t>
      </w:r>
      <w:r w:rsidR="00C65C52" w:rsidRPr="00510AE7">
        <w:rPr>
          <w:rFonts w:ascii="Arial" w:hAnsi="Arial" w:cs="Arial"/>
          <w:b/>
          <w:color w:val="000000"/>
          <w:sz w:val="20"/>
          <w:szCs w:val="20"/>
          <w:u w:val="single"/>
        </w:rPr>
        <w:t xml:space="preserve"> </w:t>
      </w:r>
      <w:r w:rsidR="00D53307" w:rsidRPr="00510AE7">
        <w:rPr>
          <w:rFonts w:ascii="Arial" w:hAnsi="Arial" w:cs="Arial"/>
          <w:b/>
          <w:color w:val="000000"/>
          <w:sz w:val="20"/>
          <w:szCs w:val="20"/>
          <w:u w:val="single"/>
        </w:rPr>
        <w:t>R</w:t>
      </w:r>
      <w:r w:rsidR="00C65C52" w:rsidRPr="00510AE7">
        <w:rPr>
          <w:rFonts w:ascii="Arial" w:hAnsi="Arial" w:cs="Arial"/>
          <w:b/>
          <w:color w:val="000000"/>
          <w:sz w:val="20"/>
          <w:szCs w:val="20"/>
          <w:u w:val="single"/>
        </w:rPr>
        <w:t>ules or</w:t>
      </w:r>
      <w:r w:rsidR="00D21D8A" w:rsidRPr="00510AE7">
        <w:rPr>
          <w:rFonts w:ascii="Arial" w:hAnsi="Arial" w:cs="Arial"/>
          <w:b/>
          <w:color w:val="000000"/>
          <w:sz w:val="20"/>
          <w:szCs w:val="20"/>
          <w:u w:val="single"/>
        </w:rPr>
        <w:t xml:space="preserve"> </w:t>
      </w:r>
      <w:r w:rsidRPr="00510AE7">
        <w:rPr>
          <w:rFonts w:ascii="Arial" w:hAnsi="Arial" w:cs="Arial"/>
          <w:b/>
          <w:color w:val="000000"/>
          <w:sz w:val="20"/>
          <w:szCs w:val="20"/>
          <w:u w:val="single"/>
        </w:rPr>
        <w:t>December 31, 2012</w:t>
      </w:r>
      <w:r w:rsidR="00D21D8A" w:rsidRPr="00510AE7">
        <w:rPr>
          <w:rFonts w:ascii="Arial" w:hAnsi="Arial" w:cs="Arial"/>
          <w:b/>
          <w:color w:val="000000"/>
          <w:sz w:val="20"/>
          <w:szCs w:val="20"/>
          <w:u w:val="single"/>
        </w:rPr>
        <w:t>.</w:t>
      </w:r>
      <w:r w:rsidR="00D21D8A" w:rsidRPr="00510AE7">
        <w:rPr>
          <w:rFonts w:ascii="Arial" w:hAnsi="Arial" w:cs="Arial"/>
          <w:color w:val="000000"/>
          <w:sz w:val="20"/>
          <w:szCs w:val="20"/>
        </w:rPr>
        <w:t xml:space="preserve">  </w:t>
      </w:r>
    </w:p>
    <w:p w:rsidR="00855F3A" w:rsidRPr="00510AE7" w:rsidRDefault="00D21D8A" w:rsidP="007478E3">
      <w:pPr>
        <w:spacing w:after="60"/>
        <w:rPr>
          <w:rStyle w:val="Strong"/>
          <w:rFonts w:ascii="Arial" w:hAnsi="Arial" w:cs="Arial"/>
          <w:b w:val="0"/>
          <w:color w:val="000000"/>
          <w:sz w:val="20"/>
          <w:szCs w:val="20"/>
        </w:rPr>
      </w:pPr>
      <w:r w:rsidRPr="00510AE7">
        <w:rPr>
          <w:rStyle w:val="Strong"/>
          <w:rFonts w:ascii="Arial" w:hAnsi="Arial" w:cs="Arial"/>
          <w:b w:val="0"/>
          <w:color w:val="000000"/>
          <w:sz w:val="20"/>
          <w:szCs w:val="20"/>
        </w:rPr>
        <w:t xml:space="preserve">Generally, </w:t>
      </w:r>
      <w:r w:rsidR="00985ED3" w:rsidRPr="00510AE7">
        <w:rPr>
          <w:rStyle w:val="Strong"/>
          <w:rFonts w:ascii="Arial" w:hAnsi="Arial" w:cs="Arial"/>
          <w:b w:val="0"/>
          <w:color w:val="000000"/>
          <w:sz w:val="20"/>
          <w:szCs w:val="20"/>
        </w:rPr>
        <w:t>the rules</w:t>
      </w:r>
      <w:r w:rsidR="00D16119">
        <w:rPr>
          <w:rStyle w:val="Strong"/>
          <w:rFonts w:ascii="Arial" w:hAnsi="Arial" w:cs="Arial"/>
          <w:b w:val="0"/>
          <w:color w:val="000000"/>
          <w:sz w:val="20"/>
          <w:szCs w:val="20"/>
        </w:rPr>
        <w:t xml:space="preserve"> </w:t>
      </w:r>
      <w:r w:rsidR="00FC06BF" w:rsidRPr="00510AE7">
        <w:rPr>
          <w:rStyle w:val="Strong"/>
          <w:rFonts w:ascii="Arial" w:hAnsi="Arial" w:cs="Arial"/>
          <w:b w:val="0"/>
          <w:color w:val="000000"/>
          <w:sz w:val="20"/>
          <w:szCs w:val="20"/>
        </w:rPr>
        <w:t>appear to be manageable by end-users, but would impose an additional administrative and cost burden</w:t>
      </w:r>
      <w:r w:rsidR="0026534E">
        <w:rPr>
          <w:rStyle w:val="Strong"/>
          <w:rFonts w:ascii="Arial" w:hAnsi="Arial" w:cs="Arial"/>
          <w:b w:val="0"/>
          <w:color w:val="000000"/>
          <w:sz w:val="20"/>
          <w:szCs w:val="20"/>
        </w:rPr>
        <w:t>s</w:t>
      </w:r>
      <w:r w:rsidR="00FC06BF" w:rsidRPr="00510AE7">
        <w:rPr>
          <w:rStyle w:val="Strong"/>
          <w:rFonts w:ascii="Arial" w:hAnsi="Arial" w:cs="Arial"/>
          <w:b w:val="0"/>
          <w:color w:val="000000"/>
          <w:sz w:val="20"/>
          <w:szCs w:val="20"/>
        </w:rPr>
        <w:t xml:space="preserve"> associated with establishing and maintaining an end-user's eligibility to use the end-user exception</w:t>
      </w:r>
      <w:r w:rsidR="00350DAC" w:rsidRPr="00510AE7">
        <w:rPr>
          <w:rStyle w:val="Strong"/>
          <w:rFonts w:ascii="Arial" w:hAnsi="Arial" w:cs="Arial"/>
          <w:b w:val="0"/>
          <w:color w:val="000000"/>
          <w:sz w:val="20"/>
          <w:szCs w:val="20"/>
        </w:rPr>
        <w:t xml:space="preserve"> from the mandatory clearing requirement</w:t>
      </w:r>
      <w:r w:rsidR="00FC06BF" w:rsidRPr="00510AE7">
        <w:rPr>
          <w:rStyle w:val="Strong"/>
          <w:rFonts w:ascii="Arial" w:hAnsi="Arial" w:cs="Arial"/>
          <w:b w:val="0"/>
          <w:color w:val="000000"/>
          <w:sz w:val="20"/>
          <w:szCs w:val="20"/>
        </w:rPr>
        <w:t xml:space="preserve">.  </w:t>
      </w:r>
      <w:r w:rsidR="00542BA2" w:rsidRPr="00510AE7">
        <w:rPr>
          <w:rStyle w:val="Strong"/>
          <w:rFonts w:ascii="Arial" w:hAnsi="Arial" w:cs="Arial"/>
          <w:b w:val="0"/>
          <w:color w:val="000000"/>
          <w:sz w:val="20"/>
          <w:szCs w:val="20"/>
        </w:rPr>
        <w:t>T</w:t>
      </w:r>
      <w:r w:rsidR="00FC06BF" w:rsidRPr="00510AE7">
        <w:rPr>
          <w:rStyle w:val="Strong"/>
          <w:rFonts w:ascii="Arial" w:hAnsi="Arial" w:cs="Arial"/>
          <w:b w:val="0"/>
          <w:color w:val="000000"/>
          <w:sz w:val="20"/>
          <w:szCs w:val="20"/>
        </w:rPr>
        <w:t xml:space="preserve">here remains concern that the rules may reduce both the availability of various swap instruments, and counterparty liquidity, thereby restricting an end-user's ability to execute swap transactions with counterparties. </w:t>
      </w:r>
    </w:p>
    <w:p w:rsidR="00D21D8A" w:rsidRPr="00DB2297" w:rsidRDefault="001F308A" w:rsidP="007478E3">
      <w:pPr>
        <w:spacing w:after="120"/>
        <w:rPr>
          <w:rStyle w:val="Strong"/>
          <w:rFonts w:ascii="Arial" w:hAnsi="Arial" w:cs="Arial"/>
          <w:color w:val="000000"/>
          <w:sz w:val="22"/>
          <w:szCs w:val="22"/>
          <w:u w:val="single"/>
        </w:rPr>
      </w:pPr>
      <w:r w:rsidRPr="00DB2297">
        <w:rPr>
          <w:rStyle w:val="Strong"/>
          <w:rFonts w:ascii="Arial" w:hAnsi="Arial" w:cs="Arial"/>
          <w:color w:val="000000"/>
          <w:sz w:val="22"/>
          <w:szCs w:val="22"/>
          <w:u w:val="single"/>
        </w:rPr>
        <w:t xml:space="preserve">Major </w:t>
      </w:r>
      <w:r w:rsidR="00D21D8A" w:rsidRPr="00DB2297">
        <w:rPr>
          <w:rStyle w:val="Strong"/>
          <w:rFonts w:ascii="Arial" w:hAnsi="Arial" w:cs="Arial"/>
          <w:color w:val="000000"/>
          <w:sz w:val="22"/>
          <w:szCs w:val="22"/>
          <w:u w:val="single"/>
        </w:rPr>
        <w:t>Final Rules</w:t>
      </w:r>
      <w:r w:rsidRPr="00DB2297">
        <w:rPr>
          <w:rStyle w:val="Strong"/>
          <w:rFonts w:ascii="Arial" w:hAnsi="Arial" w:cs="Arial"/>
          <w:color w:val="000000"/>
          <w:sz w:val="22"/>
          <w:szCs w:val="22"/>
          <w:u w:val="single"/>
        </w:rPr>
        <w:t xml:space="preserve"> affecting End-</w:t>
      </w:r>
      <w:r w:rsidR="009C490C" w:rsidRPr="00DB2297">
        <w:rPr>
          <w:rStyle w:val="Strong"/>
          <w:rFonts w:ascii="Arial" w:hAnsi="Arial" w:cs="Arial"/>
          <w:color w:val="000000"/>
          <w:sz w:val="22"/>
          <w:szCs w:val="22"/>
          <w:u w:val="single"/>
        </w:rPr>
        <w:t>U</w:t>
      </w:r>
      <w:r w:rsidRPr="00DB2297">
        <w:rPr>
          <w:rStyle w:val="Strong"/>
          <w:rFonts w:ascii="Arial" w:hAnsi="Arial" w:cs="Arial"/>
          <w:color w:val="000000"/>
          <w:sz w:val="22"/>
          <w:szCs w:val="22"/>
          <w:u w:val="single"/>
        </w:rPr>
        <w:t>sers</w:t>
      </w:r>
      <w:r w:rsidR="00D21D8A" w:rsidRPr="00DB2297">
        <w:rPr>
          <w:rStyle w:val="Strong"/>
          <w:rFonts w:ascii="Arial" w:hAnsi="Arial" w:cs="Arial"/>
          <w:color w:val="000000"/>
          <w:sz w:val="22"/>
          <w:szCs w:val="22"/>
          <w:u w:val="single"/>
        </w:rPr>
        <w:t>:</w:t>
      </w:r>
    </w:p>
    <w:p w:rsidR="00D21D8A" w:rsidRPr="00510AE7" w:rsidRDefault="00D21D8A" w:rsidP="00DB2297">
      <w:pPr>
        <w:spacing w:after="60"/>
        <w:ind w:left="144" w:hanging="144"/>
        <w:rPr>
          <w:rFonts w:ascii="Arial" w:hAnsi="Arial" w:cs="Arial"/>
          <w:sz w:val="20"/>
          <w:szCs w:val="20"/>
        </w:rPr>
      </w:pPr>
      <w:r w:rsidRPr="00510AE7">
        <w:rPr>
          <w:rFonts w:ascii="Arial" w:hAnsi="Arial" w:cs="Arial"/>
          <w:sz w:val="20"/>
          <w:szCs w:val="20"/>
          <w:u w:val="single"/>
        </w:rPr>
        <w:t>Anti-Market Manipulation Rule</w:t>
      </w:r>
      <w:r w:rsidRPr="00510AE7">
        <w:rPr>
          <w:rFonts w:ascii="Arial" w:hAnsi="Arial" w:cs="Arial"/>
          <w:sz w:val="20"/>
          <w:szCs w:val="20"/>
        </w:rPr>
        <w:t xml:space="preserve"> – </w:t>
      </w:r>
      <w:r w:rsidR="003444AC" w:rsidRPr="00510AE7">
        <w:rPr>
          <w:rFonts w:ascii="Arial" w:hAnsi="Arial" w:cs="Arial"/>
          <w:sz w:val="20"/>
          <w:szCs w:val="20"/>
        </w:rPr>
        <w:t>Final Rule</w:t>
      </w:r>
      <w:r w:rsidRPr="00510AE7">
        <w:rPr>
          <w:rFonts w:ascii="Arial" w:hAnsi="Arial" w:cs="Arial"/>
          <w:sz w:val="20"/>
          <w:szCs w:val="20"/>
        </w:rPr>
        <w:t xml:space="preserve"> on market manipulation or attempted market manipulation was effective 8/15/2011.</w:t>
      </w:r>
    </w:p>
    <w:p w:rsidR="00855F3A" w:rsidRPr="00510AE7" w:rsidRDefault="00855F3A" w:rsidP="00DB2297">
      <w:pPr>
        <w:spacing w:after="60"/>
        <w:ind w:left="144" w:hanging="144"/>
        <w:rPr>
          <w:rFonts w:ascii="Arial" w:hAnsi="Arial" w:cs="Arial"/>
          <w:color w:val="000000"/>
          <w:sz w:val="20"/>
          <w:szCs w:val="20"/>
        </w:rPr>
      </w:pPr>
      <w:r w:rsidRPr="00510AE7">
        <w:rPr>
          <w:rFonts w:ascii="Arial" w:hAnsi="Arial" w:cs="Arial"/>
          <w:color w:val="000000"/>
          <w:sz w:val="20"/>
          <w:szCs w:val="20"/>
          <w:u w:val="single"/>
        </w:rPr>
        <w:t xml:space="preserve">Whistleblower </w:t>
      </w:r>
      <w:r w:rsidR="00D21D8A" w:rsidRPr="00510AE7">
        <w:rPr>
          <w:rFonts w:ascii="Arial" w:hAnsi="Arial" w:cs="Arial"/>
          <w:color w:val="000000"/>
          <w:sz w:val="20"/>
          <w:szCs w:val="20"/>
          <w:u w:val="single"/>
        </w:rPr>
        <w:t>Rule</w:t>
      </w:r>
      <w:r w:rsidRPr="00510AE7">
        <w:rPr>
          <w:rFonts w:ascii="Arial" w:hAnsi="Arial" w:cs="Arial"/>
          <w:color w:val="000000"/>
          <w:sz w:val="20"/>
          <w:szCs w:val="20"/>
        </w:rPr>
        <w:t xml:space="preserve"> – </w:t>
      </w:r>
      <w:r w:rsidR="003444AC" w:rsidRPr="00510AE7">
        <w:rPr>
          <w:rFonts w:ascii="Arial" w:hAnsi="Arial" w:cs="Arial"/>
          <w:color w:val="000000"/>
          <w:sz w:val="20"/>
          <w:szCs w:val="20"/>
        </w:rPr>
        <w:t>Final Rule</w:t>
      </w:r>
      <w:r w:rsidR="00D21D8A" w:rsidRPr="00510AE7">
        <w:rPr>
          <w:rFonts w:ascii="Arial" w:hAnsi="Arial" w:cs="Arial"/>
          <w:color w:val="000000"/>
          <w:sz w:val="20"/>
          <w:szCs w:val="20"/>
        </w:rPr>
        <w:t xml:space="preserve"> on whistleblower </w:t>
      </w:r>
      <w:r w:rsidR="00E1365B" w:rsidRPr="00510AE7">
        <w:rPr>
          <w:rFonts w:ascii="Arial" w:hAnsi="Arial" w:cs="Arial"/>
          <w:color w:val="000000"/>
          <w:sz w:val="20"/>
          <w:szCs w:val="20"/>
        </w:rPr>
        <w:t xml:space="preserve">program </w:t>
      </w:r>
      <w:r w:rsidR="00D21D8A" w:rsidRPr="00510AE7">
        <w:rPr>
          <w:rFonts w:ascii="Arial" w:hAnsi="Arial" w:cs="Arial"/>
          <w:color w:val="000000"/>
          <w:sz w:val="20"/>
          <w:szCs w:val="20"/>
        </w:rPr>
        <w:t>was effective 10/24/2011</w:t>
      </w:r>
      <w:r w:rsidR="00905D01" w:rsidRPr="00510AE7">
        <w:rPr>
          <w:rFonts w:ascii="Arial" w:hAnsi="Arial" w:cs="Arial"/>
          <w:color w:val="000000"/>
          <w:sz w:val="20"/>
          <w:szCs w:val="20"/>
        </w:rPr>
        <w:t>.</w:t>
      </w:r>
    </w:p>
    <w:p w:rsidR="00855F3A" w:rsidRPr="00510AE7" w:rsidRDefault="00913477" w:rsidP="00DB2297">
      <w:pPr>
        <w:spacing w:after="60"/>
        <w:ind w:left="144" w:hanging="144"/>
        <w:rPr>
          <w:rFonts w:ascii="Arial" w:hAnsi="Arial" w:cs="Arial"/>
          <w:color w:val="000000"/>
          <w:sz w:val="20"/>
          <w:szCs w:val="20"/>
        </w:rPr>
      </w:pPr>
      <w:r w:rsidRPr="00510AE7">
        <w:rPr>
          <w:rFonts w:ascii="Arial" w:hAnsi="Arial" w:cs="Arial"/>
          <w:color w:val="000000"/>
          <w:sz w:val="20"/>
          <w:szCs w:val="20"/>
          <w:u w:val="single"/>
        </w:rPr>
        <w:t>Position Limits</w:t>
      </w:r>
      <w:r w:rsidRPr="00510AE7">
        <w:rPr>
          <w:rFonts w:ascii="Arial" w:hAnsi="Arial" w:cs="Arial"/>
          <w:color w:val="000000"/>
          <w:sz w:val="20"/>
          <w:szCs w:val="20"/>
        </w:rPr>
        <w:t xml:space="preserve"> – </w:t>
      </w:r>
      <w:r w:rsidR="003444AC" w:rsidRPr="00510AE7">
        <w:rPr>
          <w:rFonts w:ascii="Arial" w:hAnsi="Arial" w:cs="Arial"/>
          <w:color w:val="000000"/>
          <w:sz w:val="20"/>
          <w:szCs w:val="20"/>
        </w:rPr>
        <w:t xml:space="preserve">Final Rule </w:t>
      </w:r>
      <w:r w:rsidRPr="00510AE7">
        <w:rPr>
          <w:rFonts w:ascii="Arial" w:hAnsi="Arial" w:cs="Arial"/>
          <w:color w:val="000000"/>
          <w:sz w:val="20"/>
          <w:szCs w:val="20"/>
        </w:rPr>
        <w:t xml:space="preserve">on position limits </w:t>
      </w:r>
      <w:r w:rsidR="001F308A" w:rsidRPr="00510AE7">
        <w:rPr>
          <w:rFonts w:ascii="Arial" w:hAnsi="Arial" w:cs="Arial"/>
          <w:color w:val="000000"/>
          <w:sz w:val="20"/>
          <w:szCs w:val="20"/>
        </w:rPr>
        <w:t xml:space="preserve">during </w:t>
      </w:r>
      <w:r w:rsidRPr="00510AE7">
        <w:rPr>
          <w:rFonts w:ascii="Arial" w:hAnsi="Arial" w:cs="Arial"/>
          <w:color w:val="000000"/>
          <w:sz w:val="20"/>
          <w:szCs w:val="20"/>
        </w:rPr>
        <w:t xml:space="preserve">both </w:t>
      </w:r>
      <w:r w:rsidR="001F308A" w:rsidRPr="00510AE7">
        <w:rPr>
          <w:rFonts w:ascii="Arial" w:hAnsi="Arial" w:cs="Arial"/>
          <w:color w:val="000000"/>
          <w:sz w:val="20"/>
          <w:szCs w:val="20"/>
        </w:rPr>
        <w:t>short term</w:t>
      </w:r>
      <w:r w:rsidRPr="00510AE7">
        <w:rPr>
          <w:rFonts w:ascii="Arial" w:hAnsi="Arial" w:cs="Arial"/>
          <w:color w:val="000000"/>
          <w:sz w:val="20"/>
          <w:szCs w:val="20"/>
        </w:rPr>
        <w:t xml:space="preserve"> and </w:t>
      </w:r>
      <w:r w:rsidR="001F308A" w:rsidRPr="00510AE7">
        <w:rPr>
          <w:rFonts w:ascii="Arial" w:hAnsi="Arial" w:cs="Arial"/>
          <w:color w:val="000000"/>
          <w:sz w:val="20"/>
          <w:szCs w:val="20"/>
        </w:rPr>
        <w:t>long term periods</w:t>
      </w:r>
      <w:r w:rsidRPr="00510AE7">
        <w:rPr>
          <w:rFonts w:ascii="Arial" w:hAnsi="Arial" w:cs="Arial"/>
          <w:color w:val="000000"/>
          <w:sz w:val="20"/>
          <w:szCs w:val="20"/>
        </w:rPr>
        <w:t xml:space="preserve"> </w:t>
      </w:r>
      <w:r w:rsidR="00FF73AD" w:rsidRPr="00510AE7">
        <w:rPr>
          <w:rFonts w:ascii="Arial" w:hAnsi="Arial" w:cs="Arial"/>
          <w:color w:val="000000"/>
          <w:sz w:val="20"/>
          <w:szCs w:val="20"/>
        </w:rPr>
        <w:t xml:space="preserve">was </w:t>
      </w:r>
      <w:r w:rsidRPr="00510AE7">
        <w:rPr>
          <w:rFonts w:ascii="Arial" w:hAnsi="Arial" w:cs="Arial"/>
          <w:color w:val="000000"/>
          <w:sz w:val="20"/>
          <w:szCs w:val="20"/>
        </w:rPr>
        <w:t xml:space="preserve">effective </w:t>
      </w:r>
      <w:r w:rsidR="00E1365B" w:rsidRPr="00510AE7">
        <w:rPr>
          <w:rFonts w:ascii="Arial" w:hAnsi="Arial" w:cs="Arial"/>
          <w:color w:val="000000"/>
          <w:sz w:val="20"/>
          <w:szCs w:val="20"/>
        </w:rPr>
        <w:t xml:space="preserve">on </w:t>
      </w:r>
      <w:r w:rsidRPr="00510AE7">
        <w:rPr>
          <w:rFonts w:ascii="Arial" w:hAnsi="Arial" w:cs="Arial"/>
          <w:color w:val="000000"/>
          <w:sz w:val="20"/>
          <w:szCs w:val="20"/>
        </w:rPr>
        <w:t xml:space="preserve">1/17/2012.  </w:t>
      </w:r>
      <w:r w:rsidR="009600C4" w:rsidRPr="00510AE7">
        <w:rPr>
          <w:rFonts w:ascii="Arial" w:hAnsi="Arial" w:cs="Arial"/>
          <w:color w:val="000000"/>
          <w:sz w:val="20"/>
          <w:szCs w:val="20"/>
        </w:rPr>
        <w:t>ISDA and SIFMA filed a</w:t>
      </w:r>
      <w:r w:rsidR="00D435D0" w:rsidRPr="00510AE7">
        <w:rPr>
          <w:rFonts w:ascii="Arial" w:hAnsi="Arial" w:cs="Arial"/>
          <w:color w:val="000000"/>
          <w:sz w:val="20"/>
          <w:szCs w:val="20"/>
        </w:rPr>
        <w:t xml:space="preserve"> complaint</w:t>
      </w:r>
      <w:r w:rsidR="009600C4" w:rsidRPr="00510AE7">
        <w:rPr>
          <w:rFonts w:ascii="Arial" w:hAnsi="Arial" w:cs="Arial"/>
          <w:color w:val="000000"/>
          <w:sz w:val="20"/>
          <w:szCs w:val="20"/>
        </w:rPr>
        <w:t xml:space="preserve"> at the DC District Court </w:t>
      </w:r>
      <w:r w:rsidRPr="00510AE7">
        <w:rPr>
          <w:rFonts w:ascii="Arial" w:hAnsi="Arial" w:cs="Arial"/>
          <w:color w:val="000000"/>
          <w:sz w:val="20"/>
          <w:szCs w:val="20"/>
        </w:rPr>
        <w:t>contending the decision making process in developing the rule was flawed and the CFTC adopted the rule without making findings as to the necessary and appropriateness of the position limits, required by the Act.  In regulatory term</w:t>
      </w:r>
      <w:r w:rsidR="00542BA2" w:rsidRPr="00510AE7">
        <w:rPr>
          <w:rFonts w:ascii="Arial" w:hAnsi="Arial" w:cs="Arial"/>
          <w:color w:val="000000"/>
          <w:sz w:val="20"/>
          <w:szCs w:val="20"/>
        </w:rPr>
        <w:t>s</w:t>
      </w:r>
      <w:r w:rsidRPr="00510AE7">
        <w:rPr>
          <w:rFonts w:ascii="Arial" w:hAnsi="Arial" w:cs="Arial"/>
          <w:color w:val="000000"/>
          <w:sz w:val="20"/>
          <w:szCs w:val="20"/>
        </w:rPr>
        <w:t xml:space="preserve">, the rule is “arbitrary and capricious”.  </w:t>
      </w:r>
      <w:r w:rsidR="00206AB7" w:rsidRPr="00510AE7">
        <w:rPr>
          <w:rFonts w:ascii="Arial" w:hAnsi="Arial" w:cs="Arial"/>
          <w:color w:val="000000"/>
          <w:sz w:val="20"/>
          <w:szCs w:val="20"/>
        </w:rPr>
        <w:t xml:space="preserve">Separate DC District Court hearing on Preliminary Injunction </w:t>
      </w:r>
      <w:r w:rsidR="00D435D0" w:rsidRPr="00510AE7">
        <w:rPr>
          <w:rFonts w:ascii="Arial" w:hAnsi="Arial" w:cs="Arial"/>
          <w:color w:val="000000"/>
          <w:sz w:val="20"/>
          <w:szCs w:val="20"/>
        </w:rPr>
        <w:t xml:space="preserve">staying Final Rule pending final resolution of complaint </w:t>
      </w:r>
      <w:r w:rsidR="00206AB7" w:rsidRPr="00510AE7">
        <w:rPr>
          <w:rFonts w:ascii="Arial" w:hAnsi="Arial" w:cs="Arial"/>
          <w:color w:val="000000"/>
          <w:sz w:val="20"/>
          <w:szCs w:val="20"/>
        </w:rPr>
        <w:t>held 2</w:t>
      </w:r>
      <w:r w:rsidR="00D435D0" w:rsidRPr="00510AE7">
        <w:rPr>
          <w:rFonts w:ascii="Arial" w:hAnsi="Arial" w:cs="Arial"/>
          <w:color w:val="000000"/>
          <w:sz w:val="20"/>
          <w:szCs w:val="20"/>
        </w:rPr>
        <w:t>/</w:t>
      </w:r>
      <w:r w:rsidR="00206AB7" w:rsidRPr="00510AE7">
        <w:rPr>
          <w:rFonts w:ascii="Arial" w:hAnsi="Arial" w:cs="Arial"/>
          <w:color w:val="000000"/>
          <w:sz w:val="20"/>
          <w:szCs w:val="20"/>
        </w:rPr>
        <w:t>27</w:t>
      </w:r>
      <w:r w:rsidR="00D435D0" w:rsidRPr="00510AE7">
        <w:rPr>
          <w:rFonts w:ascii="Arial" w:hAnsi="Arial" w:cs="Arial"/>
          <w:color w:val="000000"/>
          <w:sz w:val="20"/>
          <w:szCs w:val="20"/>
        </w:rPr>
        <w:t>/</w:t>
      </w:r>
      <w:r w:rsidR="00206AB7" w:rsidRPr="00510AE7">
        <w:rPr>
          <w:rFonts w:ascii="Arial" w:hAnsi="Arial" w:cs="Arial"/>
          <w:color w:val="000000"/>
          <w:sz w:val="20"/>
          <w:szCs w:val="20"/>
        </w:rPr>
        <w:t>2012.</w:t>
      </w:r>
      <w:r w:rsidR="00206AB7" w:rsidRPr="00510AE7">
        <w:rPr>
          <w:rFonts w:ascii="Arial" w:hAnsi="Arial" w:cs="Arial"/>
          <w:b/>
          <w:color w:val="000000"/>
          <w:sz w:val="20"/>
          <w:szCs w:val="20"/>
          <w:u w:val="single"/>
        </w:rPr>
        <w:t xml:space="preserve">  No</w:t>
      </w:r>
      <w:r w:rsidR="0026534E">
        <w:rPr>
          <w:rFonts w:ascii="Arial" w:hAnsi="Arial" w:cs="Arial"/>
          <w:b/>
          <w:color w:val="000000"/>
          <w:sz w:val="20"/>
          <w:szCs w:val="20"/>
          <w:u w:val="single"/>
        </w:rPr>
        <w:t xml:space="preserve"> </w:t>
      </w:r>
      <w:r w:rsidR="00206AB7" w:rsidRPr="00510AE7">
        <w:rPr>
          <w:rFonts w:ascii="Arial" w:hAnsi="Arial" w:cs="Arial"/>
          <w:b/>
          <w:color w:val="000000"/>
          <w:sz w:val="20"/>
          <w:szCs w:val="20"/>
          <w:u w:val="single"/>
        </w:rPr>
        <w:t>ruling</w:t>
      </w:r>
      <w:r w:rsidR="00FF73AD" w:rsidRPr="00510AE7">
        <w:rPr>
          <w:rFonts w:ascii="Arial" w:hAnsi="Arial" w:cs="Arial"/>
          <w:b/>
          <w:color w:val="000000"/>
          <w:sz w:val="20"/>
          <w:szCs w:val="20"/>
          <w:u w:val="single"/>
        </w:rPr>
        <w:t>s</w:t>
      </w:r>
      <w:r w:rsidR="00206AB7" w:rsidRPr="00510AE7">
        <w:rPr>
          <w:rFonts w:ascii="Arial" w:hAnsi="Arial" w:cs="Arial"/>
          <w:b/>
          <w:color w:val="000000"/>
          <w:sz w:val="20"/>
          <w:szCs w:val="20"/>
          <w:u w:val="single"/>
        </w:rPr>
        <w:t xml:space="preserve"> </w:t>
      </w:r>
      <w:r w:rsidR="00134CCB">
        <w:rPr>
          <w:rFonts w:ascii="Arial" w:hAnsi="Arial" w:cs="Arial"/>
          <w:b/>
          <w:color w:val="000000"/>
          <w:sz w:val="20"/>
          <w:szCs w:val="20"/>
          <w:u w:val="single"/>
        </w:rPr>
        <w:t xml:space="preserve">from the Court </w:t>
      </w:r>
      <w:r w:rsidR="00206AB7" w:rsidRPr="00510AE7">
        <w:rPr>
          <w:rFonts w:ascii="Arial" w:hAnsi="Arial" w:cs="Arial"/>
          <w:b/>
          <w:color w:val="000000"/>
          <w:sz w:val="20"/>
          <w:szCs w:val="20"/>
          <w:u w:val="single"/>
        </w:rPr>
        <w:t>as of today.</w:t>
      </w:r>
      <w:r w:rsidR="0026534E">
        <w:rPr>
          <w:rFonts w:ascii="Arial" w:hAnsi="Arial" w:cs="Arial"/>
          <w:b/>
          <w:color w:val="000000"/>
          <w:sz w:val="20"/>
          <w:szCs w:val="20"/>
          <w:u w:val="single"/>
        </w:rPr>
        <w:t xml:space="preserve"> </w:t>
      </w:r>
      <w:r w:rsidR="009C490C" w:rsidRPr="00510AE7">
        <w:rPr>
          <w:rFonts w:ascii="Arial" w:hAnsi="Arial" w:cs="Arial"/>
          <w:b/>
          <w:color w:val="000000"/>
          <w:sz w:val="20"/>
          <w:szCs w:val="20"/>
          <w:u w:val="single"/>
        </w:rPr>
        <w:t xml:space="preserve"> Initial spot month position limits </w:t>
      </w:r>
      <w:r w:rsidR="00AD4CE4" w:rsidRPr="00510AE7">
        <w:rPr>
          <w:rFonts w:ascii="Arial" w:hAnsi="Arial" w:cs="Arial"/>
          <w:b/>
          <w:color w:val="000000"/>
          <w:sz w:val="20"/>
          <w:szCs w:val="20"/>
          <w:u w:val="single"/>
        </w:rPr>
        <w:t xml:space="preserve">currently </w:t>
      </w:r>
      <w:r w:rsidR="009C490C" w:rsidRPr="00510AE7">
        <w:rPr>
          <w:rFonts w:ascii="Arial" w:hAnsi="Arial" w:cs="Arial"/>
          <w:b/>
          <w:color w:val="000000"/>
          <w:sz w:val="20"/>
          <w:szCs w:val="20"/>
          <w:u w:val="single"/>
        </w:rPr>
        <w:t>scheduled to go into effect on 10/12/2012.</w:t>
      </w:r>
    </w:p>
    <w:p w:rsidR="003444AC" w:rsidRPr="00510AE7" w:rsidRDefault="003444AC" w:rsidP="00DB2297">
      <w:pPr>
        <w:spacing w:after="60"/>
        <w:ind w:left="144" w:hanging="144"/>
        <w:rPr>
          <w:rFonts w:ascii="Arial" w:hAnsi="Arial" w:cs="Arial"/>
          <w:color w:val="000000"/>
          <w:sz w:val="20"/>
          <w:szCs w:val="20"/>
        </w:rPr>
      </w:pPr>
      <w:r w:rsidRPr="00510AE7">
        <w:rPr>
          <w:rFonts w:ascii="Arial" w:hAnsi="Arial" w:cs="Arial"/>
          <w:color w:val="000000"/>
          <w:sz w:val="20"/>
          <w:szCs w:val="20"/>
          <w:u w:val="single"/>
        </w:rPr>
        <w:t xml:space="preserve">Recordkeeping and Reporting </w:t>
      </w:r>
      <w:r w:rsidRPr="00510AE7">
        <w:rPr>
          <w:rFonts w:ascii="Arial" w:hAnsi="Arial" w:cs="Arial"/>
          <w:color w:val="000000"/>
          <w:sz w:val="20"/>
          <w:szCs w:val="20"/>
        </w:rPr>
        <w:t xml:space="preserve">– Final Rule </w:t>
      </w:r>
      <w:r w:rsidR="00FF73AD" w:rsidRPr="00510AE7">
        <w:rPr>
          <w:rFonts w:ascii="Arial" w:hAnsi="Arial" w:cs="Arial"/>
          <w:color w:val="000000"/>
          <w:sz w:val="20"/>
          <w:szCs w:val="20"/>
        </w:rPr>
        <w:t xml:space="preserve">was </w:t>
      </w:r>
      <w:r w:rsidRPr="00510AE7">
        <w:rPr>
          <w:rFonts w:ascii="Arial" w:hAnsi="Arial" w:cs="Arial"/>
          <w:color w:val="000000"/>
          <w:sz w:val="20"/>
          <w:szCs w:val="20"/>
        </w:rPr>
        <w:t xml:space="preserve">effective </w:t>
      </w:r>
      <w:r w:rsidR="00E1365B" w:rsidRPr="00510AE7">
        <w:rPr>
          <w:rFonts w:ascii="Arial" w:hAnsi="Arial" w:cs="Arial"/>
          <w:color w:val="000000"/>
          <w:sz w:val="20"/>
          <w:szCs w:val="20"/>
        </w:rPr>
        <w:t xml:space="preserve">on </w:t>
      </w:r>
      <w:r w:rsidR="008A5EDC" w:rsidRPr="00510AE7">
        <w:rPr>
          <w:rFonts w:ascii="Arial" w:hAnsi="Arial" w:cs="Arial"/>
          <w:color w:val="000000"/>
          <w:sz w:val="20"/>
          <w:szCs w:val="20"/>
        </w:rPr>
        <w:t>3/13/2012</w:t>
      </w:r>
      <w:r w:rsidR="00FF73AD" w:rsidRPr="00510AE7">
        <w:rPr>
          <w:rFonts w:ascii="Arial" w:hAnsi="Arial" w:cs="Arial"/>
          <w:color w:val="000000"/>
          <w:sz w:val="20"/>
          <w:szCs w:val="20"/>
        </w:rPr>
        <w:t xml:space="preserve">.  </w:t>
      </w:r>
      <w:r w:rsidR="009C490C" w:rsidRPr="00510AE7">
        <w:rPr>
          <w:rFonts w:ascii="Arial" w:hAnsi="Arial" w:cs="Arial"/>
          <w:b/>
          <w:color w:val="000000"/>
          <w:sz w:val="20"/>
          <w:szCs w:val="20"/>
          <w:u w:val="single"/>
        </w:rPr>
        <w:t>Reporting</w:t>
      </w:r>
      <w:r w:rsidR="009C490C" w:rsidRPr="00510AE7">
        <w:rPr>
          <w:rFonts w:ascii="Arial" w:hAnsi="Arial" w:cs="Arial"/>
          <w:b/>
          <w:color w:val="000000"/>
          <w:sz w:val="20"/>
          <w:szCs w:val="20"/>
        </w:rPr>
        <w:t xml:space="preserve"> </w:t>
      </w:r>
      <w:r w:rsidR="009C490C" w:rsidRPr="00510AE7">
        <w:rPr>
          <w:rFonts w:ascii="Arial" w:hAnsi="Arial" w:cs="Arial"/>
          <w:b/>
          <w:color w:val="000000"/>
          <w:sz w:val="20"/>
          <w:szCs w:val="20"/>
          <w:u w:val="single"/>
        </w:rPr>
        <w:t>c</w:t>
      </w:r>
      <w:r w:rsidR="00FF73AD" w:rsidRPr="00510AE7">
        <w:rPr>
          <w:rFonts w:ascii="Arial" w:hAnsi="Arial" w:cs="Arial"/>
          <w:b/>
          <w:color w:val="000000"/>
          <w:sz w:val="20"/>
          <w:szCs w:val="20"/>
          <w:u w:val="single"/>
        </w:rPr>
        <w:t>ompliance deadlines will be phased-in depending on counterparties and types of swap transactions.</w:t>
      </w:r>
      <w:r w:rsidR="008A5EDC" w:rsidRPr="00510AE7">
        <w:rPr>
          <w:rFonts w:ascii="Arial" w:hAnsi="Arial" w:cs="Arial"/>
          <w:color w:val="000000"/>
          <w:sz w:val="20"/>
          <w:szCs w:val="20"/>
        </w:rPr>
        <w:t xml:space="preserve"> </w:t>
      </w:r>
    </w:p>
    <w:p w:rsidR="00FB3473" w:rsidRPr="00510AE7" w:rsidRDefault="003444AC" w:rsidP="00DB2297">
      <w:pPr>
        <w:spacing w:after="60"/>
        <w:ind w:left="144" w:hanging="144"/>
        <w:rPr>
          <w:rFonts w:ascii="Arial" w:hAnsi="Arial" w:cs="Arial"/>
          <w:color w:val="000000"/>
          <w:sz w:val="20"/>
          <w:szCs w:val="20"/>
        </w:rPr>
      </w:pPr>
      <w:r w:rsidRPr="00510AE7">
        <w:rPr>
          <w:rFonts w:ascii="Arial" w:hAnsi="Arial" w:cs="Arial"/>
          <w:color w:val="000000"/>
          <w:sz w:val="20"/>
          <w:szCs w:val="20"/>
          <w:u w:val="single"/>
        </w:rPr>
        <w:t>Real-Time Reporting</w:t>
      </w:r>
      <w:r w:rsidRPr="00510AE7">
        <w:rPr>
          <w:rFonts w:ascii="Arial" w:hAnsi="Arial" w:cs="Arial"/>
          <w:color w:val="000000"/>
          <w:sz w:val="20"/>
          <w:szCs w:val="20"/>
        </w:rPr>
        <w:t xml:space="preserve"> – Final Rule </w:t>
      </w:r>
      <w:r w:rsidR="00FF73AD" w:rsidRPr="00510AE7">
        <w:rPr>
          <w:rFonts w:ascii="Arial" w:hAnsi="Arial" w:cs="Arial"/>
          <w:color w:val="000000"/>
          <w:sz w:val="20"/>
          <w:szCs w:val="20"/>
        </w:rPr>
        <w:t xml:space="preserve">was </w:t>
      </w:r>
      <w:r w:rsidRPr="00510AE7">
        <w:rPr>
          <w:rFonts w:ascii="Arial" w:hAnsi="Arial" w:cs="Arial"/>
          <w:color w:val="000000"/>
          <w:sz w:val="20"/>
          <w:szCs w:val="20"/>
        </w:rPr>
        <w:t xml:space="preserve">effective </w:t>
      </w:r>
      <w:r w:rsidR="00E1365B" w:rsidRPr="00510AE7">
        <w:rPr>
          <w:rFonts w:ascii="Arial" w:hAnsi="Arial" w:cs="Arial"/>
          <w:color w:val="000000"/>
          <w:sz w:val="20"/>
          <w:szCs w:val="20"/>
        </w:rPr>
        <w:t xml:space="preserve">on </w:t>
      </w:r>
      <w:r w:rsidR="008A5EDC" w:rsidRPr="00510AE7">
        <w:rPr>
          <w:rFonts w:ascii="Arial" w:hAnsi="Arial" w:cs="Arial"/>
          <w:color w:val="000000"/>
          <w:sz w:val="20"/>
          <w:szCs w:val="20"/>
        </w:rPr>
        <w:t>3/9/2012</w:t>
      </w:r>
      <w:r w:rsidR="00526D2C" w:rsidRPr="00510AE7">
        <w:rPr>
          <w:rFonts w:ascii="Arial" w:hAnsi="Arial" w:cs="Arial"/>
          <w:color w:val="000000"/>
          <w:sz w:val="20"/>
          <w:szCs w:val="20"/>
        </w:rPr>
        <w:t xml:space="preserve">. </w:t>
      </w:r>
      <w:r w:rsidR="00FF73AD" w:rsidRPr="00510AE7">
        <w:rPr>
          <w:rFonts w:ascii="Arial" w:hAnsi="Arial" w:cs="Arial"/>
          <w:color w:val="000000"/>
          <w:sz w:val="20"/>
          <w:szCs w:val="20"/>
        </w:rPr>
        <w:t xml:space="preserve"> </w:t>
      </w:r>
      <w:r w:rsidR="009C490C" w:rsidRPr="00510AE7">
        <w:rPr>
          <w:rFonts w:ascii="Arial" w:hAnsi="Arial" w:cs="Arial"/>
          <w:b/>
          <w:color w:val="000000"/>
          <w:sz w:val="20"/>
          <w:szCs w:val="20"/>
          <w:u w:val="single"/>
        </w:rPr>
        <w:t xml:space="preserve">Reporting </w:t>
      </w:r>
      <w:r w:rsidR="00FF73AD" w:rsidRPr="00510AE7">
        <w:rPr>
          <w:rFonts w:ascii="Arial" w:hAnsi="Arial" w:cs="Arial"/>
          <w:b/>
          <w:color w:val="000000"/>
          <w:sz w:val="20"/>
          <w:szCs w:val="20"/>
          <w:u w:val="single"/>
        </w:rPr>
        <w:t>C</w:t>
      </w:r>
      <w:r w:rsidR="00E1365B" w:rsidRPr="00510AE7">
        <w:rPr>
          <w:rFonts w:ascii="Arial" w:hAnsi="Arial" w:cs="Arial"/>
          <w:b/>
          <w:color w:val="000000"/>
          <w:sz w:val="20"/>
          <w:szCs w:val="20"/>
          <w:u w:val="single"/>
        </w:rPr>
        <w:t>ompliance</w:t>
      </w:r>
      <w:r w:rsidR="00FF73AD" w:rsidRPr="00510AE7">
        <w:rPr>
          <w:rFonts w:ascii="Arial" w:hAnsi="Arial" w:cs="Arial"/>
          <w:b/>
          <w:color w:val="000000"/>
          <w:sz w:val="20"/>
          <w:szCs w:val="20"/>
          <w:u w:val="single"/>
        </w:rPr>
        <w:t xml:space="preserve"> deadlines</w:t>
      </w:r>
      <w:r w:rsidR="00E1365B" w:rsidRPr="00510AE7">
        <w:rPr>
          <w:rFonts w:ascii="Arial" w:hAnsi="Arial" w:cs="Arial"/>
          <w:b/>
          <w:color w:val="000000"/>
          <w:sz w:val="20"/>
          <w:szCs w:val="20"/>
          <w:u w:val="single"/>
        </w:rPr>
        <w:t xml:space="preserve"> will be phased-in</w:t>
      </w:r>
      <w:r w:rsidR="00FF73AD" w:rsidRPr="00510AE7">
        <w:rPr>
          <w:rFonts w:ascii="Arial" w:hAnsi="Arial" w:cs="Arial"/>
          <w:b/>
          <w:color w:val="000000"/>
          <w:sz w:val="20"/>
          <w:szCs w:val="20"/>
          <w:u w:val="single"/>
        </w:rPr>
        <w:t xml:space="preserve"> depending on counterparties and types of swap transactions.</w:t>
      </w:r>
      <w:r w:rsidR="008A5EDC" w:rsidRPr="00510AE7">
        <w:rPr>
          <w:rFonts w:ascii="Arial" w:hAnsi="Arial" w:cs="Arial"/>
          <w:color w:val="000000"/>
          <w:sz w:val="20"/>
          <w:szCs w:val="20"/>
        </w:rPr>
        <w:t xml:space="preserve"> </w:t>
      </w:r>
    </w:p>
    <w:p w:rsidR="00A62C30" w:rsidRPr="00510AE7" w:rsidRDefault="00A62C30"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 xml:space="preserve">Recordkeeping and Reporting of Pre-Enactment or Transition Swaps (Historical Swaps) </w:t>
      </w:r>
      <w:r w:rsidR="009C490C" w:rsidRPr="00510AE7">
        <w:rPr>
          <w:rFonts w:ascii="Arial" w:hAnsi="Arial" w:cs="Arial"/>
          <w:b/>
          <w:color w:val="000000"/>
          <w:sz w:val="20"/>
          <w:szCs w:val="20"/>
          <w:u w:val="single"/>
        </w:rPr>
        <w:t xml:space="preserve">– Final Rule </w:t>
      </w:r>
      <w:r w:rsidRPr="00510AE7">
        <w:rPr>
          <w:rFonts w:ascii="Arial" w:hAnsi="Arial" w:cs="Arial"/>
          <w:b/>
          <w:color w:val="000000"/>
          <w:sz w:val="20"/>
          <w:szCs w:val="20"/>
          <w:u w:val="single"/>
        </w:rPr>
        <w:t>was effective on 8/13/2012.</w:t>
      </w:r>
      <w:r w:rsidR="00A156ED" w:rsidRPr="00510AE7">
        <w:rPr>
          <w:rFonts w:ascii="Arial" w:hAnsi="Arial" w:cs="Arial"/>
          <w:b/>
          <w:color w:val="000000"/>
          <w:sz w:val="20"/>
          <w:szCs w:val="20"/>
          <w:u w:val="single"/>
        </w:rPr>
        <w:t xml:space="preserve">  </w:t>
      </w:r>
      <w:r w:rsidR="009C490C" w:rsidRPr="00510AE7">
        <w:rPr>
          <w:rFonts w:ascii="Arial" w:hAnsi="Arial" w:cs="Arial"/>
          <w:b/>
          <w:color w:val="000000"/>
          <w:sz w:val="20"/>
          <w:szCs w:val="20"/>
          <w:u w:val="single"/>
        </w:rPr>
        <w:t>Reporting Compliance deadlines will be phased-in depending on counterparties and types of swap transactions.</w:t>
      </w:r>
      <w:r w:rsidR="009C490C" w:rsidRPr="00510AE7">
        <w:rPr>
          <w:rFonts w:ascii="Arial" w:hAnsi="Arial" w:cs="Arial"/>
          <w:color w:val="000000"/>
          <w:sz w:val="20"/>
          <w:szCs w:val="20"/>
        </w:rPr>
        <w:t xml:space="preserve"> </w:t>
      </w:r>
    </w:p>
    <w:p w:rsidR="00D53307" w:rsidRPr="00510AE7" w:rsidRDefault="00D53307"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 xml:space="preserve">Definition of “Swap Dealer” (SD), “Major Swap Participant” (MSP), etc. – Final Rule </w:t>
      </w:r>
      <w:r w:rsidR="00FF73AD" w:rsidRPr="00510AE7">
        <w:rPr>
          <w:rFonts w:ascii="Arial" w:hAnsi="Arial" w:cs="Arial"/>
          <w:b/>
          <w:color w:val="000000"/>
          <w:sz w:val="20"/>
          <w:szCs w:val="20"/>
          <w:u w:val="single"/>
        </w:rPr>
        <w:t xml:space="preserve">was </w:t>
      </w:r>
      <w:r w:rsidRPr="00510AE7">
        <w:rPr>
          <w:rFonts w:ascii="Arial" w:hAnsi="Arial" w:cs="Arial"/>
          <w:b/>
          <w:color w:val="000000"/>
          <w:sz w:val="20"/>
          <w:szCs w:val="20"/>
          <w:u w:val="single"/>
        </w:rPr>
        <w:t xml:space="preserve">effective </w:t>
      </w:r>
      <w:r w:rsidR="00FF73AD" w:rsidRPr="00510AE7">
        <w:rPr>
          <w:rFonts w:ascii="Arial" w:hAnsi="Arial" w:cs="Arial"/>
          <w:b/>
          <w:color w:val="000000"/>
          <w:sz w:val="20"/>
          <w:szCs w:val="20"/>
          <w:u w:val="single"/>
        </w:rPr>
        <w:t>7/23/</w:t>
      </w:r>
      <w:r w:rsidRPr="00510AE7">
        <w:rPr>
          <w:rFonts w:ascii="Arial" w:hAnsi="Arial" w:cs="Arial"/>
          <w:b/>
          <w:color w:val="000000"/>
          <w:sz w:val="20"/>
          <w:szCs w:val="20"/>
          <w:u w:val="single"/>
        </w:rPr>
        <w:t>2012.</w:t>
      </w:r>
      <w:r w:rsidR="00FF5527" w:rsidRPr="00510AE7">
        <w:rPr>
          <w:rFonts w:ascii="Arial" w:hAnsi="Arial" w:cs="Arial"/>
          <w:b/>
          <w:color w:val="000000"/>
          <w:sz w:val="20"/>
          <w:szCs w:val="20"/>
          <w:u w:val="single"/>
        </w:rPr>
        <w:t xml:space="preserve">  Analysis using the requirements of this Final Rule will determine if an entity may be a non-Financial End-User</w:t>
      </w:r>
      <w:r w:rsidR="009C490C" w:rsidRPr="00510AE7">
        <w:rPr>
          <w:rFonts w:ascii="Arial" w:hAnsi="Arial" w:cs="Arial"/>
          <w:b/>
          <w:color w:val="000000"/>
          <w:sz w:val="20"/>
          <w:szCs w:val="20"/>
          <w:u w:val="single"/>
        </w:rPr>
        <w:t>, and whether it qualifies as an Eligible Contract Participant (ECP)</w:t>
      </w:r>
      <w:r w:rsidR="00FF5527" w:rsidRPr="00510AE7">
        <w:rPr>
          <w:rFonts w:ascii="Arial" w:hAnsi="Arial" w:cs="Arial"/>
          <w:b/>
          <w:color w:val="000000"/>
          <w:sz w:val="20"/>
          <w:szCs w:val="20"/>
          <w:u w:val="single"/>
        </w:rPr>
        <w:t>.</w:t>
      </w:r>
    </w:p>
    <w:p w:rsidR="00526D2C" w:rsidRPr="00510AE7" w:rsidRDefault="00526D2C"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Definitions of “Swap” – Final Rule will be effective on 10/12/2012.</w:t>
      </w:r>
      <w:r w:rsidR="00FF5527" w:rsidRPr="00510AE7">
        <w:rPr>
          <w:rFonts w:ascii="Arial" w:hAnsi="Arial" w:cs="Arial"/>
          <w:b/>
          <w:color w:val="000000"/>
          <w:sz w:val="20"/>
          <w:szCs w:val="20"/>
          <w:u w:val="single"/>
        </w:rPr>
        <w:t xml:space="preserve">  NAESB WGQ Annual Plan item 13 </w:t>
      </w:r>
      <w:r w:rsidR="00E64DC4" w:rsidRPr="00510AE7">
        <w:rPr>
          <w:rFonts w:ascii="Arial" w:hAnsi="Arial" w:cs="Arial"/>
          <w:b/>
          <w:color w:val="000000"/>
          <w:sz w:val="20"/>
          <w:szCs w:val="20"/>
          <w:u w:val="single"/>
        </w:rPr>
        <w:t xml:space="preserve">discussions and findings </w:t>
      </w:r>
      <w:r w:rsidR="00FF5527" w:rsidRPr="00510AE7">
        <w:rPr>
          <w:rFonts w:ascii="Arial" w:hAnsi="Arial" w:cs="Arial"/>
          <w:b/>
          <w:color w:val="000000"/>
          <w:sz w:val="20"/>
          <w:szCs w:val="20"/>
          <w:u w:val="single"/>
        </w:rPr>
        <w:t xml:space="preserve">may provide guidance of impact, if any, on NAESB Base Contract and other </w:t>
      </w:r>
      <w:r w:rsidR="00E64DC4" w:rsidRPr="00510AE7">
        <w:rPr>
          <w:rFonts w:ascii="Arial" w:hAnsi="Arial" w:cs="Arial"/>
          <w:b/>
          <w:color w:val="000000"/>
          <w:sz w:val="20"/>
          <w:szCs w:val="20"/>
          <w:u w:val="single"/>
        </w:rPr>
        <w:t xml:space="preserve">related </w:t>
      </w:r>
      <w:r w:rsidR="00FF5527" w:rsidRPr="00510AE7">
        <w:rPr>
          <w:rFonts w:ascii="Arial" w:hAnsi="Arial" w:cs="Arial"/>
          <w:b/>
          <w:color w:val="000000"/>
          <w:sz w:val="20"/>
          <w:szCs w:val="20"/>
          <w:u w:val="single"/>
        </w:rPr>
        <w:t>forward contracts.</w:t>
      </w:r>
      <w:r w:rsidR="00DB2297">
        <w:rPr>
          <w:rFonts w:ascii="Arial" w:hAnsi="Arial" w:cs="Arial"/>
          <w:b/>
          <w:color w:val="000000"/>
          <w:sz w:val="20"/>
          <w:szCs w:val="20"/>
          <w:u w:val="single"/>
        </w:rPr>
        <w:t xml:space="preserve">  Final Rule requests comments on forward contracts with embedded volumetric options.  </w:t>
      </w:r>
    </w:p>
    <w:p w:rsidR="00E64DC4" w:rsidRPr="00510AE7" w:rsidRDefault="00E64DC4"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Commodity Options – Final Rule was effective 6/26/2012.  This rule’s trade option exemption will be discussed with Swap definition above.</w:t>
      </w:r>
    </w:p>
    <w:p w:rsidR="00526D2C" w:rsidRDefault="00526D2C"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 xml:space="preserve">End-User Exception </w:t>
      </w:r>
      <w:r w:rsidR="009C490C" w:rsidRPr="00510AE7">
        <w:rPr>
          <w:rFonts w:ascii="Arial" w:hAnsi="Arial" w:cs="Arial"/>
          <w:b/>
          <w:color w:val="000000"/>
          <w:sz w:val="20"/>
          <w:szCs w:val="20"/>
          <w:u w:val="single"/>
        </w:rPr>
        <w:t xml:space="preserve">– Final rule </w:t>
      </w:r>
      <w:r w:rsidRPr="00510AE7">
        <w:rPr>
          <w:rFonts w:ascii="Arial" w:hAnsi="Arial" w:cs="Arial"/>
          <w:b/>
          <w:color w:val="000000"/>
          <w:sz w:val="20"/>
          <w:szCs w:val="20"/>
          <w:u w:val="single"/>
        </w:rPr>
        <w:t xml:space="preserve">setting forth requirements to select exception to mandatory clearing </w:t>
      </w:r>
      <w:r w:rsidR="00FF73AD" w:rsidRPr="00510AE7">
        <w:rPr>
          <w:rFonts w:ascii="Arial" w:hAnsi="Arial" w:cs="Arial"/>
          <w:b/>
          <w:color w:val="000000"/>
          <w:sz w:val="20"/>
          <w:szCs w:val="20"/>
          <w:u w:val="single"/>
        </w:rPr>
        <w:t xml:space="preserve">will be </w:t>
      </w:r>
      <w:r w:rsidRPr="00510AE7">
        <w:rPr>
          <w:rFonts w:ascii="Arial" w:hAnsi="Arial" w:cs="Arial"/>
          <w:b/>
          <w:color w:val="000000"/>
          <w:sz w:val="20"/>
          <w:szCs w:val="20"/>
          <w:u w:val="single"/>
        </w:rPr>
        <w:t xml:space="preserve">effective </w:t>
      </w:r>
      <w:r w:rsidR="00FF73AD" w:rsidRPr="00510AE7">
        <w:rPr>
          <w:rFonts w:ascii="Arial" w:hAnsi="Arial" w:cs="Arial"/>
          <w:b/>
          <w:color w:val="000000"/>
          <w:sz w:val="20"/>
          <w:szCs w:val="20"/>
          <w:u w:val="single"/>
        </w:rPr>
        <w:t>9/17/2012.</w:t>
      </w:r>
    </w:p>
    <w:p w:rsidR="007478E3" w:rsidRPr="00DB2297" w:rsidRDefault="00510AE7" w:rsidP="007478E3">
      <w:pPr>
        <w:spacing w:after="120"/>
        <w:rPr>
          <w:rFonts w:ascii="Arial" w:hAnsi="Arial" w:cs="Arial"/>
          <w:b/>
          <w:color w:val="000000"/>
          <w:sz w:val="22"/>
          <w:szCs w:val="22"/>
          <w:u w:val="single"/>
        </w:rPr>
      </w:pPr>
      <w:r w:rsidRPr="00DB2297">
        <w:rPr>
          <w:rStyle w:val="Strong"/>
          <w:rFonts w:ascii="Arial" w:hAnsi="Arial" w:cs="Arial"/>
          <w:color w:val="000000"/>
          <w:sz w:val="22"/>
          <w:szCs w:val="22"/>
          <w:u w:val="single"/>
        </w:rPr>
        <w:t xml:space="preserve">Other </w:t>
      </w:r>
      <w:r w:rsidR="007478E3" w:rsidRPr="00DB2297">
        <w:rPr>
          <w:rStyle w:val="Strong"/>
          <w:rFonts w:ascii="Arial" w:hAnsi="Arial" w:cs="Arial"/>
          <w:color w:val="000000"/>
          <w:sz w:val="22"/>
          <w:szCs w:val="22"/>
          <w:u w:val="single"/>
        </w:rPr>
        <w:t xml:space="preserve">Final </w:t>
      </w:r>
      <w:r w:rsidRPr="00DB2297">
        <w:rPr>
          <w:rStyle w:val="Strong"/>
          <w:rFonts w:ascii="Arial" w:hAnsi="Arial" w:cs="Arial"/>
          <w:color w:val="000000"/>
          <w:sz w:val="22"/>
          <w:szCs w:val="22"/>
          <w:u w:val="single"/>
        </w:rPr>
        <w:t>Rules affecting End-users:</w:t>
      </w:r>
    </w:p>
    <w:p w:rsidR="00510AE7" w:rsidRPr="00510AE7" w:rsidRDefault="00510AE7"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Internal Business Conduct Standards for SDs and MSPs – Final Rule was effective 6/4/2012. Duties, reporting, recordkeeping, and daily trading records requirements for SDs and MSPs to impact counterparties.</w:t>
      </w:r>
    </w:p>
    <w:p w:rsidR="00510AE7" w:rsidRPr="00510AE7" w:rsidRDefault="00510AE7"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External Business Conduct Standards for SDs and MSPs – Final Rule was effective 4/17/2012. External business conduct standards will govern SDs and MSPs in their dealings with swap counterparties, including “Special Entities.”</w:t>
      </w:r>
    </w:p>
    <w:p w:rsidR="00510AE7" w:rsidRPr="00510AE7" w:rsidRDefault="00510AE7"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lastRenderedPageBreak/>
        <w:t>Margin Requirements for Uncleared Swaps for SDs and MSPs – Comment period on Proposed Rule reopened until 9/12/2012 in light of consultative paper by Basel Commission on Banking Supervision (BCBS) and the International Organization of Securities Commissions (IOSCO).</w:t>
      </w:r>
    </w:p>
    <w:p w:rsidR="00510AE7" w:rsidRPr="00510AE7" w:rsidRDefault="00510AE7"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Swap Trading Relationship Documentation Requirements for SDs and MSPs – Proposed Rule would impose swap trading relationship documentation requirements on SDs and MSPs which impact counterparties.</w:t>
      </w:r>
    </w:p>
    <w:p w:rsidR="00510AE7" w:rsidRPr="00510AE7" w:rsidRDefault="00510AE7" w:rsidP="00DB2297">
      <w:pPr>
        <w:spacing w:after="60"/>
        <w:ind w:left="144" w:hanging="144"/>
        <w:rPr>
          <w:rFonts w:ascii="Arial" w:hAnsi="Arial" w:cs="Arial"/>
          <w:b/>
          <w:color w:val="000000"/>
          <w:sz w:val="20"/>
          <w:szCs w:val="20"/>
          <w:u w:val="single"/>
        </w:rPr>
      </w:pPr>
      <w:r w:rsidRPr="00510AE7">
        <w:rPr>
          <w:rFonts w:ascii="Arial" w:hAnsi="Arial" w:cs="Arial"/>
          <w:b/>
          <w:color w:val="000000"/>
          <w:sz w:val="20"/>
          <w:szCs w:val="20"/>
          <w:u w:val="single"/>
        </w:rPr>
        <w:t xml:space="preserve">Inter-Affiliate Clearing Exemption – Proposed exemption from clearing requirement for certain affiliates within a corporate group subject to conditions. Comments on Proposed Rule due 9/20/2012. </w:t>
      </w:r>
    </w:p>
    <w:p w:rsidR="00134CCB" w:rsidRPr="00510AE7" w:rsidRDefault="00134CCB" w:rsidP="00134CCB">
      <w:pPr>
        <w:rPr>
          <w:rFonts w:ascii="Arial" w:hAnsi="Arial" w:cs="Arial"/>
          <w:color w:val="000000"/>
          <w:sz w:val="20"/>
          <w:szCs w:val="20"/>
        </w:rPr>
      </w:pPr>
      <w:r w:rsidRPr="00510AE7">
        <w:rPr>
          <w:rFonts w:ascii="Arial" w:hAnsi="Arial" w:cs="Arial"/>
          <w:i/>
          <w:color w:val="000000"/>
          <w:sz w:val="20"/>
          <w:szCs w:val="20"/>
        </w:rPr>
        <w:t>Federal Register</w:t>
      </w:r>
      <w:r w:rsidRPr="00510AE7">
        <w:rPr>
          <w:rFonts w:ascii="Arial" w:hAnsi="Arial" w:cs="Arial"/>
          <w:color w:val="000000"/>
          <w:sz w:val="20"/>
          <w:szCs w:val="20"/>
        </w:rPr>
        <w:t xml:space="preserve"> publications of CFTC approved Final Rules may be found at the following link:</w:t>
      </w:r>
    </w:p>
    <w:p w:rsidR="00134CCB" w:rsidRPr="00510AE7" w:rsidRDefault="002F5210" w:rsidP="00134CCB">
      <w:pPr>
        <w:rPr>
          <w:rFonts w:ascii="Arial" w:hAnsi="Arial" w:cs="Arial"/>
          <w:color w:val="000000"/>
          <w:sz w:val="20"/>
          <w:szCs w:val="20"/>
        </w:rPr>
      </w:pPr>
      <w:hyperlink r:id="rId8" w:history="1">
        <w:r w:rsidR="00134CCB" w:rsidRPr="00510AE7">
          <w:rPr>
            <w:rStyle w:val="Hyperlink"/>
            <w:rFonts w:ascii="Arial" w:hAnsi="Arial" w:cs="Arial"/>
            <w:sz w:val="20"/>
            <w:szCs w:val="20"/>
          </w:rPr>
          <w:t>http://comments.cftc.gov/FederalRegister/Final.aspx</w:t>
        </w:r>
      </w:hyperlink>
      <w:r w:rsidR="00134CCB" w:rsidRPr="00510AE7">
        <w:rPr>
          <w:rFonts w:ascii="Arial" w:hAnsi="Arial" w:cs="Arial"/>
          <w:color w:val="000000"/>
          <w:sz w:val="20"/>
          <w:szCs w:val="20"/>
        </w:rPr>
        <w:t xml:space="preserve"> </w:t>
      </w:r>
    </w:p>
    <w:p w:rsidR="007478E3" w:rsidRPr="00510AE7" w:rsidRDefault="007478E3" w:rsidP="00134CCB">
      <w:pPr>
        <w:rPr>
          <w:rFonts w:ascii="Arial" w:hAnsi="Arial" w:cs="Arial"/>
          <w:color w:val="000000"/>
          <w:sz w:val="20"/>
          <w:szCs w:val="20"/>
        </w:rPr>
      </w:pPr>
    </w:p>
    <w:p w:rsidR="00FF5527" w:rsidRPr="00DB2297" w:rsidRDefault="00510AE7" w:rsidP="007478E3">
      <w:pPr>
        <w:spacing w:after="120"/>
        <w:rPr>
          <w:rFonts w:ascii="Arial" w:hAnsi="Arial" w:cs="Arial"/>
          <w:b/>
          <w:color w:val="000000"/>
          <w:sz w:val="22"/>
          <w:szCs w:val="22"/>
          <w:u w:val="single"/>
        </w:rPr>
      </w:pPr>
      <w:r w:rsidRPr="00DB2297">
        <w:rPr>
          <w:rFonts w:ascii="Arial" w:hAnsi="Arial" w:cs="Arial"/>
          <w:b/>
          <w:color w:val="000000"/>
          <w:sz w:val="22"/>
          <w:szCs w:val="22"/>
          <w:u w:val="single"/>
        </w:rPr>
        <w:t xml:space="preserve">Other Information </w:t>
      </w:r>
      <w:r w:rsidR="009C576F" w:rsidRPr="00DB2297">
        <w:rPr>
          <w:rFonts w:ascii="Arial" w:hAnsi="Arial" w:cs="Arial"/>
          <w:b/>
          <w:color w:val="000000"/>
          <w:sz w:val="22"/>
          <w:szCs w:val="22"/>
          <w:u w:val="single"/>
        </w:rPr>
        <w:t>for non-Financial End-Users</w:t>
      </w:r>
      <w:r w:rsidR="00FF5527" w:rsidRPr="00DB2297">
        <w:rPr>
          <w:rFonts w:ascii="Arial" w:hAnsi="Arial" w:cs="Arial"/>
          <w:b/>
          <w:color w:val="000000"/>
          <w:sz w:val="22"/>
          <w:szCs w:val="22"/>
          <w:u w:val="single"/>
        </w:rPr>
        <w:t>:</w:t>
      </w:r>
    </w:p>
    <w:p w:rsidR="00134CCB" w:rsidRDefault="00134CCB" w:rsidP="007478E3">
      <w:pPr>
        <w:numPr>
          <w:ilvl w:val="0"/>
          <w:numId w:val="1"/>
        </w:numPr>
        <w:spacing w:after="60"/>
        <w:ind w:left="0"/>
        <w:rPr>
          <w:rFonts w:ascii="Arial" w:hAnsi="Arial" w:cs="Arial"/>
          <w:sz w:val="20"/>
          <w:szCs w:val="20"/>
        </w:rPr>
      </w:pPr>
      <w:r w:rsidRPr="00510AE7">
        <w:rPr>
          <w:rFonts w:ascii="Arial" w:hAnsi="Arial" w:cs="Arial"/>
          <w:b/>
          <w:color w:val="000000"/>
          <w:sz w:val="20"/>
          <w:szCs w:val="20"/>
          <w:u w:val="single"/>
        </w:rPr>
        <w:t>Most applicable Final Rules are issued and the compliance timelines have started.  Illustrative timeline with some deadlines are set forth on the embedded document compliments of Skadden Law Firm of Washington, DC:</w:t>
      </w:r>
      <w:r>
        <w:rPr>
          <w:rFonts w:ascii="Arial" w:hAnsi="Arial" w:cs="Arial"/>
          <w:b/>
          <w:color w:val="000000"/>
          <w:sz w:val="20"/>
          <w:szCs w:val="20"/>
          <w:u w:val="single"/>
        </w:rPr>
        <w:br/>
      </w:r>
      <w:r w:rsidR="00DB2297" w:rsidRPr="00510AE7">
        <w:rPr>
          <w:rFonts w:ascii="Arial" w:hAnsi="Arial" w:cs="Arial"/>
          <w:color w:val="000000"/>
          <w:sz w:val="20"/>
          <w:szCs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9.75pt" o:ole="">
            <v:imagedata r:id="rId9" o:title=""/>
          </v:shape>
          <o:OLEObject Type="Embed" ProgID="AcroExch.Document.7" ShapeID="_x0000_i1025" DrawAspect="Icon" ObjectID="_1407244498" r:id="rId10"/>
        </w:object>
      </w:r>
      <w:r w:rsidRPr="00510AE7">
        <w:rPr>
          <w:rFonts w:ascii="Arial" w:hAnsi="Arial" w:cs="Arial"/>
          <w:color w:val="000000"/>
          <w:sz w:val="20"/>
          <w:szCs w:val="20"/>
        </w:rPr>
        <w:t xml:space="preserve">  </w:t>
      </w:r>
    </w:p>
    <w:p w:rsidR="00232AF5" w:rsidRPr="00510AE7" w:rsidRDefault="00232AF5" w:rsidP="007478E3">
      <w:pPr>
        <w:numPr>
          <w:ilvl w:val="0"/>
          <w:numId w:val="1"/>
        </w:numPr>
        <w:spacing w:after="60"/>
        <w:ind w:left="0"/>
        <w:rPr>
          <w:rFonts w:ascii="Arial" w:hAnsi="Arial" w:cs="Arial"/>
          <w:sz w:val="20"/>
          <w:szCs w:val="20"/>
        </w:rPr>
      </w:pPr>
      <w:r w:rsidRPr="00510AE7">
        <w:rPr>
          <w:rFonts w:ascii="Arial" w:hAnsi="Arial" w:cs="Arial"/>
          <w:sz w:val="20"/>
          <w:szCs w:val="20"/>
        </w:rPr>
        <w:t>CFTC approve</w:t>
      </w:r>
      <w:r w:rsidR="00D53307" w:rsidRPr="00510AE7">
        <w:rPr>
          <w:rFonts w:ascii="Arial" w:hAnsi="Arial" w:cs="Arial"/>
          <w:sz w:val="20"/>
          <w:szCs w:val="20"/>
        </w:rPr>
        <w:t>s</w:t>
      </w:r>
      <w:r w:rsidRPr="00510AE7">
        <w:rPr>
          <w:rFonts w:ascii="Arial" w:hAnsi="Arial" w:cs="Arial"/>
          <w:sz w:val="20"/>
          <w:szCs w:val="20"/>
        </w:rPr>
        <w:t xml:space="preserve"> a </w:t>
      </w:r>
      <w:r w:rsidR="003A5DC5" w:rsidRPr="00510AE7">
        <w:rPr>
          <w:rFonts w:ascii="Arial" w:hAnsi="Arial" w:cs="Arial"/>
          <w:sz w:val="20"/>
          <w:szCs w:val="20"/>
        </w:rPr>
        <w:t>Re-</w:t>
      </w:r>
      <w:r w:rsidRPr="00510AE7">
        <w:rPr>
          <w:rFonts w:ascii="Arial" w:hAnsi="Arial" w:cs="Arial"/>
          <w:sz w:val="20"/>
          <w:szCs w:val="20"/>
        </w:rPr>
        <w:t>Proposed Rule on Procedures to Establish Appropriate Minimum Block Sizes for Large Notional Off-Facility Swaps and Block Trades</w:t>
      </w:r>
      <w:r w:rsidR="003A5DC5" w:rsidRPr="00510AE7">
        <w:rPr>
          <w:rFonts w:ascii="Arial" w:hAnsi="Arial" w:cs="Arial"/>
          <w:sz w:val="20"/>
          <w:szCs w:val="20"/>
        </w:rPr>
        <w:t xml:space="preserve"> and </w:t>
      </w:r>
      <w:r w:rsidRPr="00510AE7">
        <w:rPr>
          <w:rFonts w:ascii="Arial" w:hAnsi="Arial" w:cs="Arial"/>
          <w:sz w:val="20"/>
          <w:szCs w:val="20"/>
        </w:rPr>
        <w:t>Further Measures to Protect the Identities of Parties to Swap Transactions.</w:t>
      </w:r>
    </w:p>
    <w:p w:rsidR="00BF4C40" w:rsidRDefault="00E3458C" w:rsidP="007478E3">
      <w:pPr>
        <w:numPr>
          <w:ilvl w:val="0"/>
          <w:numId w:val="1"/>
        </w:numPr>
        <w:spacing w:after="60"/>
        <w:ind w:left="0"/>
        <w:rPr>
          <w:rFonts w:ascii="Arial" w:hAnsi="Arial" w:cs="Arial"/>
          <w:sz w:val="20"/>
          <w:szCs w:val="20"/>
        </w:rPr>
      </w:pPr>
      <w:r w:rsidRPr="00510AE7">
        <w:rPr>
          <w:rFonts w:ascii="Arial" w:hAnsi="Arial" w:cs="Arial"/>
          <w:b/>
          <w:sz w:val="20"/>
          <w:szCs w:val="20"/>
          <w:u w:val="single"/>
        </w:rPr>
        <w:t xml:space="preserve">On June 28, 2012, CFTC granted ICE Trade Vault provisional registration as </w:t>
      </w:r>
      <w:r w:rsidR="00BF4C40" w:rsidRPr="00510AE7">
        <w:rPr>
          <w:rFonts w:ascii="Arial" w:hAnsi="Arial" w:cs="Arial"/>
          <w:b/>
          <w:sz w:val="20"/>
          <w:szCs w:val="20"/>
          <w:u w:val="single"/>
        </w:rPr>
        <w:t>Swap Data Repository (SDR)</w:t>
      </w:r>
      <w:r w:rsidRPr="00510AE7">
        <w:rPr>
          <w:rFonts w:ascii="Arial" w:hAnsi="Arial" w:cs="Arial"/>
          <w:sz w:val="20"/>
          <w:szCs w:val="20"/>
        </w:rPr>
        <w:t xml:space="preserve">. </w:t>
      </w:r>
      <w:r w:rsidR="00BF4C40" w:rsidRPr="00510AE7">
        <w:rPr>
          <w:rFonts w:ascii="Arial" w:hAnsi="Arial" w:cs="Arial"/>
          <w:sz w:val="20"/>
          <w:szCs w:val="20"/>
        </w:rPr>
        <w:t xml:space="preserve"> Depository Trust &amp; Clearing Organization </w:t>
      </w:r>
      <w:r w:rsidR="00C46177" w:rsidRPr="00510AE7">
        <w:rPr>
          <w:rFonts w:ascii="Arial" w:hAnsi="Arial" w:cs="Arial"/>
          <w:sz w:val="20"/>
          <w:szCs w:val="20"/>
        </w:rPr>
        <w:t xml:space="preserve">and Reval SDR Inc. </w:t>
      </w:r>
      <w:r w:rsidR="00AD4CE4" w:rsidRPr="00510AE7">
        <w:rPr>
          <w:rFonts w:ascii="Arial" w:hAnsi="Arial" w:cs="Arial"/>
          <w:sz w:val="20"/>
          <w:szCs w:val="20"/>
        </w:rPr>
        <w:t xml:space="preserve">have also sought </w:t>
      </w:r>
      <w:r w:rsidR="00BF4C40" w:rsidRPr="00510AE7">
        <w:rPr>
          <w:rFonts w:ascii="Arial" w:hAnsi="Arial" w:cs="Arial"/>
          <w:sz w:val="20"/>
          <w:szCs w:val="20"/>
        </w:rPr>
        <w:t>“provisional” registration</w:t>
      </w:r>
      <w:r w:rsidR="00C46177" w:rsidRPr="00510AE7">
        <w:rPr>
          <w:rFonts w:ascii="Arial" w:hAnsi="Arial" w:cs="Arial"/>
          <w:sz w:val="20"/>
          <w:szCs w:val="20"/>
        </w:rPr>
        <w:t xml:space="preserve">. </w:t>
      </w:r>
      <w:r w:rsidR="00442D74" w:rsidRPr="00510AE7">
        <w:rPr>
          <w:rFonts w:ascii="Arial" w:hAnsi="Arial" w:cs="Arial"/>
          <w:sz w:val="20"/>
          <w:szCs w:val="20"/>
        </w:rPr>
        <w:t xml:space="preserve"> (SDR Registration Rule issued 9/1/2011 effective 10/31/2011)</w:t>
      </w:r>
      <w:r w:rsidR="00BF4C40" w:rsidRPr="00510AE7">
        <w:rPr>
          <w:rFonts w:ascii="Arial" w:hAnsi="Arial" w:cs="Arial"/>
          <w:sz w:val="20"/>
          <w:szCs w:val="20"/>
        </w:rPr>
        <w:t>.</w:t>
      </w:r>
    </w:p>
    <w:p w:rsidR="00772FFB" w:rsidRPr="00FA5FCB" w:rsidRDefault="00772FFB" w:rsidP="007478E3">
      <w:pPr>
        <w:numPr>
          <w:ilvl w:val="0"/>
          <w:numId w:val="1"/>
        </w:numPr>
        <w:spacing w:after="60"/>
        <w:ind w:left="0"/>
        <w:rPr>
          <w:rFonts w:ascii="Arial" w:hAnsi="Arial" w:cs="Arial"/>
          <w:sz w:val="20"/>
          <w:szCs w:val="20"/>
        </w:rPr>
      </w:pPr>
      <w:r w:rsidRPr="00510AE7">
        <w:rPr>
          <w:rFonts w:ascii="Arial" w:hAnsi="Arial" w:cs="Arial"/>
          <w:b/>
          <w:sz w:val="20"/>
          <w:szCs w:val="20"/>
          <w:u w:val="single"/>
        </w:rPr>
        <w:t xml:space="preserve">On July 23, 2012, CFTC issues Legal Entity Identifier Order designating DTCC-SWIFT as the provider of CFTC Interim Compliance Identifier (CICI) used for recordkeeping and reporting of swap transactions.  DTCC-SWIFT established a web portal that provides free access to legal names, parent-company names and other information on participants in financial transactions (including CICI, where available).  The </w:t>
      </w:r>
      <w:r>
        <w:rPr>
          <w:rFonts w:ascii="Arial" w:hAnsi="Arial" w:cs="Arial"/>
          <w:b/>
          <w:sz w:val="20"/>
          <w:szCs w:val="20"/>
          <w:u w:val="single"/>
        </w:rPr>
        <w:t xml:space="preserve">latest </w:t>
      </w:r>
      <w:r w:rsidRPr="00510AE7">
        <w:rPr>
          <w:rFonts w:ascii="Arial" w:hAnsi="Arial" w:cs="Arial"/>
          <w:b/>
          <w:sz w:val="20"/>
          <w:szCs w:val="20"/>
          <w:u w:val="single"/>
        </w:rPr>
        <w:t xml:space="preserve">portal link is:   </w:t>
      </w:r>
      <w:hyperlink r:id="rId11" w:history="1">
        <w:r w:rsidRPr="00AB1F02">
          <w:rPr>
            <w:rStyle w:val="Hyperlink"/>
            <w:rFonts w:ascii="Arial" w:hAnsi="Arial" w:cs="Arial"/>
            <w:b/>
            <w:sz w:val="20"/>
            <w:szCs w:val="20"/>
          </w:rPr>
          <w:t>http://www.ciciutility.org</w:t>
        </w:r>
      </w:hyperlink>
      <w:r>
        <w:rPr>
          <w:rFonts w:ascii="Arial" w:hAnsi="Arial" w:cs="Arial"/>
          <w:b/>
          <w:sz w:val="20"/>
          <w:szCs w:val="20"/>
          <w:u w:val="single"/>
        </w:rPr>
        <w:t xml:space="preserve"> </w:t>
      </w:r>
    </w:p>
    <w:p w:rsidR="00FA5FCB" w:rsidRPr="00FA5FCB" w:rsidRDefault="00FA5FCB" w:rsidP="007478E3">
      <w:pPr>
        <w:numPr>
          <w:ilvl w:val="0"/>
          <w:numId w:val="1"/>
        </w:numPr>
        <w:spacing w:after="60"/>
        <w:ind w:left="0"/>
        <w:rPr>
          <w:rFonts w:ascii="Arial" w:hAnsi="Arial" w:cs="Arial"/>
          <w:sz w:val="20"/>
          <w:szCs w:val="20"/>
        </w:rPr>
      </w:pPr>
      <w:r w:rsidRPr="00510AE7">
        <w:rPr>
          <w:rFonts w:ascii="Arial" w:hAnsi="Arial" w:cs="Arial"/>
          <w:b/>
          <w:sz w:val="20"/>
          <w:szCs w:val="20"/>
          <w:u w:val="single"/>
        </w:rPr>
        <w:t>On August 13, 2012, ISDA opened its ISDA D-F Protocol as part of its documentation Initiative to assist the industry with its compliance efforts including revisions to existing ISDA Agreements.  More information available at the following link</w:t>
      </w:r>
      <w:r>
        <w:rPr>
          <w:rFonts w:ascii="Arial" w:hAnsi="Arial" w:cs="Arial"/>
          <w:b/>
          <w:sz w:val="20"/>
          <w:szCs w:val="20"/>
          <w:u w:val="single"/>
        </w:rPr>
        <w:t>s</w:t>
      </w:r>
      <w:r w:rsidRPr="00510AE7">
        <w:rPr>
          <w:rFonts w:ascii="Arial" w:hAnsi="Arial" w:cs="Arial"/>
          <w:b/>
          <w:sz w:val="20"/>
          <w:szCs w:val="20"/>
          <w:u w:val="single"/>
        </w:rPr>
        <w:t xml:space="preserve">: </w:t>
      </w:r>
      <w:r>
        <w:rPr>
          <w:rFonts w:ascii="Arial" w:hAnsi="Arial" w:cs="Arial"/>
          <w:b/>
          <w:sz w:val="20"/>
          <w:szCs w:val="20"/>
          <w:u w:val="single"/>
        </w:rPr>
        <w:t>(ISDA DF Documentation Initiative)</w:t>
      </w:r>
      <w:r w:rsidRPr="00510AE7">
        <w:rPr>
          <w:rFonts w:ascii="Arial" w:hAnsi="Arial" w:cs="Arial"/>
          <w:b/>
          <w:sz w:val="20"/>
          <w:szCs w:val="20"/>
          <w:u w:val="single"/>
        </w:rPr>
        <w:t xml:space="preserve"> </w:t>
      </w:r>
      <w:hyperlink r:id="rId12" w:history="1">
        <w:r w:rsidRPr="003E2A8C">
          <w:rPr>
            <w:rStyle w:val="Hyperlink"/>
            <w:rFonts w:ascii="Arial" w:hAnsi="Arial" w:cs="Arial"/>
            <w:b/>
            <w:sz w:val="20"/>
            <w:szCs w:val="20"/>
          </w:rPr>
          <w:t>http://www2.isda.org/dodd-frank-documentation-initiative/</w:t>
        </w:r>
      </w:hyperlink>
      <w:r>
        <w:rPr>
          <w:rFonts w:ascii="Arial" w:hAnsi="Arial" w:cs="Arial"/>
          <w:b/>
          <w:sz w:val="20"/>
          <w:szCs w:val="20"/>
          <w:u w:val="single"/>
        </w:rPr>
        <w:t xml:space="preserve"> and </w:t>
      </w:r>
      <w:r>
        <w:rPr>
          <w:rFonts w:ascii="Arial" w:hAnsi="Arial" w:cs="Arial"/>
          <w:b/>
          <w:sz w:val="20"/>
          <w:szCs w:val="20"/>
          <w:u w:val="single"/>
        </w:rPr>
        <w:br/>
        <w:t xml:space="preserve">(ISDA DF Protocol) </w:t>
      </w:r>
      <w:r w:rsidRPr="00510AE7">
        <w:rPr>
          <w:rFonts w:ascii="Arial" w:hAnsi="Arial" w:cs="Arial"/>
          <w:b/>
          <w:sz w:val="20"/>
          <w:szCs w:val="20"/>
          <w:u w:val="single"/>
        </w:rPr>
        <w:t xml:space="preserve"> </w:t>
      </w:r>
      <w:hyperlink r:id="rId13" w:history="1">
        <w:r w:rsidRPr="003E2A8C">
          <w:rPr>
            <w:rStyle w:val="Hyperlink"/>
            <w:rFonts w:ascii="Arial" w:hAnsi="Arial" w:cs="Arial"/>
            <w:b/>
            <w:sz w:val="20"/>
            <w:szCs w:val="20"/>
          </w:rPr>
          <w:t>http://www2.issda.org/functional-areas/protocol-management/protocol/8</w:t>
        </w:r>
      </w:hyperlink>
      <w:r>
        <w:rPr>
          <w:rFonts w:ascii="Arial" w:hAnsi="Arial" w:cs="Arial"/>
          <w:b/>
          <w:sz w:val="20"/>
          <w:szCs w:val="20"/>
        </w:rPr>
        <w:t xml:space="preserve"> </w:t>
      </w:r>
    </w:p>
    <w:p w:rsidR="00FA5FCB" w:rsidRPr="00FA5FCB" w:rsidRDefault="00FA5FCB" w:rsidP="007478E3">
      <w:pPr>
        <w:numPr>
          <w:ilvl w:val="0"/>
          <w:numId w:val="1"/>
        </w:numPr>
        <w:spacing w:after="60"/>
        <w:ind w:left="0"/>
        <w:rPr>
          <w:rFonts w:ascii="Arial" w:hAnsi="Arial" w:cs="Arial"/>
          <w:sz w:val="20"/>
          <w:szCs w:val="20"/>
        </w:rPr>
      </w:pPr>
      <w:r>
        <w:rPr>
          <w:rFonts w:ascii="Arial" w:hAnsi="Arial" w:cs="Arial"/>
          <w:b/>
          <w:sz w:val="20"/>
          <w:szCs w:val="20"/>
          <w:u w:val="single"/>
        </w:rPr>
        <w:t xml:space="preserve">Another example of third party service for ISDA amendments and related DF compliance is offered by Markit Financial Information Services at the following link: </w:t>
      </w:r>
      <w:hyperlink r:id="rId14" w:history="1">
        <w:r w:rsidRPr="003E2A8C">
          <w:rPr>
            <w:rStyle w:val="Hyperlink"/>
            <w:rFonts w:ascii="Arial" w:hAnsi="Arial" w:cs="Arial"/>
            <w:b/>
            <w:sz w:val="20"/>
            <w:szCs w:val="20"/>
          </w:rPr>
          <w:t>http://www.markit.com/en/products/distribution/document-exchange/isda-amend.page#</w:t>
        </w:r>
      </w:hyperlink>
    </w:p>
    <w:p w:rsidR="00864726" w:rsidRDefault="00864726" w:rsidP="007478E3">
      <w:pPr>
        <w:numPr>
          <w:ilvl w:val="0"/>
          <w:numId w:val="1"/>
        </w:numPr>
        <w:spacing w:after="60"/>
        <w:ind w:left="0"/>
        <w:rPr>
          <w:rFonts w:ascii="Arial" w:hAnsi="Arial" w:cs="Arial"/>
          <w:b/>
          <w:sz w:val="20"/>
          <w:szCs w:val="20"/>
          <w:u w:val="single"/>
        </w:rPr>
      </w:pPr>
      <w:r w:rsidRPr="00510AE7">
        <w:rPr>
          <w:rFonts w:ascii="Arial" w:hAnsi="Arial" w:cs="Arial"/>
          <w:b/>
          <w:sz w:val="20"/>
          <w:szCs w:val="20"/>
          <w:u w:val="single"/>
        </w:rPr>
        <w:t xml:space="preserve">On August 20, 2012, EEI announced that its EEI Contract Drafting Committee is sponsoring an industry event on 9/12/2012 at various locations (Houston (live) with video-linked to New York, Chicago and Los Angeles).  Event will cover proposal on documentation for “book-outs” (required by 10/12/2012) and other document changes under swap definition and related rules.  The link to register for this event is:  </w:t>
      </w:r>
      <w:hyperlink r:id="rId15" w:history="1">
        <w:r w:rsidRPr="00510AE7">
          <w:rPr>
            <w:rStyle w:val="Hyperlink"/>
            <w:rFonts w:ascii="Arial" w:hAnsi="Arial" w:cs="Arial"/>
            <w:b/>
            <w:sz w:val="20"/>
            <w:szCs w:val="20"/>
          </w:rPr>
          <w:t>http://react.bracewellgiuliani.com/reaction/RSGenPage.asp?RSID=8C8408E4C1E21D8DCB2E1B37C30711BCA4443419B0827C32A9F2E418D8902FD7A</w:t>
        </w:r>
      </w:hyperlink>
      <w:r w:rsidRPr="00510AE7">
        <w:rPr>
          <w:rFonts w:ascii="Arial" w:hAnsi="Arial" w:cs="Arial"/>
          <w:b/>
          <w:sz w:val="20"/>
          <w:szCs w:val="20"/>
          <w:u w:val="single"/>
        </w:rPr>
        <w:t xml:space="preserve">   </w:t>
      </w:r>
    </w:p>
    <w:p w:rsidR="00DB2297" w:rsidRPr="00510AE7" w:rsidRDefault="00DB2297" w:rsidP="007478E3">
      <w:pPr>
        <w:numPr>
          <w:ilvl w:val="0"/>
          <w:numId w:val="1"/>
        </w:numPr>
        <w:spacing w:after="60"/>
        <w:ind w:left="0"/>
        <w:rPr>
          <w:rFonts w:ascii="Arial" w:hAnsi="Arial" w:cs="Arial"/>
          <w:b/>
          <w:sz w:val="20"/>
          <w:szCs w:val="20"/>
          <w:u w:val="single"/>
        </w:rPr>
      </w:pPr>
      <w:r>
        <w:rPr>
          <w:rFonts w:ascii="Arial" w:hAnsi="Arial" w:cs="Arial"/>
          <w:b/>
          <w:sz w:val="20"/>
          <w:szCs w:val="20"/>
          <w:u w:val="single"/>
        </w:rPr>
        <w:t>On August 21, 2012, CFTC issued a proposed Rule to exempt purchase or sale of specifically defined “financial transmission rights,” “energy transactions,” “forward capacity transactions,” and “reserve or regulation transactions” that are offered or sold in a market administered by RTOs and ISOs pursuant to a protocol that is approved or permitted by FERC or PUCT.</w:t>
      </w:r>
    </w:p>
    <w:p w:rsidR="009600C4" w:rsidRPr="00510AE7" w:rsidRDefault="00E3458C" w:rsidP="007478E3">
      <w:pPr>
        <w:numPr>
          <w:ilvl w:val="0"/>
          <w:numId w:val="1"/>
        </w:numPr>
        <w:spacing w:after="60"/>
        <w:ind w:left="0"/>
        <w:rPr>
          <w:rFonts w:ascii="Arial" w:hAnsi="Arial" w:cs="Arial"/>
          <w:color w:val="000000"/>
          <w:sz w:val="20"/>
          <w:szCs w:val="20"/>
        </w:rPr>
      </w:pPr>
      <w:r w:rsidRPr="00510AE7">
        <w:rPr>
          <w:rFonts w:ascii="Arial" w:hAnsi="Arial" w:cs="Arial"/>
          <w:b/>
          <w:sz w:val="20"/>
          <w:szCs w:val="20"/>
          <w:u w:val="single"/>
        </w:rPr>
        <w:t xml:space="preserve">No new developments on actions by </w:t>
      </w:r>
      <w:r w:rsidR="00210DE2" w:rsidRPr="00510AE7">
        <w:rPr>
          <w:rFonts w:ascii="Arial" w:hAnsi="Arial" w:cs="Arial"/>
          <w:b/>
          <w:sz w:val="20"/>
          <w:szCs w:val="20"/>
          <w:u w:val="single"/>
        </w:rPr>
        <w:t>CFTC Technical Advisory Committee</w:t>
      </w:r>
      <w:r w:rsidRPr="00510AE7">
        <w:rPr>
          <w:rFonts w:ascii="Arial" w:hAnsi="Arial" w:cs="Arial"/>
          <w:b/>
          <w:sz w:val="20"/>
          <w:szCs w:val="20"/>
          <w:u w:val="single"/>
        </w:rPr>
        <w:t>’s</w:t>
      </w:r>
      <w:r w:rsidR="00210DE2" w:rsidRPr="00510AE7">
        <w:rPr>
          <w:rFonts w:ascii="Arial" w:hAnsi="Arial" w:cs="Arial"/>
          <w:b/>
          <w:sz w:val="20"/>
          <w:szCs w:val="20"/>
          <w:u w:val="single"/>
        </w:rPr>
        <w:t xml:space="preserve"> </w:t>
      </w:r>
      <w:r w:rsidRPr="00510AE7">
        <w:rPr>
          <w:rFonts w:ascii="Arial" w:hAnsi="Arial" w:cs="Arial"/>
          <w:b/>
          <w:sz w:val="20"/>
          <w:szCs w:val="20"/>
          <w:u w:val="single"/>
        </w:rPr>
        <w:t>Subcommittee on Data Standardization.</w:t>
      </w:r>
      <w:r w:rsidR="00D23AE5" w:rsidRPr="00510AE7">
        <w:rPr>
          <w:rFonts w:ascii="Arial" w:hAnsi="Arial" w:cs="Arial"/>
          <w:b/>
          <w:sz w:val="20"/>
          <w:szCs w:val="20"/>
          <w:u w:val="single"/>
        </w:rPr>
        <w:t xml:space="preserve"> </w:t>
      </w:r>
    </w:p>
    <w:p w:rsidR="00D23AE5" w:rsidRPr="00D23AE5" w:rsidRDefault="00D23AE5" w:rsidP="00D23AE5">
      <w:pPr>
        <w:rPr>
          <w:rFonts w:ascii="Arial" w:hAnsi="Arial" w:cs="Arial"/>
          <w:color w:val="000000"/>
          <w:sz w:val="22"/>
          <w:szCs w:val="22"/>
        </w:rPr>
      </w:pPr>
    </w:p>
    <w:sectPr w:rsidR="00D23AE5" w:rsidRPr="00D23AE5" w:rsidSect="00DB2297">
      <w:headerReference w:type="default" r:id="rId16"/>
      <w:footerReference w:type="default" r:id="rId17"/>
      <w:pgSz w:w="12240" w:h="15840"/>
      <w:pgMar w:top="1440" w:right="1152"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E4" w:rsidRDefault="00AD4CE4">
      <w:r>
        <w:separator/>
      </w:r>
    </w:p>
  </w:endnote>
  <w:endnote w:type="continuationSeparator" w:id="0">
    <w:p w:rsidR="00AD4CE4" w:rsidRDefault="00A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4" w:rsidRPr="00E87358" w:rsidRDefault="00E87358">
    <w:pPr>
      <w:pStyle w:val="Footer"/>
      <w:rPr>
        <w:sz w:val="20"/>
        <w:szCs w:val="20"/>
      </w:rPr>
    </w:pPr>
    <w:r w:rsidRPr="00E87358">
      <w:rPr>
        <w:sz w:val="20"/>
        <w:szCs w:val="20"/>
      </w:rPr>
      <w:t>K</w:t>
    </w:r>
    <w:r>
      <w:rPr>
        <w:sz w:val="20"/>
        <w:szCs w:val="20"/>
      </w:rPr>
      <w:t>MS</w:t>
    </w:r>
    <w:r w:rsidRPr="00E87358">
      <w:rPr>
        <w:sz w:val="20"/>
        <w:szCs w:val="20"/>
      </w:rPr>
      <w:t xml:space="preserve"> – as of 8/23/2012</w:t>
    </w:r>
    <w:r w:rsidR="00AD4CE4" w:rsidRPr="00E87358">
      <w:rPr>
        <w:sz w:val="20"/>
        <w:szCs w:val="20"/>
      </w:rPr>
      <w:tab/>
      <w:t xml:space="preserve">- </w:t>
    </w:r>
    <w:r w:rsidR="00C52F99" w:rsidRPr="00E87358">
      <w:rPr>
        <w:sz w:val="20"/>
        <w:szCs w:val="20"/>
      </w:rPr>
      <w:fldChar w:fldCharType="begin"/>
    </w:r>
    <w:r w:rsidR="00C52F99" w:rsidRPr="00E87358">
      <w:rPr>
        <w:sz w:val="20"/>
        <w:szCs w:val="20"/>
      </w:rPr>
      <w:instrText xml:space="preserve"> PAGE </w:instrText>
    </w:r>
    <w:r w:rsidR="00C52F99" w:rsidRPr="00E87358">
      <w:rPr>
        <w:sz w:val="20"/>
        <w:szCs w:val="20"/>
      </w:rPr>
      <w:fldChar w:fldCharType="separate"/>
    </w:r>
    <w:r w:rsidR="002F5210">
      <w:rPr>
        <w:noProof/>
        <w:sz w:val="20"/>
        <w:szCs w:val="20"/>
      </w:rPr>
      <w:t>1</w:t>
    </w:r>
    <w:r w:rsidR="00C52F99" w:rsidRPr="00E87358">
      <w:rPr>
        <w:noProof/>
        <w:sz w:val="20"/>
        <w:szCs w:val="20"/>
      </w:rPr>
      <w:fldChar w:fldCharType="end"/>
    </w:r>
    <w:r w:rsidR="00AD4CE4" w:rsidRPr="00E87358">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E4" w:rsidRDefault="00AD4CE4">
      <w:r>
        <w:separator/>
      </w:r>
    </w:p>
  </w:footnote>
  <w:footnote w:type="continuationSeparator" w:id="0">
    <w:p w:rsidR="00AD4CE4" w:rsidRDefault="00AD4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E4" w:rsidRDefault="00AD4CE4" w:rsidP="00520268">
    <w:pPr>
      <w:adjustRightInd w:val="0"/>
      <w:ind w:left="-720"/>
      <w:jc w:val="center"/>
      <w:rPr>
        <w:rFonts w:ascii="Arial" w:hAnsi="Arial" w:cs="Arial"/>
        <w:color w:val="000000"/>
        <w:sz w:val="22"/>
        <w:szCs w:val="22"/>
        <w:u w:val="single"/>
      </w:rPr>
    </w:pPr>
    <w:smartTag w:uri="urn:schemas-microsoft-com:office:smarttags" w:element="Street">
      <w:smartTag w:uri="urn:schemas-microsoft-com:office:smarttags" w:element="address">
        <w:r w:rsidRPr="00337385">
          <w:rPr>
            <w:rFonts w:ascii="Arial" w:hAnsi="Arial" w:cs="Arial"/>
            <w:color w:val="000000"/>
            <w:sz w:val="22"/>
            <w:szCs w:val="22"/>
            <w:u w:val="single"/>
          </w:rPr>
          <w:t>Dodd-Frank Wall Street</w:t>
        </w:r>
      </w:smartTag>
    </w:smartTag>
    <w:r w:rsidRPr="00337385">
      <w:rPr>
        <w:rFonts w:ascii="Arial" w:hAnsi="Arial" w:cs="Arial"/>
        <w:color w:val="000000"/>
        <w:sz w:val="22"/>
        <w:szCs w:val="22"/>
        <w:u w:val="single"/>
      </w:rPr>
      <w:t xml:space="preserve"> Reform and Consumer Protection Act </w:t>
    </w:r>
  </w:p>
  <w:p w:rsidR="00AD4CE4" w:rsidRDefault="00AD4CE4" w:rsidP="00520268">
    <w:pPr>
      <w:adjustRightInd w:val="0"/>
      <w:ind w:left="-720"/>
      <w:jc w:val="center"/>
      <w:rPr>
        <w:rFonts w:ascii="Arial" w:hAnsi="Arial" w:cs="Arial"/>
        <w:color w:val="000000"/>
        <w:sz w:val="22"/>
        <w:szCs w:val="22"/>
        <w:u w:val="single"/>
      </w:rPr>
    </w:pPr>
    <w:r>
      <w:rPr>
        <w:rFonts w:ascii="Arial" w:hAnsi="Arial" w:cs="Arial"/>
        <w:color w:val="000000"/>
        <w:sz w:val="22"/>
        <w:szCs w:val="22"/>
        <w:u w:val="single"/>
      </w:rPr>
      <w:t>NAESB Monthly Meeting Presentation (August 29,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0BD"/>
    <w:multiLevelType w:val="hybridMultilevel"/>
    <w:tmpl w:val="C6F63D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724E79BB"/>
    <w:multiLevelType w:val="hybridMultilevel"/>
    <w:tmpl w:val="B240E6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BF"/>
    <w:rsid w:val="00020AF0"/>
    <w:rsid w:val="00024AF3"/>
    <w:rsid w:val="0005609E"/>
    <w:rsid w:val="00057F64"/>
    <w:rsid w:val="00064A88"/>
    <w:rsid w:val="00073767"/>
    <w:rsid w:val="000737D5"/>
    <w:rsid w:val="00083137"/>
    <w:rsid w:val="000A2B19"/>
    <w:rsid w:val="000C1B94"/>
    <w:rsid w:val="000C39F8"/>
    <w:rsid w:val="000E05F9"/>
    <w:rsid w:val="000E0F36"/>
    <w:rsid w:val="000E4F07"/>
    <w:rsid w:val="000F15B6"/>
    <w:rsid w:val="000F1987"/>
    <w:rsid w:val="000F7BE5"/>
    <w:rsid w:val="00134CCB"/>
    <w:rsid w:val="00142EF1"/>
    <w:rsid w:val="0015604D"/>
    <w:rsid w:val="00166C70"/>
    <w:rsid w:val="001A2D75"/>
    <w:rsid w:val="001B14B7"/>
    <w:rsid w:val="001B261E"/>
    <w:rsid w:val="001B4938"/>
    <w:rsid w:val="001C1539"/>
    <w:rsid w:val="001D27D8"/>
    <w:rsid w:val="001D366C"/>
    <w:rsid w:val="001D45B1"/>
    <w:rsid w:val="001D7223"/>
    <w:rsid w:val="001E7FE8"/>
    <w:rsid w:val="001F1443"/>
    <w:rsid w:val="001F308A"/>
    <w:rsid w:val="001F51CB"/>
    <w:rsid w:val="002052D8"/>
    <w:rsid w:val="00206AB7"/>
    <w:rsid w:val="00210DE2"/>
    <w:rsid w:val="00210E77"/>
    <w:rsid w:val="00215D83"/>
    <w:rsid w:val="00232AF5"/>
    <w:rsid w:val="0026534E"/>
    <w:rsid w:val="002B22E3"/>
    <w:rsid w:val="002C207B"/>
    <w:rsid w:val="002D5ABD"/>
    <w:rsid w:val="002D6095"/>
    <w:rsid w:val="002F5210"/>
    <w:rsid w:val="00301004"/>
    <w:rsid w:val="0032610B"/>
    <w:rsid w:val="003444AC"/>
    <w:rsid w:val="00344557"/>
    <w:rsid w:val="0034592E"/>
    <w:rsid w:val="00350DAC"/>
    <w:rsid w:val="00364A8E"/>
    <w:rsid w:val="00366683"/>
    <w:rsid w:val="00366D05"/>
    <w:rsid w:val="00371068"/>
    <w:rsid w:val="00375893"/>
    <w:rsid w:val="003A4EF1"/>
    <w:rsid w:val="003A5DC5"/>
    <w:rsid w:val="003B48FE"/>
    <w:rsid w:val="003F3E20"/>
    <w:rsid w:val="004105C0"/>
    <w:rsid w:val="00421AC8"/>
    <w:rsid w:val="00422F28"/>
    <w:rsid w:val="00433DB3"/>
    <w:rsid w:val="00435464"/>
    <w:rsid w:val="00442D74"/>
    <w:rsid w:val="0045316F"/>
    <w:rsid w:val="00456AFC"/>
    <w:rsid w:val="0045760A"/>
    <w:rsid w:val="00470A38"/>
    <w:rsid w:val="00497A94"/>
    <w:rsid w:val="004B0441"/>
    <w:rsid w:val="004C08B7"/>
    <w:rsid w:val="004C212B"/>
    <w:rsid w:val="004D1804"/>
    <w:rsid w:val="004D455B"/>
    <w:rsid w:val="00510AE7"/>
    <w:rsid w:val="00520268"/>
    <w:rsid w:val="00526D2C"/>
    <w:rsid w:val="005319CD"/>
    <w:rsid w:val="0053287A"/>
    <w:rsid w:val="00542BA2"/>
    <w:rsid w:val="00542CC0"/>
    <w:rsid w:val="0055511F"/>
    <w:rsid w:val="0057076D"/>
    <w:rsid w:val="00573C54"/>
    <w:rsid w:val="005862C1"/>
    <w:rsid w:val="0058777B"/>
    <w:rsid w:val="005A4158"/>
    <w:rsid w:val="005A7713"/>
    <w:rsid w:val="005B1715"/>
    <w:rsid w:val="005E1EA4"/>
    <w:rsid w:val="005E4217"/>
    <w:rsid w:val="005F23C3"/>
    <w:rsid w:val="005F6ED8"/>
    <w:rsid w:val="0060205D"/>
    <w:rsid w:val="00603FEE"/>
    <w:rsid w:val="00610CAA"/>
    <w:rsid w:val="00626D48"/>
    <w:rsid w:val="00627DC6"/>
    <w:rsid w:val="00637B26"/>
    <w:rsid w:val="006447DE"/>
    <w:rsid w:val="00647729"/>
    <w:rsid w:val="00653549"/>
    <w:rsid w:val="00670481"/>
    <w:rsid w:val="0069035C"/>
    <w:rsid w:val="006A2A87"/>
    <w:rsid w:val="006E459A"/>
    <w:rsid w:val="006E584F"/>
    <w:rsid w:val="00702B03"/>
    <w:rsid w:val="00702D45"/>
    <w:rsid w:val="00705057"/>
    <w:rsid w:val="0071123F"/>
    <w:rsid w:val="00725342"/>
    <w:rsid w:val="007352B1"/>
    <w:rsid w:val="007361CD"/>
    <w:rsid w:val="0074252B"/>
    <w:rsid w:val="0074633B"/>
    <w:rsid w:val="007478E3"/>
    <w:rsid w:val="00754392"/>
    <w:rsid w:val="00762FA2"/>
    <w:rsid w:val="00772FFB"/>
    <w:rsid w:val="00783BC3"/>
    <w:rsid w:val="007B2AA1"/>
    <w:rsid w:val="007C276D"/>
    <w:rsid w:val="007E4C07"/>
    <w:rsid w:val="007F0268"/>
    <w:rsid w:val="007F73F5"/>
    <w:rsid w:val="008018A8"/>
    <w:rsid w:val="0082051B"/>
    <w:rsid w:val="00820720"/>
    <w:rsid w:val="00830C57"/>
    <w:rsid w:val="00854A71"/>
    <w:rsid w:val="00855F3A"/>
    <w:rsid w:val="00864726"/>
    <w:rsid w:val="00882FD4"/>
    <w:rsid w:val="008957B6"/>
    <w:rsid w:val="008A0EF8"/>
    <w:rsid w:val="008A5EDC"/>
    <w:rsid w:val="008B6D31"/>
    <w:rsid w:val="008D0D04"/>
    <w:rsid w:val="008D5AF8"/>
    <w:rsid w:val="00905D01"/>
    <w:rsid w:val="009062E0"/>
    <w:rsid w:val="00913477"/>
    <w:rsid w:val="0092190E"/>
    <w:rsid w:val="00937356"/>
    <w:rsid w:val="00937C5B"/>
    <w:rsid w:val="0095165F"/>
    <w:rsid w:val="009600C4"/>
    <w:rsid w:val="00973F74"/>
    <w:rsid w:val="00985ED3"/>
    <w:rsid w:val="009A1BC9"/>
    <w:rsid w:val="009B14EF"/>
    <w:rsid w:val="009C490C"/>
    <w:rsid w:val="009C576F"/>
    <w:rsid w:val="009D3E60"/>
    <w:rsid w:val="009F2CDD"/>
    <w:rsid w:val="00A01B27"/>
    <w:rsid w:val="00A134FB"/>
    <w:rsid w:val="00A13988"/>
    <w:rsid w:val="00A156ED"/>
    <w:rsid w:val="00A16EF8"/>
    <w:rsid w:val="00A62C30"/>
    <w:rsid w:val="00A66408"/>
    <w:rsid w:val="00A734A1"/>
    <w:rsid w:val="00A773D0"/>
    <w:rsid w:val="00A8652B"/>
    <w:rsid w:val="00AA2608"/>
    <w:rsid w:val="00AA46A8"/>
    <w:rsid w:val="00AA6FA4"/>
    <w:rsid w:val="00AB4F17"/>
    <w:rsid w:val="00AB68C2"/>
    <w:rsid w:val="00AD4CE4"/>
    <w:rsid w:val="00AE19AA"/>
    <w:rsid w:val="00AE658F"/>
    <w:rsid w:val="00AF5158"/>
    <w:rsid w:val="00AF5C62"/>
    <w:rsid w:val="00B0357C"/>
    <w:rsid w:val="00B1619C"/>
    <w:rsid w:val="00B215D0"/>
    <w:rsid w:val="00B341CF"/>
    <w:rsid w:val="00B410BB"/>
    <w:rsid w:val="00B431D5"/>
    <w:rsid w:val="00B46F20"/>
    <w:rsid w:val="00B863B0"/>
    <w:rsid w:val="00B9573F"/>
    <w:rsid w:val="00BA290F"/>
    <w:rsid w:val="00BB20BF"/>
    <w:rsid w:val="00BC3801"/>
    <w:rsid w:val="00BC47CF"/>
    <w:rsid w:val="00BD62E7"/>
    <w:rsid w:val="00BE3ED5"/>
    <w:rsid w:val="00BE7326"/>
    <w:rsid w:val="00BF3654"/>
    <w:rsid w:val="00BF3D27"/>
    <w:rsid w:val="00BF3F64"/>
    <w:rsid w:val="00BF4C40"/>
    <w:rsid w:val="00C072C1"/>
    <w:rsid w:val="00C12D32"/>
    <w:rsid w:val="00C24E72"/>
    <w:rsid w:val="00C253C6"/>
    <w:rsid w:val="00C34FB3"/>
    <w:rsid w:val="00C40BDF"/>
    <w:rsid w:val="00C46177"/>
    <w:rsid w:val="00C4784F"/>
    <w:rsid w:val="00C50F7A"/>
    <w:rsid w:val="00C52F99"/>
    <w:rsid w:val="00C603D7"/>
    <w:rsid w:val="00C65C52"/>
    <w:rsid w:val="00C8487F"/>
    <w:rsid w:val="00C9686B"/>
    <w:rsid w:val="00CA1A25"/>
    <w:rsid w:val="00CA1FF6"/>
    <w:rsid w:val="00CC47BB"/>
    <w:rsid w:val="00CE0A4F"/>
    <w:rsid w:val="00CE14EB"/>
    <w:rsid w:val="00CF739E"/>
    <w:rsid w:val="00D16119"/>
    <w:rsid w:val="00D21D8A"/>
    <w:rsid w:val="00D23AE5"/>
    <w:rsid w:val="00D26B08"/>
    <w:rsid w:val="00D3064F"/>
    <w:rsid w:val="00D435D0"/>
    <w:rsid w:val="00D53307"/>
    <w:rsid w:val="00D563A1"/>
    <w:rsid w:val="00D564D4"/>
    <w:rsid w:val="00D642B7"/>
    <w:rsid w:val="00D71BB8"/>
    <w:rsid w:val="00D72C59"/>
    <w:rsid w:val="00D757A6"/>
    <w:rsid w:val="00D75A07"/>
    <w:rsid w:val="00D8507C"/>
    <w:rsid w:val="00D87896"/>
    <w:rsid w:val="00D90EA4"/>
    <w:rsid w:val="00DA0F18"/>
    <w:rsid w:val="00DB2297"/>
    <w:rsid w:val="00DB7C3E"/>
    <w:rsid w:val="00DC03FE"/>
    <w:rsid w:val="00DD48F4"/>
    <w:rsid w:val="00DE44CD"/>
    <w:rsid w:val="00DF05D0"/>
    <w:rsid w:val="00DF2BEF"/>
    <w:rsid w:val="00E1365B"/>
    <w:rsid w:val="00E23529"/>
    <w:rsid w:val="00E23B19"/>
    <w:rsid w:val="00E3321E"/>
    <w:rsid w:val="00E3458C"/>
    <w:rsid w:val="00E46DF8"/>
    <w:rsid w:val="00E506FE"/>
    <w:rsid w:val="00E5295D"/>
    <w:rsid w:val="00E6320B"/>
    <w:rsid w:val="00E64DC4"/>
    <w:rsid w:val="00E70308"/>
    <w:rsid w:val="00E8328E"/>
    <w:rsid w:val="00E85E0B"/>
    <w:rsid w:val="00E87358"/>
    <w:rsid w:val="00E90487"/>
    <w:rsid w:val="00EA0BCB"/>
    <w:rsid w:val="00EA25C3"/>
    <w:rsid w:val="00EA6A3B"/>
    <w:rsid w:val="00EA6F72"/>
    <w:rsid w:val="00EB144D"/>
    <w:rsid w:val="00EB2663"/>
    <w:rsid w:val="00EB4D20"/>
    <w:rsid w:val="00EC164C"/>
    <w:rsid w:val="00EC413E"/>
    <w:rsid w:val="00ED20DE"/>
    <w:rsid w:val="00ED6671"/>
    <w:rsid w:val="00EE06E2"/>
    <w:rsid w:val="00EF418F"/>
    <w:rsid w:val="00EF41E5"/>
    <w:rsid w:val="00EF662F"/>
    <w:rsid w:val="00F17F32"/>
    <w:rsid w:val="00F21BA0"/>
    <w:rsid w:val="00F30523"/>
    <w:rsid w:val="00F50767"/>
    <w:rsid w:val="00F61821"/>
    <w:rsid w:val="00F67670"/>
    <w:rsid w:val="00F72AB7"/>
    <w:rsid w:val="00F839FD"/>
    <w:rsid w:val="00F87CF3"/>
    <w:rsid w:val="00F962A7"/>
    <w:rsid w:val="00FA0391"/>
    <w:rsid w:val="00FA3C07"/>
    <w:rsid w:val="00FA5FCB"/>
    <w:rsid w:val="00FB0734"/>
    <w:rsid w:val="00FB2F2B"/>
    <w:rsid w:val="00FB3473"/>
    <w:rsid w:val="00FC06BF"/>
    <w:rsid w:val="00FF552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6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C06BF"/>
    <w:rPr>
      <w:b/>
      <w:bCs/>
    </w:rPr>
  </w:style>
  <w:style w:type="character" w:styleId="Hyperlink">
    <w:name w:val="Hyperlink"/>
    <w:basedOn w:val="DefaultParagraphFont"/>
    <w:rsid w:val="00210DE2"/>
    <w:rPr>
      <w:color w:val="0000FF"/>
      <w:u w:val="single"/>
    </w:rPr>
  </w:style>
  <w:style w:type="paragraph" w:styleId="Header">
    <w:name w:val="header"/>
    <w:basedOn w:val="Normal"/>
    <w:rsid w:val="00520268"/>
    <w:pPr>
      <w:tabs>
        <w:tab w:val="center" w:pos="4320"/>
        <w:tab w:val="right" w:pos="8640"/>
      </w:tabs>
    </w:pPr>
  </w:style>
  <w:style w:type="paragraph" w:styleId="Footer">
    <w:name w:val="footer"/>
    <w:basedOn w:val="Normal"/>
    <w:rsid w:val="00520268"/>
    <w:pPr>
      <w:tabs>
        <w:tab w:val="center" w:pos="4320"/>
        <w:tab w:val="right" w:pos="8640"/>
      </w:tabs>
    </w:pPr>
  </w:style>
  <w:style w:type="paragraph" w:styleId="BalloonText">
    <w:name w:val="Balloon Text"/>
    <w:basedOn w:val="Normal"/>
    <w:semiHidden/>
    <w:rsid w:val="00C50F7A"/>
    <w:rPr>
      <w:rFonts w:ascii="Tahoma" w:hAnsi="Tahoma" w:cs="Tahoma"/>
      <w:sz w:val="16"/>
      <w:szCs w:val="16"/>
    </w:rPr>
  </w:style>
  <w:style w:type="character" w:styleId="FollowedHyperlink">
    <w:name w:val="FollowedHyperlink"/>
    <w:basedOn w:val="DefaultParagraphFont"/>
    <w:rsid w:val="00D533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6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C06BF"/>
    <w:rPr>
      <w:b/>
      <w:bCs/>
    </w:rPr>
  </w:style>
  <w:style w:type="character" w:styleId="Hyperlink">
    <w:name w:val="Hyperlink"/>
    <w:basedOn w:val="DefaultParagraphFont"/>
    <w:rsid w:val="00210DE2"/>
    <w:rPr>
      <w:color w:val="0000FF"/>
      <w:u w:val="single"/>
    </w:rPr>
  </w:style>
  <w:style w:type="paragraph" w:styleId="Header">
    <w:name w:val="header"/>
    <w:basedOn w:val="Normal"/>
    <w:rsid w:val="00520268"/>
    <w:pPr>
      <w:tabs>
        <w:tab w:val="center" w:pos="4320"/>
        <w:tab w:val="right" w:pos="8640"/>
      </w:tabs>
    </w:pPr>
  </w:style>
  <w:style w:type="paragraph" w:styleId="Footer">
    <w:name w:val="footer"/>
    <w:basedOn w:val="Normal"/>
    <w:rsid w:val="00520268"/>
    <w:pPr>
      <w:tabs>
        <w:tab w:val="center" w:pos="4320"/>
        <w:tab w:val="right" w:pos="8640"/>
      </w:tabs>
    </w:pPr>
  </w:style>
  <w:style w:type="paragraph" w:styleId="BalloonText">
    <w:name w:val="Balloon Text"/>
    <w:basedOn w:val="Normal"/>
    <w:semiHidden/>
    <w:rsid w:val="00C50F7A"/>
    <w:rPr>
      <w:rFonts w:ascii="Tahoma" w:hAnsi="Tahoma" w:cs="Tahoma"/>
      <w:sz w:val="16"/>
      <w:szCs w:val="16"/>
    </w:rPr>
  </w:style>
  <w:style w:type="character" w:styleId="FollowedHyperlink">
    <w:name w:val="FollowedHyperlink"/>
    <w:basedOn w:val="DefaultParagraphFont"/>
    <w:rsid w:val="00D53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comments.cftc.gov/FederalRegister/Final.aspx" TargetMode="External"/><Relationship Id="rId13" Type="http://schemas.openxmlformats.org/officeDocument/2006/relationships/hyperlink" Target="http://www2.issda.org/functional-areas/protocol-management/protocol/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isda.org/dodd-frank-documentation-initiativ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ciutility.org" TargetMode="External"/><Relationship Id="rId5" Type="http://schemas.openxmlformats.org/officeDocument/2006/relationships/webSettings" Target="webSettings.xml"/><Relationship Id="rId15" Type="http://schemas.openxmlformats.org/officeDocument/2006/relationships/hyperlink" Target="http://react.bracewellgiuliani.com/reaction/RSGenPage.asp?RSID=8C8408E4C1E21D8DCB2E1B37C30711BCA4443419B0827C32A9F2E418D8902FD7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markit.com/en/products/distribution/document-exchange/isda-amend.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1071</Words>
  <Characters>7374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Dodd-Frank Wall Street Reform and Consumer Protection Act (“Dodd-Frank” or “Act”)</vt:lpstr>
    </vt:vector>
  </TitlesOfParts>
  <Company>EnCana Corporation</Company>
  <LinksUpToDate>false</LinksUpToDate>
  <CharactersWithSpaces>8429</CharactersWithSpaces>
  <SharedDoc>false</SharedDoc>
  <HLinks>
    <vt:vector size="12" baseType="variant">
      <vt:variant>
        <vt:i4>1310744</vt:i4>
      </vt:variant>
      <vt:variant>
        <vt:i4>3</vt:i4>
      </vt:variant>
      <vt:variant>
        <vt:i4>0</vt:i4>
      </vt:variant>
      <vt:variant>
        <vt:i4>5</vt:i4>
      </vt:variant>
      <vt:variant>
        <vt:lpwstr>http://www.cftc.gov/PressRoom/PressReleases/pr6153-11</vt:lpwstr>
      </vt:variant>
      <vt:variant>
        <vt:lpwstr/>
      </vt:variant>
      <vt:variant>
        <vt:i4>7143543</vt:i4>
      </vt:variant>
      <vt:variant>
        <vt:i4>0</vt:i4>
      </vt:variant>
      <vt:variant>
        <vt:i4>0</vt:i4>
      </vt:variant>
      <vt:variant>
        <vt:i4>5</vt:i4>
      </vt:variant>
      <vt:variant>
        <vt:lpwstr>http://comments.cftc.gov/FederalRegister/Final.aspx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Dodd-Frank Wall Street Reform and Consumer Protection Act (“Dodd-Frank” or “Act”)</dc:title>
  <dc:creator>ksappenf</dc:creator>
  <cp:lastModifiedBy>Sappenfield, Keith</cp:lastModifiedBy>
  <cp:revision>12</cp:revision>
  <cp:lastPrinted>2012-08-21T13:39:00Z</cp:lastPrinted>
  <dcterms:created xsi:type="dcterms:W3CDTF">2012-08-21T14:30:00Z</dcterms:created>
  <dcterms:modified xsi:type="dcterms:W3CDTF">2012-08-23T22:29:00Z</dcterms:modified>
</cp:coreProperties>
</file>