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E9" w:rsidRPr="00493FC7" w:rsidRDefault="007E42E9" w:rsidP="007C0C74">
      <w:pPr>
        <w:jc w:val="center"/>
      </w:pPr>
      <w:r>
        <w:t>144 FERC ¶ 61,026</w:t>
      </w:r>
    </w:p>
    <w:p w:rsidR="007E42E9" w:rsidRDefault="007E42E9" w:rsidP="007C0C74">
      <w:pPr>
        <w:jc w:val="center"/>
      </w:pPr>
      <w:r>
        <w:t>UNITED STATES OF AMERICA</w:t>
      </w:r>
    </w:p>
    <w:p w:rsidR="007E42E9" w:rsidRDefault="007E42E9" w:rsidP="007C0C74">
      <w:pPr>
        <w:jc w:val="center"/>
      </w:pPr>
      <w:r>
        <w:t>FEDERAL ENERGY REGULATORY COMMISSION</w:t>
      </w:r>
    </w:p>
    <w:p w:rsidR="007E42E9" w:rsidRDefault="007E42E9" w:rsidP="007C0C74">
      <w:pPr>
        <w:jc w:val="center"/>
      </w:pPr>
    </w:p>
    <w:p w:rsidR="007E42E9" w:rsidRDefault="007E42E9" w:rsidP="007C0C74">
      <w:pPr>
        <w:jc w:val="center"/>
      </w:pPr>
      <w:r>
        <w:t>18 CFR Part 38</w:t>
      </w:r>
    </w:p>
    <w:p w:rsidR="007E42E9" w:rsidRDefault="007E42E9" w:rsidP="007C0C74">
      <w:pPr>
        <w:jc w:val="center"/>
      </w:pPr>
    </w:p>
    <w:p w:rsidR="007E42E9" w:rsidRPr="0093710E" w:rsidRDefault="007E42E9" w:rsidP="007C0C74">
      <w:pPr>
        <w:jc w:val="center"/>
      </w:pPr>
      <w:r>
        <w:t>[Docket No. RM05-5-022]</w:t>
      </w:r>
    </w:p>
    <w:p w:rsidR="007E42E9" w:rsidRDefault="007E42E9" w:rsidP="007C0C74">
      <w:pPr>
        <w:jc w:val="center"/>
      </w:pPr>
    </w:p>
    <w:p w:rsidR="007E42E9" w:rsidRDefault="007E42E9" w:rsidP="007C0C74">
      <w:pPr>
        <w:jc w:val="center"/>
      </w:pPr>
      <w:r>
        <w:t>Standards for Business Practices and Communication Protocols for Public Utilities</w:t>
      </w:r>
    </w:p>
    <w:p w:rsidR="007E42E9" w:rsidRDefault="007E42E9" w:rsidP="007C0C74">
      <w:pPr>
        <w:jc w:val="center"/>
      </w:pPr>
    </w:p>
    <w:p w:rsidR="007E42E9" w:rsidRDefault="007E42E9" w:rsidP="007C0C74">
      <w:pPr>
        <w:jc w:val="center"/>
      </w:pPr>
    </w:p>
    <w:p w:rsidR="007E42E9" w:rsidRDefault="007E42E9" w:rsidP="00493FC7">
      <w:pPr>
        <w:widowControl/>
        <w:jc w:val="center"/>
      </w:pPr>
      <w:r w:rsidRPr="00493FC7">
        <w:t>(Issued July 18, 2013)</w:t>
      </w:r>
    </w:p>
    <w:p w:rsidR="007E42E9" w:rsidRPr="00493FC7" w:rsidRDefault="007E42E9" w:rsidP="00493FC7">
      <w:pPr>
        <w:widowControl/>
      </w:pPr>
    </w:p>
    <w:p w:rsidR="007E42E9" w:rsidRDefault="007E42E9" w:rsidP="007C0C74"/>
    <w:p w:rsidR="007E42E9" w:rsidRDefault="007E42E9" w:rsidP="007C0C74">
      <w:pPr>
        <w:spacing w:line="480" w:lineRule="auto"/>
      </w:pPr>
      <w:r>
        <w:rPr>
          <w:u w:val="single"/>
        </w:rPr>
        <w:t>AGENCY</w:t>
      </w:r>
      <w:r>
        <w:t>:  Federal Energy Regulatory Commission.</w:t>
      </w:r>
    </w:p>
    <w:p w:rsidR="007E42E9" w:rsidRDefault="007E42E9" w:rsidP="007C0C74">
      <w:pPr>
        <w:spacing w:line="480" w:lineRule="auto"/>
      </w:pPr>
      <w:r>
        <w:rPr>
          <w:u w:val="single"/>
        </w:rPr>
        <w:t>ACTION</w:t>
      </w:r>
      <w:r>
        <w:t>:  Notice of proposed rulemaking.</w:t>
      </w:r>
    </w:p>
    <w:p w:rsidR="007E42E9" w:rsidRDefault="007E42E9">
      <w:pPr>
        <w:tabs>
          <w:tab w:val="left" w:pos="720"/>
          <w:tab w:val="left" w:pos="1440"/>
          <w:tab w:val="left" w:pos="4320"/>
          <w:tab w:val="left" w:pos="5040"/>
          <w:tab w:val="left" w:pos="5760"/>
          <w:tab w:val="left" w:pos="6480"/>
          <w:tab w:val="left" w:pos="7200"/>
        </w:tabs>
        <w:spacing w:line="480" w:lineRule="auto"/>
      </w:pPr>
      <w:r>
        <w:rPr>
          <w:u w:val="single"/>
        </w:rPr>
        <w:t>SUMMARY</w:t>
      </w:r>
      <w:r>
        <w:t>:  The Federal Energy Regulatory Commission proposes to incorporate by reference in its regulations</w:t>
      </w:r>
      <w:r w:rsidRPr="00B333E6">
        <w:t xml:space="preserve"> </w:t>
      </w:r>
      <w:r>
        <w:t>Version 003 of the</w:t>
      </w:r>
      <w:r w:rsidRPr="00E46D48">
        <w:t xml:space="preserve"> </w:t>
      </w:r>
      <w:r>
        <w:t xml:space="preserve">Standards for Business </w:t>
      </w:r>
      <w:r w:rsidRPr="00AF62F6">
        <w:t>Practices and</w:t>
      </w:r>
      <w:r>
        <w:t xml:space="preserve"> </w:t>
      </w:r>
      <w:r w:rsidRPr="00AF62F6">
        <w:t>Communication Protocols</w:t>
      </w:r>
      <w:r>
        <w:t xml:space="preserve"> for Public Utilities adopted by the Wholesale Electric Quadrant (WEQ) of the North American Energy Standards Board (NAESB).  These standards modify NAESB’s WEQ Version 002 and Version 002.1 Standards.</w:t>
      </w:r>
    </w:p>
    <w:p w:rsidR="007E42E9" w:rsidRDefault="007E42E9" w:rsidP="007C0C74">
      <w:pPr>
        <w:spacing w:line="480" w:lineRule="auto"/>
      </w:pPr>
      <w:r>
        <w:rPr>
          <w:u w:val="single"/>
        </w:rPr>
        <w:t>DATES</w:t>
      </w:r>
      <w:r>
        <w:t>:  Comments are due</w:t>
      </w:r>
      <w:r>
        <w:rPr>
          <w:b/>
        </w:rPr>
        <w:t xml:space="preserve"> [INSERT DATE 60 days after publication in the FEDERAL REGISTER].</w:t>
      </w:r>
    </w:p>
    <w:p w:rsidR="007E42E9" w:rsidRDefault="007E42E9" w:rsidP="007C0C74">
      <w:pPr>
        <w:spacing w:line="480" w:lineRule="auto"/>
      </w:pPr>
      <w:r>
        <w:rPr>
          <w:u w:val="single"/>
        </w:rPr>
        <w:t>ADDRESSES</w:t>
      </w:r>
      <w:r>
        <w:t>:  C</w:t>
      </w:r>
      <w:r w:rsidRPr="00062A6A">
        <w:t>omments</w:t>
      </w:r>
      <w:r>
        <w:t>,</w:t>
      </w:r>
      <w:r w:rsidRPr="00062A6A">
        <w:t xml:space="preserve"> identified by </w:t>
      </w:r>
      <w:r>
        <w:t>D</w:t>
      </w:r>
      <w:r w:rsidRPr="00062A6A">
        <w:t xml:space="preserve">ocket </w:t>
      </w:r>
      <w:r>
        <w:t>No. RM05-5-022,</w:t>
      </w:r>
      <w:r w:rsidRPr="00062A6A">
        <w:t xml:space="preserve"> </w:t>
      </w:r>
      <w:r>
        <w:t>may be filed in the following ways:</w:t>
      </w:r>
    </w:p>
    <w:p w:rsidR="007E42E9" w:rsidRDefault="007E42E9" w:rsidP="00A123E5">
      <w:pPr>
        <w:numPr>
          <w:ilvl w:val="0"/>
          <w:numId w:val="46"/>
        </w:numPr>
        <w:spacing w:line="480" w:lineRule="auto"/>
      </w:pPr>
      <w:r>
        <w:t xml:space="preserve">Electronic Filing through </w:t>
      </w:r>
      <w:hyperlink r:id="rId7" w:history="1">
        <w:r w:rsidRPr="00B00A6F">
          <w:rPr>
            <w:rStyle w:val="Hyperlink"/>
          </w:rPr>
          <w:t>http://www.ferc.gov</w:t>
        </w:r>
      </w:hyperlink>
      <w:r>
        <w:t xml:space="preserve">.  </w:t>
      </w:r>
      <w:r w:rsidRPr="00062A6A">
        <w:t>Documents created electronically using word processing software should be filed in native applications or print-to-PDF format and not in a scanned format.</w:t>
      </w:r>
    </w:p>
    <w:p w:rsidR="007E42E9" w:rsidRDefault="007E42E9" w:rsidP="00565C2A">
      <w:pPr>
        <w:spacing w:line="480" w:lineRule="auto"/>
        <w:ind w:left="720"/>
      </w:pPr>
    </w:p>
    <w:p w:rsidR="007E42E9" w:rsidRDefault="007E42E9" w:rsidP="00A123E5">
      <w:pPr>
        <w:numPr>
          <w:ilvl w:val="0"/>
          <w:numId w:val="46"/>
        </w:numPr>
        <w:spacing w:line="480" w:lineRule="auto"/>
      </w:pPr>
      <w:r>
        <w:t>Mail/Hand Delivery:  Those unable to file electronically may mail or hand-deliver comments to:  Federal Energy Regulatory Commission, Secretary of the Commission, 888 First Street, NE, Washington, DC  20426.</w:t>
      </w:r>
    </w:p>
    <w:p w:rsidR="007E42E9" w:rsidRPr="007973E8" w:rsidRDefault="007E42E9" w:rsidP="007C0C74">
      <w:pPr>
        <w:spacing w:line="480" w:lineRule="auto"/>
      </w:pPr>
      <w:r w:rsidRPr="00BB2105">
        <w:rPr>
          <w:u w:val="single"/>
        </w:rPr>
        <w:t>IN</w:t>
      </w:r>
      <w:r>
        <w:rPr>
          <w:u w:val="single"/>
        </w:rPr>
        <w:t>STRUCTIONS</w:t>
      </w:r>
      <w:r w:rsidRPr="00BB2105">
        <w:t xml:space="preserve">:  </w:t>
      </w:r>
      <w:r w:rsidRPr="00593749">
        <w:t>For detailed instructions on submitting comments and additional information on the rulemaking process,</w:t>
      </w:r>
      <w:r>
        <w:t xml:space="preserve"> see the Comment Procedures Section of this document.</w:t>
      </w:r>
    </w:p>
    <w:p w:rsidR="007E42E9" w:rsidRDefault="007E42E9" w:rsidP="007C0C74">
      <w:r>
        <w:rPr>
          <w:u w:val="single"/>
        </w:rPr>
        <w:t>FOR FURTHER INFORMATION CONTACT</w:t>
      </w:r>
      <w:r>
        <w:t>:</w:t>
      </w:r>
    </w:p>
    <w:p w:rsidR="007E42E9" w:rsidRDefault="007E42E9" w:rsidP="007C0C74"/>
    <w:p w:rsidR="007E42E9" w:rsidRDefault="007E42E9" w:rsidP="007C0C74">
      <w:r>
        <w:t>Tony Dobbins (technical issues)</w:t>
      </w:r>
    </w:p>
    <w:p w:rsidR="007E42E9" w:rsidRDefault="007E42E9" w:rsidP="007C0C74">
      <w:r>
        <w:t>Office of Energy Policy and Innovation</w:t>
      </w:r>
    </w:p>
    <w:p w:rsidR="007E42E9" w:rsidRDefault="007E42E9" w:rsidP="007C0C74">
      <w:r>
        <w:t>Federal Energy Regulatory Commission</w:t>
      </w:r>
    </w:p>
    <w:p w:rsidR="007E42E9" w:rsidRDefault="007E42E9" w:rsidP="007C0C74">
      <w:r>
        <w:t>888 First Street, NE</w:t>
      </w:r>
    </w:p>
    <w:p w:rsidR="007E42E9" w:rsidRDefault="007E42E9" w:rsidP="007C0C74">
      <w:r>
        <w:t>Washington, DC  20426</w:t>
      </w:r>
    </w:p>
    <w:p w:rsidR="007E42E9" w:rsidRDefault="007E42E9" w:rsidP="007C0C74">
      <w:r>
        <w:t>(202) 502-6630</w:t>
      </w:r>
    </w:p>
    <w:p w:rsidR="007E42E9" w:rsidRDefault="007E42E9" w:rsidP="007C0C74"/>
    <w:p w:rsidR="007E42E9" w:rsidRDefault="007E42E9" w:rsidP="007C0C74">
      <w:r>
        <w:t>Gary D. Cohen (legal issues)</w:t>
      </w:r>
    </w:p>
    <w:p w:rsidR="007E42E9" w:rsidRDefault="007E42E9" w:rsidP="007C0C74">
      <w:r>
        <w:t>Office of the General Counsel</w:t>
      </w:r>
    </w:p>
    <w:p w:rsidR="007E42E9" w:rsidRDefault="007E42E9" w:rsidP="007C0C74">
      <w:r>
        <w:t>Federal Energy Regulatory Commission</w:t>
      </w:r>
    </w:p>
    <w:p w:rsidR="007E42E9" w:rsidRDefault="007E42E9" w:rsidP="007C0C74">
      <w:r>
        <w:t>888 First Street, NE</w:t>
      </w:r>
    </w:p>
    <w:p w:rsidR="007E42E9" w:rsidRDefault="007E42E9" w:rsidP="007C0C74">
      <w:r>
        <w:t>Washington, DC  20426</w:t>
      </w:r>
    </w:p>
    <w:p w:rsidR="007E42E9" w:rsidRDefault="007E42E9" w:rsidP="007C0C74">
      <w:r>
        <w:t>(202) 502-8321</w:t>
      </w:r>
    </w:p>
    <w:p w:rsidR="007E42E9" w:rsidRDefault="007E42E9" w:rsidP="007C0C74"/>
    <w:p w:rsidR="007E42E9" w:rsidRDefault="007E42E9" w:rsidP="007C0C74">
      <w:pPr>
        <w:sectPr w:rsidR="007E42E9" w:rsidSect="00493FC7">
          <w:headerReference w:type="even" r:id="rId8"/>
          <w:headerReference w:type="default" r:id="rId9"/>
          <w:pgSz w:w="12240" w:h="15840"/>
          <w:pgMar w:top="1440" w:right="1440" w:bottom="1440" w:left="1440" w:header="540" w:footer="1440" w:gutter="0"/>
          <w:pgNumType w:fmt="numberInDash"/>
          <w:cols w:space="720"/>
          <w:noEndnote/>
          <w:titlePg/>
          <w:docGrid w:linePitch="354"/>
        </w:sectPr>
      </w:pPr>
      <w:r>
        <w:rPr>
          <w:u w:val="single"/>
        </w:rPr>
        <w:t>SUPPLEMENTARY INFORMATION</w:t>
      </w:r>
      <w:r>
        <w:t>:</w:t>
      </w:r>
    </w:p>
    <w:p w:rsidR="007E42E9" w:rsidRDefault="007E42E9" w:rsidP="007C0C74">
      <w:pPr>
        <w:jc w:val="center"/>
      </w:pPr>
      <w:r w:rsidRPr="00C10EF5">
        <w:t>UNITED</w:t>
      </w:r>
      <w:r>
        <w:t xml:space="preserve"> STATES OF AMERICA</w:t>
      </w:r>
    </w:p>
    <w:p w:rsidR="007E42E9" w:rsidRDefault="007E42E9" w:rsidP="007C0C74">
      <w:pPr>
        <w:jc w:val="center"/>
      </w:pPr>
      <w:r>
        <w:t>FEDERAL ENERGY REGULATORY COMMISSION</w:t>
      </w:r>
    </w:p>
    <w:p w:rsidR="007E42E9" w:rsidRDefault="007E42E9" w:rsidP="007C0C74"/>
    <w:p w:rsidR="007E42E9" w:rsidRDefault="007E42E9" w:rsidP="007C0C74">
      <w:pPr>
        <w:ind w:left="1440" w:hanging="1440"/>
      </w:pPr>
    </w:p>
    <w:tbl>
      <w:tblPr>
        <w:tblW w:w="0" w:type="auto"/>
        <w:tblCellMar>
          <w:left w:w="0" w:type="dxa"/>
          <w:right w:w="0" w:type="dxa"/>
        </w:tblCellMar>
        <w:tblLook w:val="01E0"/>
      </w:tblPr>
      <w:tblGrid>
        <w:gridCol w:w="5936"/>
        <w:gridCol w:w="1532"/>
        <w:gridCol w:w="1892"/>
      </w:tblGrid>
      <w:tr w:rsidR="007E42E9" w:rsidTr="00F362BB">
        <w:tc>
          <w:tcPr>
            <w:tcW w:w="5936" w:type="dxa"/>
          </w:tcPr>
          <w:p w:rsidR="007E42E9" w:rsidRDefault="007E42E9" w:rsidP="007C0C74">
            <w:r>
              <w:t>Standards for Business Practices and Communication Protocols for Public Utilities</w:t>
            </w:r>
          </w:p>
        </w:tc>
        <w:tc>
          <w:tcPr>
            <w:tcW w:w="1532" w:type="dxa"/>
          </w:tcPr>
          <w:p w:rsidR="007E42E9" w:rsidRDefault="007E42E9" w:rsidP="00441323">
            <w:pPr>
              <w:jc w:val="right"/>
            </w:pPr>
            <w:r>
              <w:t>Docket No.</w:t>
            </w:r>
          </w:p>
        </w:tc>
        <w:tc>
          <w:tcPr>
            <w:tcW w:w="1892" w:type="dxa"/>
            <w:tcMar>
              <w:left w:w="144" w:type="dxa"/>
              <w:right w:w="0" w:type="dxa"/>
            </w:tcMar>
          </w:tcPr>
          <w:p w:rsidR="007E42E9" w:rsidRDefault="007E42E9" w:rsidP="007C0C74">
            <w:r>
              <w:t>RM05-5-022</w:t>
            </w:r>
          </w:p>
        </w:tc>
      </w:tr>
    </w:tbl>
    <w:p w:rsidR="007E42E9" w:rsidRDefault="007E42E9" w:rsidP="007C0C74"/>
    <w:p w:rsidR="007E42E9" w:rsidRDefault="007E42E9" w:rsidP="007C0C74">
      <w:pPr>
        <w:jc w:val="center"/>
      </w:pPr>
      <w:r>
        <w:t>NOTICE OF PROPOSED RULEMAKING</w:t>
      </w:r>
    </w:p>
    <w:p w:rsidR="007E42E9" w:rsidRDefault="007E42E9" w:rsidP="007C0C74">
      <w:pPr>
        <w:jc w:val="center"/>
      </w:pPr>
    </w:p>
    <w:p w:rsidR="007E42E9" w:rsidRDefault="007E42E9" w:rsidP="007C0C74"/>
    <w:p w:rsidR="007E42E9" w:rsidRDefault="007E42E9" w:rsidP="007C0C74">
      <w:pPr>
        <w:jc w:val="center"/>
        <w:rPr>
          <w:u w:val="single"/>
        </w:rPr>
      </w:pPr>
      <w:r w:rsidRPr="00DF273B">
        <w:rPr>
          <w:u w:val="single"/>
        </w:rPr>
        <w:t>TABLE OF CONTENTS</w:t>
      </w:r>
    </w:p>
    <w:p w:rsidR="007E42E9" w:rsidRPr="00F67157" w:rsidRDefault="007E42E9">
      <w:pPr>
        <w:tabs>
          <w:tab w:val="right" w:pos="9648"/>
        </w:tabs>
        <w:rPr>
          <w:u w:val="single"/>
        </w:rPr>
      </w:pPr>
      <w:r w:rsidRPr="00F67157">
        <w:tab/>
      </w:r>
      <w:r w:rsidRPr="00F67157">
        <w:rPr>
          <w:u w:val="single"/>
        </w:rPr>
        <w:t>Paragraph Numbers</w:t>
      </w:r>
    </w:p>
    <w:bookmarkStart w:id="0" w:name="_Start_TOC"/>
    <w:bookmarkEnd w:id="0"/>
    <w:p w:rsidR="007E42E9" w:rsidRDefault="007E42E9">
      <w:pPr>
        <w:pStyle w:val="TOC1"/>
        <w:tabs>
          <w:tab w:val="left" w:pos="520"/>
          <w:tab w:val="right" w:leader="dot" w:pos="9350"/>
        </w:tabs>
        <w:rPr>
          <w:rFonts w:ascii="Calibri" w:hAnsi="Calibri" w:cs="Arial"/>
          <w:noProof/>
          <w:sz w:val="22"/>
          <w:szCs w:val="22"/>
        </w:rPr>
      </w:pPr>
      <w:r>
        <w:fldChar w:fldCharType="begin"/>
      </w:r>
      <w:r>
        <w:instrText xml:space="preserve"> TOC \o "1-3" \h \z \u </w:instrText>
      </w:r>
      <w:r>
        <w:fldChar w:fldCharType="separate"/>
      </w:r>
      <w:hyperlink w:anchor="_Toc360605861" w:history="1">
        <w:r w:rsidRPr="002F22DD">
          <w:rPr>
            <w:rStyle w:val="Hyperlink"/>
            <w:noProof/>
          </w:rPr>
          <w:t>I.</w:t>
        </w:r>
        <w:r>
          <w:rPr>
            <w:rFonts w:ascii="Calibri" w:hAnsi="Calibri" w:cs="Arial"/>
            <w:noProof/>
            <w:sz w:val="22"/>
            <w:szCs w:val="22"/>
          </w:rPr>
          <w:tab/>
        </w:r>
        <w:r w:rsidRPr="002F22DD">
          <w:rPr>
            <w:rStyle w:val="Hyperlink"/>
            <w:noProof/>
          </w:rPr>
          <w:t>Background</w:t>
        </w:r>
        <w:r>
          <w:rPr>
            <w:noProof/>
            <w:webHidden/>
          </w:rPr>
          <w:tab/>
        </w:r>
        <w:r>
          <w:rPr>
            <w:noProof/>
            <w:webHidden/>
          </w:rPr>
          <w:fldChar w:fldCharType="begin"/>
        </w:r>
        <w:r>
          <w:rPr>
            <w:noProof/>
            <w:webHidden/>
          </w:rPr>
          <w:instrText xml:space="preserve"> PAGEREF _Toc360605861 \h </w:instrText>
        </w:r>
        <w:r>
          <w:rPr>
            <w:noProof/>
            <w:webHidden/>
          </w:rPr>
        </w:r>
        <w:r>
          <w:rPr>
            <w:noProof/>
            <w:webHidden/>
          </w:rPr>
          <w:fldChar w:fldCharType="separate"/>
        </w:r>
        <w:r>
          <w:rPr>
            <w:noProof/>
            <w:webHidden/>
          </w:rPr>
          <w:t>- 3 -</w:t>
        </w:r>
        <w:r>
          <w:rPr>
            <w:noProof/>
            <w:webHidden/>
          </w:rPr>
          <w:fldChar w:fldCharType="end"/>
        </w:r>
      </w:hyperlink>
    </w:p>
    <w:p w:rsidR="007E42E9" w:rsidRDefault="007E42E9">
      <w:pPr>
        <w:pStyle w:val="TOC1"/>
        <w:tabs>
          <w:tab w:val="left" w:pos="520"/>
          <w:tab w:val="right" w:leader="dot" w:pos="9350"/>
        </w:tabs>
        <w:rPr>
          <w:rFonts w:ascii="Calibri" w:hAnsi="Calibri" w:cs="Arial"/>
          <w:noProof/>
          <w:sz w:val="22"/>
          <w:szCs w:val="22"/>
        </w:rPr>
      </w:pPr>
      <w:hyperlink w:anchor="_Toc360605862" w:history="1">
        <w:r w:rsidRPr="002F22DD">
          <w:rPr>
            <w:rStyle w:val="Hyperlink"/>
            <w:noProof/>
          </w:rPr>
          <w:t>II.</w:t>
        </w:r>
        <w:r>
          <w:rPr>
            <w:rFonts w:ascii="Calibri" w:hAnsi="Calibri" w:cs="Arial"/>
            <w:noProof/>
            <w:sz w:val="22"/>
            <w:szCs w:val="22"/>
          </w:rPr>
          <w:tab/>
        </w:r>
        <w:r w:rsidRPr="002F22DD">
          <w:rPr>
            <w:rStyle w:val="Hyperlink"/>
            <w:noProof/>
          </w:rPr>
          <w:t>Discussion</w:t>
        </w:r>
        <w:r>
          <w:rPr>
            <w:noProof/>
            <w:webHidden/>
          </w:rPr>
          <w:tab/>
        </w:r>
        <w:r>
          <w:rPr>
            <w:noProof/>
            <w:webHidden/>
          </w:rPr>
          <w:fldChar w:fldCharType="begin"/>
        </w:r>
        <w:r>
          <w:rPr>
            <w:noProof/>
            <w:webHidden/>
          </w:rPr>
          <w:instrText xml:space="preserve"> PAGEREF _Toc360605862 \h </w:instrText>
        </w:r>
        <w:r>
          <w:rPr>
            <w:noProof/>
            <w:webHidden/>
          </w:rPr>
        </w:r>
        <w:r>
          <w:rPr>
            <w:noProof/>
            <w:webHidden/>
          </w:rPr>
          <w:fldChar w:fldCharType="separate"/>
        </w:r>
        <w:r>
          <w:rPr>
            <w:noProof/>
            <w:webHidden/>
          </w:rPr>
          <w:t>- 10 -</w:t>
        </w:r>
        <w:r>
          <w:rPr>
            <w:noProof/>
            <w:webHidden/>
          </w:rPr>
          <w:fldChar w:fldCharType="end"/>
        </w:r>
      </w:hyperlink>
    </w:p>
    <w:p w:rsidR="007E42E9" w:rsidRDefault="007E42E9">
      <w:pPr>
        <w:pStyle w:val="TOC2"/>
        <w:tabs>
          <w:tab w:val="left" w:pos="780"/>
          <w:tab w:val="right" w:leader="dot" w:pos="9350"/>
        </w:tabs>
        <w:rPr>
          <w:rFonts w:ascii="Calibri" w:hAnsi="Calibri" w:cs="Arial"/>
          <w:noProof/>
          <w:sz w:val="22"/>
          <w:szCs w:val="22"/>
        </w:rPr>
      </w:pPr>
      <w:hyperlink w:anchor="_Toc360605863" w:history="1">
        <w:r w:rsidRPr="002F22DD">
          <w:rPr>
            <w:rStyle w:val="Hyperlink"/>
            <w:noProof/>
          </w:rPr>
          <w:t>A.</w:t>
        </w:r>
        <w:r>
          <w:rPr>
            <w:rFonts w:ascii="Calibri" w:hAnsi="Calibri" w:cs="Arial"/>
            <w:noProof/>
            <w:sz w:val="22"/>
            <w:szCs w:val="22"/>
          </w:rPr>
          <w:tab/>
        </w:r>
        <w:r w:rsidRPr="002F22DD">
          <w:rPr>
            <w:rStyle w:val="Hyperlink"/>
            <w:noProof/>
          </w:rPr>
          <w:t>Revisions to OASIS Standards Made to Comply with Order No. 890 Objectives and Requirements</w:t>
        </w:r>
        <w:r>
          <w:rPr>
            <w:noProof/>
            <w:webHidden/>
          </w:rPr>
          <w:tab/>
        </w:r>
        <w:r>
          <w:rPr>
            <w:noProof/>
            <w:webHidden/>
          </w:rPr>
          <w:fldChar w:fldCharType="begin"/>
        </w:r>
        <w:r>
          <w:rPr>
            <w:noProof/>
            <w:webHidden/>
          </w:rPr>
          <w:instrText xml:space="preserve"> PAGEREF _Toc360605863 \h </w:instrText>
        </w:r>
        <w:r>
          <w:rPr>
            <w:noProof/>
            <w:webHidden/>
          </w:rPr>
        </w:r>
        <w:r>
          <w:rPr>
            <w:noProof/>
            <w:webHidden/>
          </w:rPr>
          <w:fldChar w:fldCharType="separate"/>
        </w:r>
        <w:r>
          <w:rPr>
            <w:noProof/>
            <w:webHidden/>
          </w:rPr>
          <w:t>- 12 -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4" w:history="1">
        <w:r w:rsidRPr="002F22DD">
          <w:rPr>
            <w:rStyle w:val="Hyperlink"/>
            <w:noProof/>
          </w:rPr>
          <w:t>1.</w:t>
        </w:r>
        <w:r>
          <w:rPr>
            <w:rFonts w:ascii="Calibri" w:hAnsi="Calibri" w:cs="Arial"/>
            <w:noProof/>
            <w:sz w:val="22"/>
            <w:szCs w:val="22"/>
          </w:rPr>
          <w:tab/>
        </w:r>
        <w:r w:rsidRPr="002F22DD">
          <w:rPr>
            <w:rStyle w:val="Hyperlink"/>
            <w:noProof/>
          </w:rPr>
          <w:t>Service Across Multiple Transmission Systems (SAMTS)</w:t>
        </w:r>
        <w:r>
          <w:rPr>
            <w:noProof/>
            <w:webHidden/>
          </w:rPr>
          <w:tab/>
        </w:r>
        <w:r>
          <w:rPr>
            <w:noProof/>
            <w:webHidden/>
          </w:rPr>
          <w:fldChar w:fldCharType="begin"/>
        </w:r>
        <w:r>
          <w:rPr>
            <w:noProof/>
            <w:webHidden/>
          </w:rPr>
          <w:instrText xml:space="preserve"> PAGEREF _Toc360605864 \h </w:instrText>
        </w:r>
        <w:r>
          <w:rPr>
            <w:noProof/>
            <w:webHidden/>
          </w:rPr>
        </w:r>
        <w:r>
          <w:rPr>
            <w:noProof/>
            <w:webHidden/>
          </w:rPr>
          <w:fldChar w:fldCharType="separate"/>
        </w:r>
        <w:r>
          <w:rPr>
            <w:noProof/>
            <w:webHidden/>
          </w:rPr>
          <w:t>- 12 -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5" w:history="1">
        <w:r w:rsidRPr="002F22DD">
          <w:rPr>
            <w:rStyle w:val="Hyperlink"/>
            <w:noProof/>
          </w:rPr>
          <w:t>2.</w:t>
        </w:r>
        <w:r>
          <w:rPr>
            <w:rFonts w:ascii="Calibri" w:hAnsi="Calibri" w:cs="Arial"/>
            <w:noProof/>
            <w:sz w:val="22"/>
            <w:szCs w:val="22"/>
          </w:rPr>
          <w:tab/>
        </w:r>
        <w:r w:rsidRPr="002F22DD">
          <w:rPr>
            <w:rStyle w:val="Hyperlink"/>
            <w:noProof/>
          </w:rPr>
          <w:t>Network Integration Transmission Service (NITS)</w:t>
        </w:r>
        <w:r>
          <w:rPr>
            <w:noProof/>
            <w:webHidden/>
          </w:rPr>
          <w:tab/>
        </w:r>
        <w:r>
          <w:rPr>
            <w:noProof/>
            <w:webHidden/>
          </w:rPr>
          <w:fldChar w:fldCharType="begin"/>
        </w:r>
        <w:r>
          <w:rPr>
            <w:noProof/>
            <w:webHidden/>
          </w:rPr>
          <w:instrText xml:space="preserve"> PAGEREF _Toc360605865 \h </w:instrText>
        </w:r>
        <w:r>
          <w:rPr>
            <w:noProof/>
            <w:webHidden/>
          </w:rPr>
        </w:r>
        <w:r>
          <w:rPr>
            <w:noProof/>
            <w:webHidden/>
          </w:rPr>
          <w:fldChar w:fldCharType="separate"/>
        </w:r>
        <w:r>
          <w:rPr>
            <w:noProof/>
            <w:webHidden/>
          </w:rPr>
          <w:t>- 13 -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6" w:history="1">
        <w:r w:rsidRPr="002F22DD">
          <w:rPr>
            <w:rStyle w:val="Hyperlink"/>
            <w:noProof/>
          </w:rPr>
          <w:t>3.</w:t>
        </w:r>
        <w:r>
          <w:rPr>
            <w:rFonts w:ascii="Calibri" w:hAnsi="Calibri" w:cs="Arial"/>
            <w:noProof/>
            <w:sz w:val="22"/>
            <w:szCs w:val="22"/>
          </w:rPr>
          <w:tab/>
        </w:r>
        <w:r w:rsidRPr="002F22DD">
          <w:rPr>
            <w:rStyle w:val="Hyperlink"/>
            <w:noProof/>
          </w:rPr>
          <w:t>Rollover Rights for Redirects</w:t>
        </w:r>
        <w:r>
          <w:rPr>
            <w:noProof/>
            <w:webHidden/>
          </w:rPr>
          <w:tab/>
        </w:r>
        <w:r>
          <w:rPr>
            <w:noProof/>
            <w:webHidden/>
          </w:rPr>
          <w:fldChar w:fldCharType="begin"/>
        </w:r>
        <w:r>
          <w:rPr>
            <w:noProof/>
            <w:webHidden/>
          </w:rPr>
          <w:instrText xml:space="preserve"> PAGEREF _Toc360605866 \h </w:instrText>
        </w:r>
        <w:r>
          <w:rPr>
            <w:noProof/>
            <w:webHidden/>
          </w:rPr>
        </w:r>
        <w:r>
          <w:rPr>
            <w:noProof/>
            <w:webHidden/>
          </w:rPr>
          <w:fldChar w:fldCharType="separate"/>
        </w:r>
        <w:r>
          <w:rPr>
            <w:noProof/>
            <w:webHidden/>
          </w:rPr>
          <w:t>- 14 -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7" w:history="1">
        <w:r w:rsidRPr="002F22DD">
          <w:rPr>
            <w:rStyle w:val="Hyperlink"/>
            <w:noProof/>
          </w:rPr>
          <w:t>4.</w:t>
        </w:r>
        <w:r>
          <w:rPr>
            <w:rFonts w:ascii="Calibri" w:hAnsi="Calibri" w:cs="Arial"/>
            <w:noProof/>
            <w:sz w:val="22"/>
            <w:szCs w:val="22"/>
          </w:rPr>
          <w:tab/>
        </w:r>
        <w:r w:rsidRPr="002F22DD">
          <w:rPr>
            <w:rStyle w:val="Hyperlink"/>
            <w:noProof/>
          </w:rPr>
          <w:t>Redirect Requests and Available Transfer Capacity (ATC) Credit</w:t>
        </w:r>
        <w:r>
          <w:rPr>
            <w:noProof/>
            <w:webHidden/>
          </w:rPr>
          <w:tab/>
        </w:r>
        <w:r>
          <w:rPr>
            <w:noProof/>
            <w:webHidden/>
          </w:rPr>
          <w:fldChar w:fldCharType="begin"/>
        </w:r>
        <w:r>
          <w:rPr>
            <w:noProof/>
            <w:webHidden/>
          </w:rPr>
          <w:instrText xml:space="preserve"> PAGEREF _Toc360605867 \h </w:instrText>
        </w:r>
        <w:r>
          <w:rPr>
            <w:noProof/>
            <w:webHidden/>
          </w:rPr>
        </w:r>
        <w:r>
          <w:rPr>
            <w:noProof/>
            <w:webHidden/>
          </w:rPr>
          <w:fldChar w:fldCharType="separate"/>
        </w:r>
        <w:r>
          <w:rPr>
            <w:noProof/>
            <w:webHidden/>
          </w:rPr>
          <w:t>- 15 -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8" w:history="1">
        <w:r w:rsidRPr="002F22DD">
          <w:rPr>
            <w:rStyle w:val="Hyperlink"/>
            <w:noProof/>
          </w:rPr>
          <w:t>5.</w:t>
        </w:r>
        <w:r>
          <w:rPr>
            <w:rFonts w:ascii="Calibri" w:hAnsi="Calibri" w:cs="Arial"/>
            <w:noProof/>
            <w:sz w:val="22"/>
            <w:szCs w:val="22"/>
          </w:rPr>
          <w:tab/>
        </w:r>
        <w:r w:rsidRPr="002F22DD">
          <w:rPr>
            <w:rStyle w:val="Hyperlink"/>
            <w:noProof/>
          </w:rPr>
          <w:t>OASIS Introduction and Applicability Sections</w:t>
        </w:r>
        <w:r>
          <w:rPr>
            <w:noProof/>
            <w:webHidden/>
          </w:rPr>
          <w:tab/>
        </w:r>
        <w:r>
          <w:rPr>
            <w:noProof/>
            <w:webHidden/>
          </w:rPr>
          <w:fldChar w:fldCharType="begin"/>
        </w:r>
        <w:r>
          <w:rPr>
            <w:noProof/>
            <w:webHidden/>
          </w:rPr>
          <w:instrText xml:space="preserve"> PAGEREF _Toc360605868 \h </w:instrText>
        </w:r>
        <w:r>
          <w:rPr>
            <w:noProof/>
            <w:webHidden/>
          </w:rPr>
        </w:r>
        <w:r>
          <w:rPr>
            <w:noProof/>
            <w:webHidden/>
          </w:rPr>
          <w:fldChar w:fldCharType="separate"/>
        </w:r>
        <w:r>
          <w:rPr>
            <w:noProof/>
            <w:webHidden/>
          </w:rPr>
          <w:t>- 16 -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69" w:history="1">
        <w:r w:rsidRPr="002F22DD">
          <w:rPr>
            <w:rStyle w:val="Hyperlink"/>
            <w:noProof/>
          </w:rPr>
          <w:t>6.</w:t>
        </w:r>
        <w:r>
          <w:rPr>
            <w:rFonts w:ascii="Calibri" w:hAnsi="Calibri" w:cs="Arial"/>
            <w:noProof/>
            <w:sz w:val="22"/>
            <w:szCs w:val="22"/>
          </w:rPr>
          <w:tab/>
        </w:r>
        <w:r w:rsidRPr="002F22DD">
          <w:rPr>
            <w:rStyle w:val="Hyperlink"/>
            <w:noProof/>
          </w:rPr>
          <w:t>Commission Proposal</w:t>
        </w:r>
        <w:r>
          <w:rPr>
            <w:noProof/>
            <w:webHidden/>
          </w:rPr>
          <w:tab/>
        </w:r>
        <w:r>
          <w:rPr>
            <w:noProof/>
            <w:webHidden/>
          </w:rPr>
          <w:fldChar w:fldCharType="begin"/>
        </w:r>
        <w:r>
          <w:rPr>
            <w:noProof/>
            <w:webHidden/>
          </w:rPr>
          <w:instrText xml:space="preserve"> PAGEREF _Toc360605869 \h </w:instrText>
        </w:r>
        <w:r>
          <w:rPr>
            <w:noProof/>
            <w:webHidden/>
          </w:rPr>
        </w:r>
        <w:r>
          <w:rPr>
            <w:noProof/>
            <w:webHidden/>
          </w:rPr>
          <w:fldChar w:fldCharType="separate"/>
        </w:r>
        <w:r>
          <w:rPr>
            <w:noProof/>
            <w:webHidden/>
          </w:rPr>
          <w:t>- 16 -</w:t>
        </w:r>
        <w:r>
          <w:rPr>
            <w:noProof/>
            <w:webHidden/>
          </w:rPr>
          <w:fldChar w:fldCharType="end"/>
        </w:r>
      </w:hyperlink>
    </w:p>
    <w:p w:rsidR="007E42E9" w:rsidRDefault="007E42E9">
      <w:pPr>
        <w:pStyle w:val="TOC2"/>
        <w:tabs>
          <w:tab w:val="left" w:pos="780"/>
          <w:tab w:val="right" w:leader="dot" w:pos="9350"/>
        </w:tabs>
        <w:rPr>
          <w:rFonts w:ascii="Calibri" w:hAnsi="Calibri" w:cs="Arial"/>
          <w:noProof/>
          <w:sz w:val="22"/>
          <w:szCs w:val="22"/>
        </w:rPr>
      </w:pPr>
      <w:hyperlink w:anchor="_Toc360605870" w:history="1">
        <w:r w:rsidRPr="002F22DD">
          <w:rPr>
            <w:rStyle w:val="Hyperlink"/>
            <w:noProof/>
          </w:rPr>
          <w:t>B.</w:t>
        </w:r>
        <w:r>
          <w:rPr>
            <w:rFonts w:ascii="Calibri" w:hAnsi="Calibri" w:cs="Arial"/>
            <w:noProof/>
            <w:sz w:val="22"/>
            <w:szCs w:val="22"/>
          </w:rPr>
          <w:tab/>
        </w:r>
        <w:r w:rsidRPr="002F22DD">
          <w:rPr>
            <w:rStyle w:val="Hyperlink"/>
            <w:noProof/>
          </w:rPr>
          <w:t>Revisions to OASIS Standards Not Related to Order No. 890 Objectives and Requirements</w:t>
        </w:r>
        <w:r>
          <w:rPr>
            <w:noProof/>
            <w:webHidden/>
          </w:rPr>
          <w:tab/>
        </w:r>
        <w:r>
          <w:rPr>
            <w:noProof/>
            <w:webHidden/>
          </w:rPr>
          <w:fldChar w:fldCharType="begin"/>
        </w:r>
        <w:r>
          <w:rPr>
            <w:noProof/>
            <w:webHidden/>
          </w:rPr>
          <w:instrText xml:space="preserve"> PAGEREF _Toc360605870 \h </w:instrText>
        </w:r>
        <w:r>
          <w:rPr>
            <w:noProof/>
            <w:webHidden/>
          </w:rPr>
        </w:r>
        <w:r>
          <w:rPr>
            <w:noProof/>
            <w:webHidden/>
          </w:rPr>
          <w:fldChar w:fldCharType="separate"/>
        </w:r>
        <w:r>
          <w:rPr>
            <w:noProof/>
            <w:webHidden/>
          </w:rPr>
          <w:t>- 16 -</w:t>
        </w:r>
        <w:r>
          <w:rPr>
            <w:noProof/>
            <w:webHidden/>
          </w:rPr>
          <w:fldChar w:fldCharType="end"/>
        </w:r>
      </w:hyperlink>
    </w:p>
    <w:p w:rsidR="007E42E9" w:rsidRDefault="007E42E9">
      <w:pPr>
        <w:pStyle w:val="TOC2"/>
        <w:tabs>
          <w:tab w:val="left" w:pos="780"/>
          <w:tab w:val="right" w:leader="dot" w:pos="9350"/>
        </w:tabs>
        <w:rPr>
          <w:rFonts w:ascii="Calibri" w:hAnsi="Calibri" w:cs="Arial"/>
          <w:noProof/>
          <w:sz w:val="22"/>
          <w:szCs w:val="22"/>
        </w:rPr>
      </w:pPr>
      <w:hyperlink w:anchor="_Toc360605871" w:history="1">
        <w:r w:rsidRPr="002F22DD">
          <w:rPr>
            <w:rStyle w:val="Hyperlink"/>
            <w:noProof/>
          </w:rPr>
          <w:t>C.</w:t>
        </w:r>
        <w:r>
          <w:rPr>
            <w:rFonts w:ascii="Calibri" w:hAnsi="Calibri" w:cs="Arial"/>
            <w:noProof/>
            <w:sz w:val="22"/>
            <w:szCs w:val="22"/>
          </w:rPr>
          <w:tab/>
        </w:r>
        <w:r w:rsidRPr="002F22DD">
          <w:rPr>
            <w:rStyle w:val="Hyperlink"/>
            <w:noProof/>
          </w:rPr>
          <w:t>Other Standards</w:t>
        </w:r>
        <w:r>
          <w:rPr>
            <w:noProof/>
            <w:webHidden/>
          </w:rPr>
          <w:tab/>
        </w:r>
        <w:r>
          <w:rPr>
            <w:noProof/>
            <w:webHidden/>
          </w:rPr>
          <w:fldChar w:fldCharType="begin"/>
        </w:r>
        <w:r>
          <w:rPr>
            <w:noProof/>
            <w:webHidden/>
          </w:rPr>
          <w:instrText xml:space="preserve"> PAGEREF _Toc360605871 \h </w:instrText>
        </w:r>
        <w:r>
          <w:rPr>
            <w:noProof/>
            <w:webHidden/>
          </w:rPr>
        </w:r>
        <w:r>
          <w:rPr>
            <w:noProof/>
            <w:webHidden/>
          </w:rPr>
          <w:fldChar w:fldCharType="separate"/>
        </w:r>
        <w:r>
          <w:rPr>
            <w:noProof/>
            <w:webHidden/>
          </w:rPr>
          <w:t>- 18 -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2" w:history="1">
        <w:r w:rsidRPr="002F22DD">
          <w:rPr>
            <w:rStyle w:val="Hyperlink"/>
            <w:noProof/>
          </w:rPr>
          <w:t>1.</w:t>
        </w:r>
        <w:r>
          <w:rPr>
            <w:rFonts w:ascii="Calibri" w:hAnsi="Calibri" w:cs="Arial"/>
            <w:noProof/>
            <w:sz w:val="22"/>
            <w:szCs w:val="22"/>
          </w:rPr>
          <w:tab/>
        </w:r>
        <w:r w:rsidRPr="002F22DD">
          <w:rPr>
            <w:rStyle w:val="Hyperlink"/>
            <w:noProof/>
          </w:rPr>
          <w:t>Coordinate Interchange Standards</w:t>
        </w:r>
        <w:r>
          <w:rPr>
            <w:noProof/>
            <w:webHidden/>
          </w:rPr>
          <w:tab/>
        </w:r>
        <w:r>
          <w:rPr>
            <w:noProof/>
            <w:webHidden/>
          </w:rPr>
          <w:fldChar w:fldCharType="begin"/>
        </w:r>
        <w:r>
          <w:rPr>
            <w:noProof/>
            <w:webHidden/>
          </w:rPr>
          <w:instrText xml:space="preserve"> PAGEREF _Toc360605872 \h </w:instrText>
        </w:r>
        <w:r>
          <w:rPr>
            <w:noProof/>
            <w:webHidden/>
          </w:rPr>
        </w:r>
        <w:r>
          <w:rPr>
            <w:noProof/>
            <w:webHidden/>
          </w:rPr>
          <w:fldChar w:fldCharType="separate"/>
        </w:r>
        <w:r>
          <w:rPr>
            <w:noProof/>
            <w:webHidden/>
          </w:rPr>
          <w:t>- 18 -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3" w:history="1">
        <w:r w:rsidRPr="002F22DD">
          <w:rPr>
            <w:rStyle w:val="Hyperlink"/>
            <w:noProof/>
          </w:rPr>
          <w:t>2.</w:t>
        </w:r>
        <w:r>
          <w:rPr>
            <w:rFonts w:ascii="Calibri" w:hAnsi="Calibri" w:cs="Arial"/>
            <w:noProof/>
            <w:sz w:val="22"/>
            <w:szCs w:val="22"/>
          </w:rPr>
          <w:tab/>
        </w:r>
        <w:r w:rsidRPr="002F22DD">
          <w:rPr>
            <w:rStyle w:val="Hyperlink"/>
            <w:noProof/>
          </w:rPr>
          <w:t>Gas/Electric Coordination Standards</w:t>
        </w:r>
        <w:r>
          <w:rPr>
            <w:noProof/>
            <w:webHidden/>
          </w:rPr>
          <w:tab/>
        </w:r>
        <w:r>
          <w:rPr>
            <w:noProof/>
            <w:webHidden/>
          </w:rPr>
          <w:fldChar w:fldCharType="begin"/>
        </w:r>
        <w:r>
          <w:rPr>
            <w:noProof/>
            <w:webHidden/>
          </w:rPr>
          <w:instrText xml:space="preserve"> PAGEREF _Toc360605873 \h </w:instrText>
        </w:r>
        <w:r>
          <w:rPr>
            <w:noProof/>
            <w:webHidden/>
          </w:rPr>
        </w:r>
        <w:r>
          <w:rPr>
            <w:noProof/>
            <w:webHidden/>
          </w:rPr>
          <w:fldChar w:fldCharType="separate"/>
        </w:r>
        <w:r>
          <w:rPr>
            <w:noProof/>
            <w:webHidden/>
          </w:rPr>
          <w:t>- 18 -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4" w:history="1">
        <w:r w:rsidRPr="002F22DD">
          <w:rPr>
            <w:rStyle w:val="Hyperlink"/>
            <w:noProof/>
          </w:rPr>
          <w:t>3.</w:t>
        </w:r>
        <w:r>
          <w:rPr>
            <w:rFonts w:ascii="Calibri" w:hAnsi="Calibri" w:cs="Arial"/>
            <w:noProof/>
            <w:sz w:val="22"/>
            <w:szCs w:val="22"/>
          </w:rPr>
          <w:tab/>
        </w:r>
        <w:r w:rsidRPr="002F22DD">
          <w:rPr>
            <w:rStyle w:val="Hyperlink"/>
            <w:noProof/>
          </w:rPr>
          <w:t>Public Key Infrastructure (PKI) Standards</w:t>
        </w:r>
        <w:r>
          <w:rPr>
            <w:noProof/>
            <w:webHidden/>
          </w:rPr>
          <w:tab/>
        </w:r>
        <w:r>
          <w:rPr>
            <w:noProof/>
            <w:webHidden/>
          </w:rPr>
          <w:fldChar w:fldCharType="begin"/>
        </w:r>
        <w:r>
          <w:rPr>
            <w:noProof/>
            <w:webHidden/>
          </w:rPr>
          <w:instrText xml:space="preserve"> PAGEREF _Toc360605874 \h </w:instrText>
        </w:r>
        <w:r>
          <w:rPr>
            <w:noProof/>
            <w:webHidden/>
          </w:rPr>
        </w:r>
        <w:r>
          <w:rPr>
            <w:noProof/>
            <w:webHidden/>
          </w:rPr>
          <w:fldChar w:fldCharType="separate"/>
        </w:r>
        <w:r>
          <w:rPr>
            <w:noProof/>
            <w:webHidden/>
          </w:rPr>
          <w:t>- 19 -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5" w:history="1">
        <w:r w:rsidRPr="002F22DD">
          <w:rPr>
            <w:rStyle w:val="Hyperlink"/>
            <w:noProof/>
          </w:rPr>
          <w:t>4.</w:t>
        </w:r>
        <w:r>
          <w:rPr>
            <w:rFonts w:ascii="Calibri" w:hAnsi="Calibri" w:cs="Arial"/>
            <w:noProof/>
            <w:sz w:val="22"/>
            <w:szCs w:val="22"/>
          </w:rPr>
          <w:tab/>
        </w:r>
        <w:r w:rsidRPr="002F22DD">
          <w:rPr>
            <w:rStyle w:val="Hyperlink"/>
            <w:noProof/>
          </w:rPr>
          <w:t>Smart Grid Standards</w:t>
        </w:r>
        <w:r>
          <w:rPr>
            <w:noProof/>
            <w:webHidden/>
          </w:rPr>
          <w:tab/>
        </w:r>
        <w:r>
          <w:rPr>
            <w:noProof/>
            <w:webHidden/>
          </w:rPr>
          <w:fldChar w:fldCharType="begin"/>
        </w:r>
        <w:r>
          <w:rPr>
            <w:noProof/>
            <w:webHidden/>
          </w:rPr>
          <w:instrText xml:space="preserve"> PAGEREF _Toc360605875 \h </w:instrText>
        </w:r>
        <w:r>
          <w:rPr>
            <w:noProof/>
            <w:webHidden/>
          </w:rPr>
        </w:r>
        <w:r>
          <w:rPr>
            <w:noProof/>
            <w:webHidden/>
          </w:rPr>
          <w:fldChar w:fldCharType="separate"/>
        </w:r>
        <w:r>
          <w:rPr>
            <w:noProof/>
            <w:webHidden/>
          </w:rPr>
          <w:t>- 22 -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6" w:history="1">
        <w:r w:rsidRPr="002F22DD">
          <w:rPr>
            <w:rStyle w:val="Hyperlink"/>
            <w:noProof/>
          </w:rPr>
          <w:t>5.</w:t>
        </w:r>
        <w:r>
          <w:rPr>
            <w:rFonts w:ascii="Calibri" w:hAnsi="Calibri" w:cs="Arial"/>
            <w:noProof/>
            <w:sz w:val="22"/>
            <w:szCs w:val="22"/>
          </w:rPr>
          <w:tab/>
        </w:r>
        <w:r w:rsidRPr="002F22DD">
          <w:rPr>
            <w:rStyle w:val="Hyperlink"/>
            <w:noProof/>
          </w:rPr>
          <w:t>Standards Related to Terms, Definition and Acronyms</w:t>
        </w:r>
        <w:r>
          <w:rPr>
            <w:noProof/>
            <w:webHidden/>
          </w:rPr>
          <w:tab/>
        </w:r>
        <w:r>
          <w:rPr>
            <w:noProof/>
            <w:webHidden/>
          </w:rPr>
          <w:fldChar w:fldCharType="begin"/>
        </w:r>
        <w:r>
          <w:rPr>
            <w:noProof/>
            <w:webHidden/>
          </w:rPr>
          <w:instrText xml:space="preserve"> PAGEREF _Toc360605876 \h </w:instrText>
        </w:r>
        <w:r>
          <w:rPr>
            <w:noProof/>
            <w:webHidden/>
          </w:rPr>
        </w:r>
        <w:r>
          <w:rPr>
            <w:noProof/>
            <w:webHidden/>
          </w:rPr>
          <w:fldChar w:fldCharType="separate"/>
        </w:r>
        <w:r>
          <w:rPr>
            <w:noProof/>
            <w:webHidden/>
          </w:rPr>
          <w:t>- 24 -</w:t>
        </w:r>
        <w:r>
          <w:rPr>
            <w:noProof/>
            <w:webHidden/>
          </w:rPr>
          <w:fldChar w:fldCharType="end"/>
        </w:r>
      </w:hyperlink>
    </w:p>
    <w:p w:rsidR="007E42E9" w:rsidRDefault="007E42E9">
      <w:pPr>
        <w:pStyle w:val="TOC3"/>
        <w:tabs>
          <w:tab w:val="left" w:pos="1040"/>
          <w:tab w:val="right" w:leader="dot" w:pos="9350"/>
        </w:tabs>
        <w:rPr>
          <w:rFonts w:ascii="Calibri" w:hAnsi="Calibri" w:cs="Arial"/>
          <w:noProof/>
          <w:sz w:val="22"/>
          <w:szCs w:val="22"/>
        </w:rPr>
      </w:pPr>
      <w:hyperlink w:anchor="_Toc360605877" w:history="1">
        <w:r w:rsidRPr="002F22DD">
          <w:rPr>
            <w:rStyle w:val="Hyperlink"/>
            <w:noProof/>
          </w:rPr>
          <w:t>6.</w:t>
        </w:r>
        <w:r>
          <w:rPr>
            <w:rFonts w:ascii="Calibri" w:hAnsi="Calibri" w:cs="Arial"/>
            <w:noProof/>
            <w:sz w:val="22"/>
            <w:szCs w:val="22"/>
          </w:rPr>
          <w:tab/>
        </w:r>
        <w:r w:rsidRPr="002F22DD">
          <w:rPr>
            <w:rStyle w:val="Hyperlink"/>
            <w:noProof/>
          </w:rPr>
          <w:t>Commission Proposal</w:t>
        </w:r>
        <w:r>
          <w:rPr>
            <w:noProof/>
            <w:webHidden/>
          </w:rPr>
          <w:tab/>
        </w:r>
        <w:r>
          <w:rPr>
            <w:noProof/>
            <w:webHidden/>
          </w:rPr>
          <w:fldChar w:fldCharType="begin"/>
        </w:r>
        <w:r>
          <w:rPr>
            <w:noProof/>
            <w:webHidden/>
          </w:rPr>
          <w:instrText xml:space="preserve"> PAGEREF _Toc360605877 \h </w:instrText>
        </w:r>
        <w:r>
          <w:rPr>
            <w:noProof/>
            <w:webHidden/>
          </w:rPr>
        </w:r>
        <w:r>
          <w:rPr>
            <w:noProof/>
            <w:webHidden/>
          </w:rPr>
          <w:fldChar w:fldCharType="separate"/>
        </w:r>
        <w:r>
          <w:rPr>
            <w:noProof/>
            <w:webHidden/>
          </w:rPr>
          <w:t>- 24 -</w:t>
        </w:r>
        <w:r>
          <w:rPr>
            <w:noProof/>
            <w:webHidden/>
          </w:rPr>
          <w:fldChar w:fldCharType="end"/>
        </w:r>
      </w:hyperlink>
    </w:p>
    <w:p w:rsidR="007E42E9" w:rsidRDefault="007E42E9">
      <w:pPr>
        <w:pStyle w:val="TOC2"/>
        <w:tabs>
          <w:tab w:val="left" w:pos="780"/>
          <w:tab w:val="right" w:leader="dot" w:pos="9350"/>
        </w:tabs>
        <w:rPr>
          <w:rFonts w:ascii="Calibri" w:hAnsi="Calibri" w:cs="Arial"/>
          <w:noProof/>
          <w:sz w:val="22"/>
          <w:szCs w:val="22"/>
        </w:rPr>
      </w:pPr>
      <w:hyperlink w:anchor="_Toc360605878" w:history="1">
        <w:r w:rsidRPr="002F22DD">
          <w:rPr>
            <w:rStyle w:val="Hyperlink"/>
            <w:noProof/>
          </w:rPr>
          <w:t>D.</w:t>
        </w:r>
        <w:r>
          <w:rPr>
            <w:rFonts w:ascii="Calibri" w:hAnsi="Calibri" w:cs="Arial"/>
            <w:noProof/>
            <w:sz w:val="22"/>
            <w:szCs w:val="22"/>
          </w:rPr>
          <w:tab/>
        </w:r>
        <w:r w:rsidRPr="002F22DD">
          <w:rPr>
            <w:rStyle w:val="Hyperlink"/>
            <w:noProof/>
          </w:rPr>
          <w:t>Implementation</w:t>
        </w:r>
        <w:r>
          <w:rPr>
            <w:noProof/>
            <w:webHidden/>
          </w:rPr>
          <w:tab/>
        </w:r>
        <w:r>
          <w:rPr>
            <w:noProof/>
            <w:webHidden/>
          </w:rPr>
          <w:fldChar w:fldCharType="begin"/>
        </w:r>
        <w:r>
          <w:rPr>
            <w:noProof/>
            <w:webHidden/>
          </w:rPr>
          <w:instrText xml:space="preserve"> PAGEREF _Toc360605878 \h </w:instrText>
        </w:r>
        <w:r>
          <w:rPr>
            <w:noProof/>
            <w:webHidden/>
          </w:rPr>
        </w:r>
        <w:r>
          <w:rPr>
            <w:noProof/>
            <w:webHidden/>
          </w:rPr>
          <w:fldChar w:fldCharType="separate"/>
        </w:r>
        <w:r>
          <w:rPr>
            <w:noProof/>
            <w:webHidden/>
          </w:rPr>
          <w:t>- 24 -</w:t>
        </w:r>
        <w:r>
          <w:rPr>
            <w:noProof/>
            <w:webHidden/>
          </w:rPr>
          <w:fldChar w:fldCharType="end"/>
        </w:r>
      </w:hyperlink>
    </w:p>
    <w:p w:rsidR="007E42E9" w:rsidRDefault="007E42E9">
      <w:pPr>
        <w:pStyle w:val="TOC1"/>
        <w:tabs>
          <w:tab w:val="left" w:pos="780"/>
          <w:tab w:val="right" w:leader="dot" w:pos="9350"/>
        </w:tabs>
        <w:rPr>
          <w:rFonts w:ascii="Calibri" w:hAnsi="Calibri" w:cs="Arial"/>
          <w:noProof/>
          <w:sz w:val="22"/>
          <w:szCs w:val="22"/>
        </w:rPr>
      </w:pPr>
      <w:hyperlink w:anchor="_Toc360605879" w:history="1">
        <w:r w:rsidRPr="002F22DD">
          <w:rPr>
            <w:rStyle w:val="Hyperlink"/>
            <w:noProof/>
          </w:rPr>
          <w:t>III.</w:t>
        </w:r>
        <w:r>
          <w:rPr>
            <w:rFonts w:ascii="Calibri" w:hAnsi="Calibri" w:cs="Arial"/>
            <w:noProof/>
            <w:sz w:val="22"/>
            <w:szCs w:val="22"/>
          </w:rPr>
          <w:tab/>
        </w:r>
        <w:r w:rsidRPr="002F22DD">
          <w:rPr>
            <w:rStyle w:val="Hyperlink"/>
            <w:noProof/>
          </w:rPr>
          <w:t>Notice of Use of Voluntary Consensus Standards</w:t>
        </w:r>
        <w:r>
          <w:rPr>
            <w:noProof/>
            <w:webHidden/>
          </w:rPr>
          <w:tab/>
        </w:r>
        <w:r>
          <w:rPr>
            <w:noProof/>
            <w:webHidden/>
          </w:rPr>
          <w:fldChar w:fldCharType="begin"/>
        </w:r>
        <w:r>
          <w:rPr>
            <w:noProof/>
            <w:webHidden/>
          </w:rPr>
          <w:instrText xml:space="preserve"> PAGEREF _Toc360605879 \h </w:instrText>
        </w:r>
        <w:r>
          <w:rPr>
            <w:noProof/>
            <w:webHidden/>
          </w:rPr>
        </w:r>
        <w:r>
          <w:rPr>
            <w:noProof/>
            <w:webHidden/>
          </w:rPr>
          <w:fldChar w:fldCharType="separate"/>
        </w:r>
        <w:r>
          <w:rPr>
            <w:noProof/>
            <w:webHidden/>
          </w:rPr>
          <w:t>- 25 -</w:t>
        </w:r>
        <w:r>
          <w:rPr>
            <w:noProof/>
            <w:webHidden/>
          </w:rPr>
          <w:fldChar w:fldCharType="end"/>
        </w:r>
      </w:hyperlink>
    </w:p>
    <w:p w:rsidR="007E42E9" w:rsidRDefault="007E42E9">
      <w:pPr>
        <w:pStyle w:val="TOC1"/>
        <w:tabs>
          <w:tab w:val="left" w:pos="780"/>
          <w:tab w:val="right" w:leader="dot" w:pos="9350"/>
        </w:tabs>
        <w:rPr>
          <w:rFonts w:ascii="Calibri" w:hAnsi="Calibri" w:cs="Arial"/>
          <w:noProof/>
          <w:sz w:val="22"/>
          <w:szCs w:val="22"/>
        </w:rPr>
      </w:pPr>
      <w:hyperlink w:anchor="_Toc360605880" w:history="1">
        <w:r w:rsidRPr="002F22DD">
          <w:rPr>
            <w:rStyle w:val="Hyperlink"/>
            <w:noProof/>
          </w:rPr>
          <w:t>IV.</w:t>
        </w:r>
        <w:r>
          <w:rPr>
            <w:rFonts w:ascii="Calibri" w:hAnsi="Calibri" w:cs="Arial"/>
            <w:noProof/>
            <w:sz w:val="22"/>
            <w:szCs w:val="22"/>
          </w:rPr>
          <w:tab/>
        </w:r>
        <w:r w:rsidRPr="002F22DD">
          <w:rPr>
            <w:rStyle w:val="Hyperlink"/>
            <w:noProof/>
          </w:rPr>
          <w:t>Information Collection Statement</w:t>
        </w:r>
        <w:r>
          <w:rPr>
            <w:noProof/>
            <w:webHidden/>
          </w:rPr>
          <w:tab/>
        </w:r>
        <w:r>
          <w:rPr>
            <w:noProof/>
            <w:webHidden/>
          </w:rPr>
          <w:fldChar w:fldCharType="begin"/>
        </w:r>
        <w:r>
          <w:rPr>
            <w:noProof/>
            <w:webHidden/>
          </w:rPr>
          <w:instrText xml:space="preserve"> PAGEREF _Toc360605880 \h </w:instrText>
        </w:r>
        <w:r>
          <w:rPr>
            <w:noProof/>
            <w:webHidden/>
          </w:rPr>
        </w:r>
        <w:r>
          <w:rPr>
            <w:noProof/>
            <w:webHidden/>
          </w:rPr>
          <w:fldChar w:fldCharType="separate"/>
        </w:r>
        <w:r>
          <w:rPr>
            <w:noProof/>
            <w:webHidden/>
          </w:rPr>
          <w:t>- 26 -</w:t>
        </w:r>
        <w:r>
          <w:rPr>
            <w:noProof/>
            <w:webHidden/>
          </w:rPr>
          <w:fldChar w:fldCharType="end"/>
        </w:r>
      </w:hyperlink>
    </w:p>
    <w:p w:rsidR="007E42E9" w:rsidRDefault="007E42E9">
      <w:pPr>
        <w:pStyle w:val="TOC1"/>
        <w:tabs>
          <w:tab w:val="left" w:pos="520"/>
          <w:tab w:val="right" w:leader="dot" w:pos="9350"/>
        </w:tabs>
        <w:rPr>
          <w:rFonts w:ascii="Calibri" w:hAnsi="Calibri" w:cs="Arial"/>
          <w:noProof/>
          <w:sz w:val="22"/>
          <w:szCs w:val="22"/>
        </w:rPr>
      </w:pPr>
      <w:hyperlink w:anchor="_Toc360605881" w:history="1">
        <w:r w:rsidRPr="002F22DD">
          <w:rPr>
            <w:rStyle w:val="Hyperlink"/>
            <w:noProof/>
          </w:rPr>
          <w:t>V.</w:t>
        </w:r>
        <w:r>
          <w:rPr>
            <w:rFonts w:ascii="Calibri" w:hAnsi="Calibri" w:cs="Arial"/>
            <w:noProof/>
            <w:sz w:val="22"/>
            <w:szCs w:val="22"/>
          </w:rPr>
          <w:tab/>
        </w:r>
        <w:r w:rsidRPr="002F22DD">
          <w:rPr>
            <w:rStyle w:val="Hyperlink"/>
            <w:noProof/>
          </w:rPr>
          <w:t>Environmental Analysis</w:t>
        </w:r>
        <w:r>
          <w:rPr>
            <w:noProof/>
            <w:webHidden/>
          </w:rPr>
          <w:tab/>
        </w:r>
        <w:r>
          <w:rPr>
            <w:noProof/>
            <w:webHidden/>
          </w:rPr>
          <w:fldChar w:fldCharType="begin"/>
        </w:r>
        <w:r>
          <w:rPr>
            <w:noProof/>
            <w:webHidden/>
          </w:rPr>
          <w:instrText xml:space="preserve"> PAGEREF _Toc360605881 \h </w:instrText>
        </w:r>
        <w:r>
          <w:rPr>
            <w:noProof/>
            <w:webHidden/>
          </w:rPr>
        </w:r>
        <w:r>
          <w:rPr>
            <w:noProof/>
            <w:webHidden/>
          </w:rPr>
          <w:fldChar w:fldCharType="separate"/>
        </w:r>
        <w:r>
          <w:rPr>
            <w:noProof/>
            <w:webHidden/>
          </w:rPr>
          <w:t>- 30 -</w:t>
        </w:r>
        <w:r>
          <w:rPr>
            <w:noProof/>
            <w:webHidden/>
          </w:rPr>
          <w:fldChar w:fldCharType="end"/>
        </w:r>
      </w:hyperlink>
    </w:p>
    <w:p w:rsidR="007E42E9" w:rsidRDefault="007E42E9">
      <w:pPr>
        <w:pStyle w:val="TOC1"/>
        <w:tabs>
          <w:tab w:val="left" w:pos="780"/>
          <w:tab w:val="right" w:leader="dot" w:pos="9350"/>
        </w:tabs>
        <w:rPr>
          <w:rFonts w:ascii="Calibri" w:hAnsi="Calibri" w:cs="Arial"/>
          <w:noProof/>
          <w:sz w:val="22"/>
          <w:szCs w:val="22"/>
        </w:rPr>
      </w:pPr>
      <w:hyperlink w:anchor="_Toc360605882" w:history="1">
        <w:r w:rsidRPr="002F22DD">
          <w:rPr>
            <w:rStyle w:val="Hyperlink"/>
            <w:noProof/>
          </w:rPr>
          <w:t>VI.</w:t>
        </w:r>
        <w:r>
          <w:rPr>
            <w:rFonts w:ascii="Calibri" w:hAnsi="Calibri" w:cs="Arial"/>
            <w:noProof/>
            <w:sz w:val="22"/>
            <w:szCs w:val="22"/>
          </w:rPr>
          <w:tab/>
        </w:r>
        <w:r w:rsidRPr="002F22DD">
          <w:rPr>
            <w:rStyle w:val="Hyperlink"/>
            <w:noProof/>
          </w:rPr>
          <w:t>Regulatory Flexibility Act Certification</w:t>
        </w:r>
        <w:r>
          <w:rPr>
            <w:noProof/>
            <w:webHidden/>
          </w:rPr>
          <w:tab/>
        </w:r>
        <w:r>
          <w:rPr>
            <w:noProof/>
            <w:webHidden/>
          </w:rPr>
          <w:fldChar w:fldCharType="begin"/>
        </w:r>
        <w:r>
          <w:rPr>
            <w:noProof/>
            <w:webHidden/>
          </w:rPr>
          <w:instrText xml:space="preserve"> PAGEREF _Toc360605882 \h </w:instrText>
        </w:r>
        <w:r>
          <w:rPr>
            <w:noProof/>
            <w:webHidden/>
          </w:rPr>
        </w:r>
        <w:r>
          <w:rPr>
            <w:noProof/>
            <w:webHidden/>
          </w:rPr>
          <w:fldChar w:fldCharType="separate"/>
        </w:r>
        <w:r>
          <w:rPr>
            <w:noProof/>
            <w:webHidden/>
          </w:rPr>
          <w:t>- 30 -</w:t>
        </w:r>
        <w:r>
          <w:rPr>
            <w:noProof/>
            <w:webHidden/>
          </w:rPr>
          <w:fldChar w:fldCharType="end"/>
        </w:r>
      </w:hyperlink>
    </w:p>
    <w:p w:rsidR="007E42E9" w:rsidRDefault="007E42E9">
      <w:pPr>
        <w:pStyle w:val="TOC1"/>
        <w:tabs>
          <w:tab w:val="left" w:pos="780"/>
          <w:tab w:val="right" w:leader="dot" w:pos="9350"/>
        </w:tabs>
        <w:rPr>
          <w:rFonts w:ascii="Calibri" w:hAnsi="Calibri" w:cs="Arial"/>
          <w:noProof/>
          <w:sz w:val="22"/>
          <w:szCs w:val="22"/>
        </w:rPr>
      </w:pPr>
      <w:hyperlink w:anchor="_Toc360605883" w:history="1">
        <w:r w:rsidRPr="002F22DD">
          <w:rPr>
            <w:rStyle w:val="Hyperlink"/>
            <w:noProof/>
          </w:rPr>
          <w:t>VII.</w:t>
        </w:r>
        <w:r>
          <w:rPr>
            <w:rFonts w:ascii="Calibri" w:hAnsi="Calibri" w:cs="Arial"/>
            <w:noProof/>
            <w:sz w:val="22"/>
            <w:szCs w:val="22"/>
          </w:rPr>
          <w:tab/>
        </w:r>
        <w:r w:rsidRPr="002F22DD">
          <w:rPr>
            <w:rStyle w:val="Hyperlink"/>
            <w:noProof/>
          </w:rPr>
          <w:t>Comment Procedures</w:t>
        </w:r>
        <w:r>
          <w:rPr>
            <w:noProof/>
            <w:webHidden/>
          </w:rPr>
          <w:tab/>
        </w:r>
        <w:r>
          <w:rPr>
            <w:noProof/>
            <w:webHidden/>
          </w:rPr>
          <w:fldChar w:fldCharType="begin"/>
        </w:r>
        <w:r>
          <w:rPr>
            <w:noProof/>
            <w:webHidden/>
          </w:rPr>
          <w:instrText xml:space="preserve"> PAGEREF _Toc360605883 \h </w:instrText>
        </w:r>
        <w:r>
          <w:rPr>
            <w:noProof/>
            <w:webHidden/>
          </w:rPr>
        </w:r>
        <w:r>
          <w:rPr>
            <w:noProof/>
            <w:webHidden/>
          </w:rPr>
          <w:fldChar w:fldCharType="separate"/>
        </w:r>
        <w:r>
          <w:rPr>
            <w:noProof/>
            <w:webHidden/>
          </w:rPr>
          <w:t>- 32 -</w:t>
        </w:r>
        <w:r>
          <w:rPr>
            <w:noProof/>
            <w:webHidden/>
          </w:rPr>
          <w:fldChar w:fldCharType="end"/>
        </w:r>
      </w:hyperlink>
    </w:p>
    <w:p w:rsidR="007E42E9" w:rsidRDefault="007E42E9">
      <w:pPr>
        <w:pStyle w:val="TOC1"/>
        <w:tabs>
          <w:tab w:val="left" w:pos="780"/>
          <w:tab w:val="right" w:leader="dot" w:pos="9350"/>
        </w:tabs>
        <w:rPr>
          <w:rFonts w:ascii="Calibri" w:hAnsi="Calibri" w:cs="Arial"/>
          <w:noProof/>
          <w:sz w:val="22"/>
          <w:szCs w:val="22"/>
        </w:rPr>
      </w:pPr>
      <w:hyperlink w:anchor="_Toc360605884" w:history="1">
        <w:r w:rsidRPr="002F22DD">
          <w:rPr>
            <w:rStyle w:val="Hyperlink"/>
            <w:noProof/>
          </w:rPr>
          <w:t>VIII.</w:t>
        </w:r>
        <w:r>
          <w:rPr>
            <w:rFonts w:ascii="Calibri" w:hAnsi="Calibri" w:cs="Arial"/>
            <w:noProof/>
            <w:sz w:val="22"/>
            <w:szCs w:val="22"/>
          </w:rPr>
          <w:tab/>
        </w:r>
        <w:r w:rsidRPr="002F22DD">
          <w:rPr>
            <w:rStyle w:val="Hyperlink"/>
            <w:noProof/>
          </w:rPr>
          <w:t>Document Availability</w:t>
        </w:r>
        <w:r>
          <w:rPr>
            <w:noProof/>
            <w:webHidden/>
          </w:rPr>
          <w:tab/>
        </w:r>
        <w:r>
          <w:rPr>
            <w:noProof/>
            <w:webHidden/>
          </w:rPr>
          <w:fldChar w:fldCharType="begin"/>
        </w:r>
        <w:r>
          <w:rPr>
            <w:noProof/>
            <w:webHidden/>
          </w:rPr>
          <w:instrText xml:space="preserve"> PAGEREF _Toc360605884 \h </w:instrText>
        </w:r>
        <w:r>
          <w:rPr>
            <w:noProof/>
            <w:webHidden/>
          </w:rPr>
        </w:r>
        <w:r>
          <w:rPr>
            <w:noProof/>
            <w:webHidden/>
          </w:rPr>
          <w:fldChar w:fldCharType="separate"/>
        </w:r>
        <w:r>
          <w:rPr>
            <w:noProof/>
            <w:webHidden/>
          </w:rPr>
          <w:t>- 33 -</w:t>
        </w:r>
        <w:r>
          <w:rPr>
            <w:noProof/>
            <w:webHidden/>
          </w:rPr>
          <w:fldChar w:fldCharType="end"/>
        </w:r>
      </w:hyperlink>
    </w:p>
    <w:p w:rsidR="007E42E9" w:rsidRDefault="007E42E9" w:rsidP="007C0C74">
      <w:r>
        <w:fldChar w:fldCharType="end"/>
      </w:r>
    </w:p>
    <w:p w:rsidR="007E42E9" w:rsidRDefault="007E42E9" w:rsidP="007C0C74">
      <w:pPr>
        <w:sectPr w:rsidR="007E42E9" w:rsidSect="007C0C74">
          <w:headerReference w:type="even" r:id="rId10"/>
          <w:headerReference w:type="default" r:id="rId11"/>
          <w:headerReference w:type="first" r:id="rId12"/>
          <w:pgSz w:w="12240" w:h="15840"/>
          <w:pgMar w:top="1440" w:right="1440" w:bottom="1440" w:left="1440" w:header="720" w:footer="720" w:gutter="0"/>
          <w:pgNumType w:fmt="numberInDash" w:start="1"/>
          <w:cols w:space="720"/>
          <w:titlePg/>
          <w:docGrid w:linePitch="360"/>
        </w:sectPr>
      </w:pPr>
    </w:p>
    <w:p w:rsidR="007E42E9" w:rsidRPr="00493FC7" w:rsidRDefault="007E42E9" w:rsidP="00565C2A">
      <w:pPr>
        <w:jc w:val="center"/>
      </w:pPr>
      <w:r>
        <w:t>144 FERC ¶ 61,026</w:t>
      </w:r>
    </w:p>
    <w:p w:rsidR="007E42E9" w:rsidRDefault="007E42E9" w:rsidP="007C0C74">
      <w:pPr>
        <w:jc w:val="center"/>
      </w:pPr>
      <w:r w:rsidRPr="00C10EF5">
        <w:t>UNITED</w:t>
      </w:r>
      <w:r>
        <w:t xml:space="preserve"> STATES OF AMERICA</w:t>
      </w:r>
    </w:p>
    <w:p w:rsidR="007E42E9" w:rsidRDefault="007E42E9" w:rsidP="007C0C74">
      <w:pPr>
        <w:jc w:val="center"/>
      </w:pPr>
      <w:r>
        <w:t>FEDERAL ENERGY REGULATORY COMMISSION</w:t>
      </w:r>
    </w:p>
    <w:p w:rsidR="007E42E9" w:rsidRDefault="007E42E9" w:rsidP="007C0C74"/>
    <w:tbl>
      <w:tblPr>
        <w:tblW w:w="0" w:type="auto"/>
        <w:tblCellMar>
          <w:left w:w="0" w:type="dxa"/>
          <w:right w:w="0" w:type="dxa"/>
        </w:tblCellMar>
        <w:tblLook w:val="01E0"/>
      </w:tblPr>
      <w:tblGrid>
        <w:gridCol w:w="5934"/>
        <w:gridCol w:w="1534"/>
        <w:gridCol w:w="1892"/>
      </w:tblGrid>
      <w:tr w:rsidR="007E42E9" w:rsidTr="00565C2A">
        <w:tc>
          <w:tcPr>
            <w:tcW w:w="5934" w:type="dxa"/>
          </w:tcPr>
          <w:p w:rsidR="007E42E9" w:rsidRDefault="007E42E9" w:rsidP="007C0C74"/>
          <w:p w:rsidR="007E42E9" w:rsidRDefault="007E42E9" w:rsidP="007C0C74">
            <w:r>
              <w:t>Standards for Business Practices and Communication Protocols for Public Utilities</w:t>
            </w:r>
          </w:p>
        </w:tc>
        <w:tc>
          <w:tcPr>
            <w:tcW w:w="1534" w:type="dxa"/>
            <w:tcMar>
              <w:left w:w="72" w:type="dxa"/>
            </w:tcMar>
          </w:tcPr>
          <w:p w:rsidR="007E42E9" w:rsidRDefault="007E42E9" w:rsidP="00441323">
            <w:pPr>
              <w:jc w:val="right"/>
            </w:pPr>
            <w:r>
              <w:t>Docket No.</w:t>
            </w:r>
          </w:p>
        </w:tc>
        <w:tc>
          <w:tcPr>
            <w:tcW w:w="1892" w:type="dxa"/>
            <w:tcMar>
              <w:left w:w="144" w:type="dxa"/>
            </w:tcMar>
          </w:tcPr>
          <w:p w:rsidR="007E42E9" w:rsidRDefault="007E42E9" w:rsidP="007C0C74">
            <w:r>
              <w:t xml:space="preserve"> RM05-5-022</w:t>
            </w:r>
          </w:p>
        </w:tc>
      </w:tr>
    </w:tbl>
    <w:p w:rsidR="007E42E9" w:rsidRDefault="007E42E9" w:rsidP="007C0C74"/>
    <w:p w:rsidR="007E42E9" w:rsidRDefault="007E42E9" w:rsidP="007C0C74"/>
    <w:p w:rsidR="007E42E9" w:rsidRDefault="007E42E9" w:rsidP="007C0C74">
      <w:pPr>
        <w:jc w:val="center"/>
      </w:pPr>
      <w:r>
        <w:t>NOTICE OF PROPOSED RULEMAKING</w:t>
      </w:r>
    </w:p>
    <w:p w:rsidR="007E42E9" w:rsidRDefault="007E42E9" w:rsidP="007C0C74"/>
    <w:p w:rsidR="007E42E9" w:rsidRDefault="007E42E9" w:rsidP="00565C2A">
      <w:pPr>
        <w:widowControl/>
        <w:tabs>
          <w:tab w:val="left" w:pos="720"/>
          <w:tab w:val="left" w:pos="1440"/>
          <w:tab w:val="left" w:pos="2880"/>
          <w:tab w:val="left" w:pos="4320"/>
          <w:tab w:val="left" w:pos="5040"/>
          <w:tab w:val="left" w:pos="5760"/>
          <w:tab w:val="left" w:pos="6480"/>
          <w:tab w:val="left" w:pos="7200"/>
        </w:tabs>
        <w:jc w:val="center"/>
      </w:pPr>
      <w:r w:rsidRPr="00565C2A">
        <w:t>(Issued July 18, 2013)</w:t>
      </w:r>
    </w:p>
    <w:p w:rsidR="007E42E9" w:rsidRPr="00565C2A" w:rsidRDefault="007E42E9" w:rsidP="00565C2A">
      <w:pPr>
        <w:widowControl/>
        <w:tabs>
          <w:tab w:val="left" w:pos="720"/>
          <w:tab w:val="left" w:pos="1440"/>
          <w:tab w:val="left" w:pos="2880"/>
          <w:tab w:val="left" w:pos="4320"/>
          <w:tab w:val="left" w:pos="5040"/>
          <w:tab w:val="left" w:pos="5760"/>
          <w:tab w:val="left" w:pos="6480"/>
          <w:tab w:val="left" w:pos="7200"/>
        </w:tabs>
      </w:pPr>
    </w:p>
    <w:p w:rsidR="007E42E9" w:rsidRDefault="007E42E9" w:rsidP="00F362BB">
      <w:pPr>
        <w:pStyle w:val="FERCparanumber"/>
        <w:numPr>
          <w:ilvl w:val="0"/>
          <w:numId w:val="25"/>
        </w:numPr>
        <w:ind w:left="0" w:firstLine="0"/>
      </w:pPr>
      <w:r>
        <w:t>In this notice of proposed rulemaking (NOPR), the Federal Energy Regulatory Commission (Commission) proposes to amend its regulations under the Federal Power Act</w:t>
      </w:r>
      <w:r>
        <w:rPr>
          <w:rStyle w:val="FootnoteReference"/>
        </w:rPr>
        <w:footnoteReference w:id="2"/>
      </w:r>
      <w:r>
        <w:t xml:space="preserve"> to incorporate by reference, with certain enumerated exceptions, the latest version of the</w:t>
      </w:r>
      <w:r w:rsidRPr="00E46D48">
        <w:t xml:space="preserve"> </w:t>
      </w:r>
      <w:r>
        <w:t xml:space="preserve">Standards for Business </w:t>
      </w:r>
      <w:r w:rsidRPr="00AF62F6">
        <w:t>Practices and</w:t>
      </w:r>
      <w:r>
        <w:t xml:space="preserve"> </w:t>
      </w:r>
      <w:r w:rsidRPr="00AF62F6">
        <w:t>Communication Protocols</w:t>
      </w:r>
      <w:r>
        <w:t xml:space="preserve"> for Public Utilities (Version 003) adopted by the </w:t>
      </w:r>
      <w:r w:rsidRPr="00CF4167">
        <w:t>Wholesale Electric Quadrant (WEQ) of the North American Energy Standards Board (</w:t>
      </w:r>
      <w:r w:rsidRPr="00445F7C">
        <w:t xml:space="preserve">NAESB) </w:t>
      </w:r>
      <w:r>
        <w:t>and filed with the Commission as a package on September 18, 2012 (September 18 Filing</w:t>
      </w:r>
      <w:r w:rsidRPr="00E85BFC">
        <w:t>)</w:t>
      </w:r>
      <w:r w:rsidRPr="00F653D4">
        <w:t>, as modified in a report filed with the Commission on January 30, 2013.</w:t>
      </w:r>
    </w:p>
    <w:p w:rsidR="007E42E9" w:rsidRDefault="007E42E9" w:rsidP="004E3918">
      <w:pPr>
        <w:pStyle w:val="FERCparanumber"/>
        <w:widowControl w:val="0"/>
        <w:numPr>
          <w:ilvl w:val="0"/>
          <w:numId w:val="25"/>
        </w:numPr>
        <w:ind w:left="0" w:firstLine="0"/>
      </w:pPr>
      <w:r>
        <w:t xml:space="preserve">These revised standards update earlier versions of these standards that the Commission previously incorporated by reference into its regulations at 18 CFR 38.2.  These new and revised standards </w:t>
      </w:r>
      <w:r w:rsidRPr="00CE69A4">
        <w:t>include modifications to support Order</w:t>
      </w:r>
      <w:r>
        <w:t xml:space="preserve"> </w:t>
      </w:r>
      <w:r w:rsidRPr="00CE69A4">
        <w:t xml:space="preserve">Nos. 890, </w:t>
      </w:r>
      <w:r>
        <w:t xml:space="preserve">    </w:t>
      </w:r>
      <w:r w:rsidRPr="00CE69A4">
        <w:t>890-A, 890-B and 890-C,</w:t>
      </w:r>
      <w:r>
        <w:rPr>
          <w:rStyle w:val="FootnoteReference"/>
        </w:rPr>
        <w:footnoteReference w:id="3"/>
      </w:r>
      <w:r w:rsidRPr="00CE69A4">
        <w:t xml:space="preserve"> including the standards to support Network Integration Transmission Service</w:t>
      </w:r>
      <w:r>
        <w:t xml:space="preserve"> </w:t>
      </w:r>
      <w:r w:rsidRPr="00CE69A4">
        <w:t xml:space="preserve">on </w:t>
      </w:r>
      <w:r>
        <w:t xml:space="preserve">an </w:t>
      </w:r>
      <w:r w:rsidRPr="00CE69A4">
        <w:t>Open Access Same-Time Information System (OASIS), Service Across</w:t>
      </w:r>
      <w:r>
        <w:t xml:space="preserve"> </w:t>
      </w:r>
      <w:r w:rsidRPr="00CE69A4">
        <w:t>Multiple Transmission Systems (SAMTS), standards to support the Commissions policy regarding rollover rights</w:t>
      </w:r>
      <w:r>
        <w:t xml:space="preserve"> </w:t>
      </w:r>
      <w:r w:rsidRPr="00CE69A4">
        <w:t>for redirects on a firm basis, standards that incorporate the functionality for transmission providers to credit redirect</w:t>
      </w:r>
      <w:r>
        <w:t xml:space="preserve"> </w:t>
      </w:r>
      <w:r w:rsidRPr="00CE69A4">
        <w:t>requests with the capacity of the parent reservation and standards modifications to support consistency across the</w:t>
      </w:r>
      <w:r>
        <w:t xml:space="preserve"> </w:t>
      </w:r>
      <w:r w:rsidRPr="00CE69A4">
        <w:t>OASIS</w:t>
      </w:r>
      <w:r>
        <w:t>-</w:t>
      </w:r>
      <w:r w:rsidRPr="00CE69A4">
        <w:t>related standards.</w:t>
      </w:r>
    </w:p>
    <w:p w:rsidR="007E42E9" w:rsidRDefault="007E42E9" w:rsidP="004E3918">
      <w:pPr>
        <w:pStyle w:val="FERCparanumber"/>
        <w:widowControl w:val="0"/>
        <w:numPr>
          <w:ilvl w:val="0"/>
          <w:numId w:val="25"/>
        </w:numPr>
        <w:ind w:left="0" w:firstLine="0"/>
      </w:pPr>
      <w:r>
        <w:t xml:space="preserve">The Version 003 Standards also include </w:t>
      </w:r>
      <w:r w:rsidRPr="00CE69A4">
        <w:t>modifications to the OASIS</w:t>
      </w:r>
      <w:r>
        <w:t>-related</w:t>
      </w:r>
      <w:r w:rsidRPr="00CE69A4">
        <w:t xml:space="preserve"> </w:t>
      </w:r>
      <w:r>
        <w:t>s</w:t>
      </w:r>
      <w:r w:rsidRPr="00CE69A4">
        <w:t xml:space="preserve">tandards </w:t>
      </w:r>
      <w:r>
        <w:t>that NAESB states</w:t>
      </w:r>
      <w:r w:rsidRPr="00CE69A4">
        <w:t xml:space="preserve"> support Order Nos. 676, 676-A, 676-E and 717 and </w:t>
      </w:r>
      <w:r>
        <w:t>add</w:t>
      </w:r>
      <w:r w:rsidRPr="00CE69A4">
        <w:t xml:space="preserve"> consistency.</w:t>
      </w:r>
      <w:r>
        <w:rPr>
          <w:rStyle w:val="FootnoteReference"/>
        </w:rPr>
        <w:footnoteReference w:id="4"/>
      </w:r>
      <w:r>
        <w:t xml:space="preserve">  In addition, NAESB states that it made </w:t>
      </w:r>
      <w:r w:rsidRPr="00CE69A4">
        <w:t>modifications to the</w:t>
      </w:r>
      <w:r>
        <w:t xml:space="preserve"> </w:t>
      </w:r>
      <w:r w:rsidRPr="00CE69A4">
        <w:t xml:space="preserve">Coordinate Interchange standards to compliment the </w:t>
      </w:r>
      <w:r w:rsidRPr="00F653D4">
        <w:t>updates</w:t>
      </w:r>
      <w:r w:rsidRPr="00CE69A4">
        <w:t xml:space="preserve"> to the e-Tag specification</w:t>
      </w:r>
      <w:r>
        <w:t>s</w:t>
      </w:r>
      <w:r w:rsidRPr="00CE69A4">
        <w:t>,</w:t>
      </w:r>
      <w:r>
        <w:rPr>
          <w:rStyle w:val="FootnoteReference"/>
        </w:rPr>
        <w:footnoteReference w:id="5"/>
      </w:r>
      <w:r w:rsidRPr="00CE69A4">
        <w:t xml:space="preserve"> modifications to the</w:t>
      </w:r>
      <w:r>
        <w:t xml:space="preserve"> </w:t>
      </w:r>
      <w:r w:rsidRPr="00CE69A4">
        <w:t xml:space="preserve">Gas/Electric Coordination standards </w:t>
      </w:r>
      <w:r w:rsidRPr="00F653D4">
        <w:t>to provide consistency between</w:t>
      </w:r>
      <w:r w:rsidRPr="008B3D0D">
        <w:t xml:space="preserve"> </w:t>
      </w:r>
      <w:r w:rsidRPr="00F653D4">
        <w:t>the two markets</w:t>
      </w:r>
      <w:r>
        <w:rPr>
          <w:rStyle w:val="FootnoteReference"/>
        </w:rPr>
        <w:footnoteReference w:id="6"/>
      </w:r>
      <w:r w:rsidRPr="00CE69A4">
        <w:t xml:space="preserve"> and </w:t>
      </w:r>
      <w:r>
        <w:t xml:space="preserve">re-organized and revised definitions to create </w:t>
      </w:r>
      <w:r w:rsidRPr="00CE69A4">
        <w:t>a standard set of terms,</w:t>
      </w:r>
      <w:r>
        <w:t xml:space="preserve"> </w:t>
      </w:r>
      <w:r w:rsidRPr="00CE69A4">
        <w:t>definitions and acronyms applicable to all NAESB WEQ standards.</w:t>
      </w:r>
      <w:r>
        <w:rPr>
          <w:rStyle w:val="FootnoteReference"/>
        </w:rPr>
        <w:footnoteReference w:id="7"/>
      </w:r>
      <w:r w:rsidRPr="00CE69A4">
        <w:t xml:space="preserve"> </w:t>
      </w:r>
      <w:r>
        <w:t xml:space="preserve"> NAESB states that the Version 003 Standards also include standards related to </w:t>
      </w:r>
      <w:r w:rsidRPr="00CE69A4">
        <w:t>Demand</w:t>
      </w:r>
      <w:r>
        <w:t xml:space="preserve"> </w:t>
      </w:r>
      <w:r w:rsidRPr="00CE69A4">
        <w:t>Side Management and Energy Efficiency,</w:t>
      </w:r>
      <w:r>
        <w:rPr>
          <w:rStyle w:val="FootnoteReference"/>
        </w:rPr>
        <w:footnoteReference w:id="8"/>
      </w:r>
      <w:r w:rsidRPr="00CE69A4">
        <w:t xml:space="preserve"> </w:t>
      </w:r>
      <w:r>
        <w:t>which the Commission incorporated by reference in Docket No. RM05-5-020</w:t>
      </w:r>
      <w:r>
        <w:rPr>
          <w:rStyle w:val="FootnoteReference"/>
        </w:rPr>
        <w:footnoteReference w:id="9"/>
      </w:r>
      <w:r>
        <w:t xml:space="preserve"> after NAESB filed its Version 003 report, </w:t>
      </w:r>
      <w:r w:rsidRPr="00CE69A4">
        <w:t>and Smart Grid</w:t>
      </w:r>
      <w:r>
        <w:t>-</w:t>
      </w:r>
      <w:r w:rsidRPr="00CE69A4">
        <w:t>related standards</w:t>
      </w:r>
      <w:r>
        <w:t xml:space="preserve"> that NAESB previously filed with the Commission in Docket No. RM05-5-021.</w:t>
      </w:r>
      <w:r>
        <w:rPr>
          <w:rStyle w:val="FootnoteReference"/>
        </w:rPr>
        <w:footnoteReference w:id="10"/>
      </w:r>
    </w:p>
    <w:p w:rsidR="007E42E9" w:rsidRDefault="007E42E9" w:rsidP="00F362BB">
      <w:pPr>
        <w:pStyle w:val="Heading1"/>
        <w:numPr>
          <w:ilvl w:val="0"/>
          <w:numId w:val="47"/>
        </w:numPr>
      </w:pPr>
      <w:bookmarkStart w:id="1" w:name="_bmk1"/>
      <w:bookmarkStart w:id="2" w:name="_Toc360605861"/>
      <w:r>
        <w:t>B</w:t>
      </w:r>
      <w:bookmarkEnd w:id="1"/>
      <w:r>
        <w:t>ackground</w:t>
      </w:r>
      <w:bookmarkEnd w:id="2"/>
    </w:p>
    <w:p w:rsidR="007E42E9" w:rsidRDefault="007E42E9" w:rsidP="004E3918">
      <w:pPr>
        <w:pStyle w:val="FERCparanumber"/>
        <w:widowControl w:val="0"/>
        <w:numPr>
          <w:ilvl w:val="0"/>
          <w:numId w:val="25"/>
        </w:numPr>
        <w:ind w:left="0" w:firstLine="0"/>
      </w:pPr>
      <w:r>
        <w:t>NAESB is a non-profit standards development organization established in     January 2002 that serves as an industry forum for the development and promotion of business practice standards that promote a seamless marketplace for wholesale and retail natural gas and electricity.  Since 1995, NAESB and its predecessor, the Gas Industry Standards Board, have been accredited members of the American National Standards Institute (ANSI), complying with ANSI’s requirements that its standards reflect a consensus of the affected industries.</w:t>
      </w:r>
    </w:p>
    <w:p w:rsidR="007E42E9" w:rsidRDefault="007E42E9" w:rsidP="004E3918">
      <w:pPr>
        <w:pStyle w:val="FERCparanumber"/>
        <w:widowControl w:val="0"/>
        <w:numPr>
          <w:ilvl w:val="0"/>
          <w:numId w:val="25"/>
        </w:numPr>
        <w:ind w:left="0" w:firstLine="0"/>
      </w:pPr>
      <w:r>
        <w:t>NAESB’s standards include business practices that streamline the transactional processes of the natural gas and electric industries, as well as communication protocols and related standards designed to improve the efficiency of communication within each industry.  NAESB supports all four quadrants of the gas and electric industries – wholesale gas, wholesale electric, retail gas, and retail electric.  All participants in the gas and electric industries are eligible to join NAESB and participate in standards development.</w:t>
      </w:r>
    </w:p>
    <w:p w:rsidR="007E42E9" w:rsidRDefault="007E42E9" w:rsidP="004E3918">
      <w:pPr>
        <w:pStyle w:val="FERCparanumber"/>
        <w:widowControl w:val="0"/>
        <w:numPr>
          <w:ilvl w:val="0"/>
          <w:numId w:val="25"/>
        </w:numPr>
        <w:ind w:left="0" w:firstLine="0"/>
      </w:pPr>
      <w:r>
        <w:t>NAESB develops its standards under a consensus process so that the standards draw support from a wide range of industry members.  NAESB’s procedures are designed to ensure that all industry members can have input into the development of a standard, whether or not they are members of NAESB, and each standard NAESB adopts is supported by a consensus of the relevant industry segments.  Standards that fail to gain consensus support are not adopted.</w:t>
      </w:r>
    </w:p>
    <w:p w:rsidR="007E42E9" w:rsidRDefault="007E42E9" w:rsidP="004E3918">
      <w:pPr>
        <w:pStyle w:val="FERCparanumber"/>
        <w:widowControl w:val="0"/>
        <w:numPr>
          <w:ilvl w:val="0"/>
          <w:numId w:val="25"/>
        </w:numPr>
        <w:ind w:left="0" w:firstLine="0"/>
      </w:pPr>
      <w:r>
        <w:t xml:space="preserve">In Order No. 676, the Commission not only adopted </w:t>
      </w:r>
      <w:r w:rsidRPr="00CF4167">
        <w:t xml:space="preserve">business practice standards and communication protocols for the </w:t>
      </w:r>
      <w:r>
        <w:t xml:space="preserve">wholesale </w:t>
      </w:r>
      <w:r w:rsidRPr="00CF4167">
        <w:t>electric industry</w:t>
      </w:r>
      <w:r>
        <w:t xml:space="preserve">, it also established </w:t>
      </w:r>
      <w:r w:rsidRPr="00CF4167">
        <w:t>a formal ongoing process for reviewing and upgrading the Commission’s OASIS standards a</w:t>
      </w:r>
      <w:r>
        <w:t>nd</w:t>
      </w:r>
      <w:r w:rsidRPr="00CF4167">
        <w:t xml:space="preserve"> other </w:t>
      </w:r>
      <w:r>
        <w:t xml:space="preserve">wholesale </w:t>
      </w:r>
      <w:r w:rsidRPr="00CF4167">
        <w:t>electric industry business practice standards.</w:t>
      </w:r>
      <w:r>
        <w:t xml:space="preserve">  In later orders in this series, the Commission incorporated by reference:  (1) the Version 001 Business Practice Standards;</w:t>
      </w:r>
      <w:r>
        <w:rPr>
          <w:rStyle w:val="FootnoteReference"/>
        </w:rPr>
        <w:footnoteReference w:id="11"/>
      </w:r>
      <w:r>
        <w:t xml:space="preserve"> (2) the Version 002.1 Business Practice Standards;</w:t>
      </w:r>
      <w:r>
        <w:rPr>
          <w:rStyle w:val="FootnoteReference"/>
        </w:rPr>
        <w:footnoteReference w:id="12"/>
      </w:r>
      <w:r>
        <w:t xml:space="preserve"> (3) business practice standards categorizing various demand response products and services;</w:t>
      </w:r>
      <w:r>
        <w:rPr>
          <w:rStyle w:val="FootnoteReference"/>
        </w:rPr>
        <w:footnoteReference w:id="13"/>
      </w:r>
      <w:r>
        <w:t xml:space="preserve"> and (4)</w:t>
      </w:r>
      <w:r w:rsidRPr="004B050D">
        <w:t xml:space="preserve"> </w:t>
      </w:r>
      <w:r w:rsidRPr="00CE69A4">
        <w:t>OASIS</w:t>
      </w:r>
      <w:r>
        <w:t>-related</w:t>
      </w:r>
      <w:r w:rsidRPr="00CE69A4">
        <w:t xml:space="preserve"> Business Practice Standards</w:t>
      </w:r>
      <w:r w:rsidRPr="00CF7A18">
        <w:t xml:space="preserve"> </w:t>
      </w:r>
      <w:r>
        <w:t xml:space="preserve">related to </w:t>
      </w:r>
      <w:r w:rsidRPr="00CE69A4">
        <w:t>Demand</w:t>
      </w:r>
      <w:r>
        <w:t xml:space="preserve"> </w:t>
      </w:r>
      <w:r w:rsidRPr="00CE69A4">
        <w:t>Side Management and Energy Efficiency</w:t>
      </w:r>
      <w:r>
        <w:t>.</w:t>
      </w:r>
      <w:r>
        <w:rPr>
          <w:rStyle w:val="FootnoteReference"/>
        </w:rPr>
        <w:footnoteReference w:id="14"/>
      </w:r>
    </w:p>
    <w:p w:rsidR="007E42E9" w:rsidRDefault="007E42E9" w:rsidP="004E3918">
      <w:pPr>
        <w:pStyle w:val="FERCparanumber"/>
        <w:widowControl w:val="0"/>
        <w:numPr>
          <w:ilvl w:val="0"/>
          <w:numId w:val="25"/>
        </w:numPr>
        <w:ind w:left="0" w:firstLine="0"/>
      </w:pPr>
      <w:r>
        <w:t xml:space="preserve">In Order No. 890, the Commission revisited the </w:t>
      </w:r>
      <w:r w:rsidRPr="00EF6DFC">
        <w:rPr>
          <w:i/>
        </w:rPr>
        <w:t>pro forma</w:t>
      </w:r>
      <w:r>
        <w:t xml:space="preserve"> Open Access Transmission Tariff (OATT) first established in Order No. 888</w:t>
      </w:r>
      <w:r>
        <w:rPr>
          <w:rStyle w:val="FootnoteReference"/>
        </w:rPr>
        <w:footnoteReference w:id="15"/>
      </w:r>
      <w:r>
        <w:t xml:space="preserve"> and adopted a revised </w:t>
      </w:r>
      <w:r w:rsidRPr="00EF6DFC">
        <w:rPr>
          <w:i/>
        </w:rPr>
        <w:t>pro forma</w:t>
      </w:r>
      <w:r>
        <w:t xml:space="preserve"> OATT designed to better achieve the objectives of preventing undue discrimination and providing greater specificity and transparency.  In later orders in this series, the Commission affirmed, with clarifications, the basic findings that it made in Order No. 890.</w:t>
      </w:r>
    </w:p>
    <w:p w:rsidR="007E42E9" w:rsidRDefault="007E42E9" w:rsidP="004E3918">
      <w:pPr>
        <w:pStyle w:val="FERCparanumber"/>
        <w:widowControl w:val="0"/>
        <w:numPr>
          <w:ilvl w:val="0"/>
          <w:numId w:val="25"/>
        </w:numPr>
        <w:ind w:left="0" w:firstLine="0"/>
      </w:pPr>
      <w:r>
        <w:t xml:space="preserve">A number of the findings made by the Commission in the Order No. 890 series of orders necessitated revisions to the </w:t>
      </w:r>
      <w:r w:rsidRPr="00CF4167">
        <w:t xml:space="preserve">Business Practice Standards </w:t>
      </w:r>
      <w:r>
        <w:t xml:space="preserve">for Public Utilities so that there would be no inconsistency between the requirements of Order No. 890 and the </w:t>
      </w:r>
      <w:r w:rsidRPr="00CF4167">
        <w:t>Business Practice Standards</w:t>
      </w:r>
      <w:r>
        <w:t>.  Accordingly, NAESB set up a work project to review the existing business practice standards, identify which standards would need revision to prevent any inconsistencies with the Order No. 890 requirements, and develop and adopt the needed revised standards.  Those revised standards form part of the package of revisions included in the WEQ Version 003 Standards.  These revisions are in addition to the Order No. 890-related revisions incorporated by reference in Order No. 676-E.</w:t>
      </w:r>
    </w:p>
    <w:p w:rsidR="007E42E9" w:rsidRDefault="007E42E9" w:rsidP="00FB5F4A">
      <w:pPr>
        <w:pStyle w:val="FERCparanumber"/>
        <w:numPr>
          <w:ilvl w:val="0"/>
          <w:numId w:val="25"/>
        </w:numPr>
        <w:ind w:left="0" w:firstLine="0"/>
      </w:pPr>
      <w:r>
        <w:t>In total, NAESB’s WEQ Version 003 business practice standards include the following standards:</w:t>
      </w:r>
      <w:r>
        <w:rPr>
          <w:rStyle w:val="FootnoteReference"/>
        </w:rPr>
        <w:footnoteReference w:id="16"/>
      </w:r>
    </w:p>
    <w:p w:rsidR="007E42E9" w:rsidRPr="00DB7D96" w:rsidRDefault="007E42E9" w:rsidP="00FB5F4A">
      <w:pPr>
        <w:pStyle w:val="BodyText3"/>
        <w:ind w:left="720" w:right="-1035"/>
        <w:rPr>
          <w:sz w:val="26"/>
          <w:szCs w:val="26"/>
        </w:rPr>
      </w:pPr>
      <w:r w:rsidRPr="00DB7D96">
        <w:rPr>
          <w:b/>
          <w:sz w:val="26"/>
          <w:szCs w:val="26"/>
        </w:rPr>
        <w:t>WEQ</w:t>
      </w:r>
      <w:r w:rsidRPr="003D2B12">
        <w:rPr>
          <w:rStyle w:val="FootnoteReference"/>
        </w:rPr>
        <w:footnoteReference w:id="17"/>
      </w:r>
      <w:r w:rsidRPr="00DB7D96">
        <w:rPr>
          <w:sz w:val="26"/>
          <w:szCs w:val="26"/>
        </w:rPr>
        <w:tab/>
      </w:r>
      <w:r w:rsidRPr="00DB7D96">
        <w:rPr>
          <w:sz w:val="26"/>
          <w:szCs w:val="26"/>
        </w:rPr>
        <w:tab/>
      </w:r>
      <w:r w:rsidRPr="00DB7D96">
        <w:rPr>
          <w:sz w:val="26"/>
          <w:szCs w:val="26"/>
        </w:rPr>
        <w:tab/>
      </w:r>
      <w:r w:rsidRPr="00DB7D96">
        <w:rPr>
          <w:b/>
          <w:sz w:val="26"/>
          <w:szCs w:val="26"/>
        </w:rPr>
        <w:t>Standards &amp; Models Related to</w:t>
      </w:r>
      <w:r w:rsidRPr="00DB7D96">
        <w:rPr>
          <w:sz w:val="26"/>
          <w:szCs w:val="26"/>
        </w:rPr>
        <w:t xml:space="preserve">: </w:t>
      </w:r>
    </w:p>
    <w:p w:rsidR="007E42E9" w:rsidRPr="00DB7D96" w:rsidRDefault="007E42E9" w:rsidP="00FB5F4A">
      <w:pPr>
        <w:pStyle w:val="BodyText3"/>
        <w:ind w:left="2160" w:right="-1037" w:hanging="1440"/>
        <w:rPr>
          <w:sz w:val="26"/>
          <w:szCs w:val="26"/>
        </w:rPr>
      </w:pPr>
      <w:r>
        <w:rPr>
          <w:sz w:val="26"/>
          <w:szCs w:val="26"/>
        </w:rPr>
        <w:t>000</w:t>
      </w:r>
      <w:r>
        <w:rPr>
          <w:sz w:val="26"/>
          <w:szCs w:val="26"/>
        </w:rPr>
        <w:tab/>
      </w:r>
      <w:r w:rsidRPr="00DB7D96">
        <w:rPr>
          <w:sz w:val="26"/>
          <w:szCs w:val="26"/>
        </w:rPr>
        <w:t>Abbreviations, Acronyms, and Definition of Terms</w:t>
      </w:r>
      <w:r>
        <w:rPr>
          <w:sz w:val="26"/>
          <w:szCs w:val="26"/>
        </w:rPr>
        <w:t>,</w:t>
      </w:r>
      <w:r w:rsidRPr="00226B06">
        <w:rPr>
          <w:sz w:val="26"/>
          <w:szCs w:val="26"/>
        </w:rPr>
        <w:t xml:space="preserve"> </w:t>
      </w:r>
      <w:r>
        <w:rPr>
          <w:sz w:val="26"/>
          <w:szCs w:val="26"/>
        </w:rPr>
        <w:t>Version 003</w:t>
      </w:r>
    </w:p>
    <w:p w:rsidR="007E42E9" w:rsidRPr="00DB7D96" w:rsidRDefault="007E42E9" w:rsidP="00FB5F4A">
      <w:pPr>
        <w:pStyle w:val="BodyText3"/>
        <w:ind w:left="2160" w:right="-1035" w:hanging="1440"/>
        <w:rPr>
          <w:sz w:val="26"/>
          <w:szCs w:val="26"/>
        </w:rPr>
      </w:pPr>
      <w:r>
        <w:rPr>
          <w:sz w:val="26"/>
          <w:szCs w:val="26"/>
        </w:rPr>
        <w:t>001</w:t>
      </w:r>
      <w:r>
        <w:rPr>
          <w:sz w:val="26"/>
          <w:szCs w:val="26"/>
        </w:rPr>
        <w:tab/>
      </w:r>
      <w:r w:rsidRPr="00273AE8">
        <w:rPr>
          <w:sz w:val="26"/>
          <w:szCs w:val="26"/>
        </w:rPr>
        <w:t>Open Access Same-Time Information System (OASIS</w:t>
      </w:r>
      <w:r>
        <w:rPr>
          <w:sz w:val="26"/>
          <w:szCs w:val="26"/>
        </w:rPr>
        <w:t>), Version 003</w:t>
      </w:r>
    </w:p>
    <w:p w:rsidR="007E42E9" w:rsidRPr="00DB7D96" w:rsidRDefault="007E42E9" w:rsidP="00FB5F4A">
      <w:pPr>
        <w:pStyle w:val="BodyText3"/>
        <w:ind w:left="2160" w:right="-1035" w:hanging="1440"/>
        <w:rPr>
          <w:sz w:val="26"/>
          <w:szCs w:val="26"/>
        </w:rPr>
      </w:pPr>
      <w:r>
        <w:rPr>
          <w:sz w:val="26"/>
          <w:szCs w:val="26"/>
        </w:rPr>
        <w:t>002</w:t>
      </w:r>
      <w:r>
        <w:rPr>
          <w:sz w:val="26"/>
          <w:szCs w:val="26"/>
        </w:rPr>
        <w:tab/>
      </w:r>
      <w:r w:rsidRPr="00DB7D96">
        <w:rPr>
          <w:sz w:val="26"/>
          <w:szCs w:val="26"/>
        </w:rPr>
        <w:t>OASIS Standards and Communication Protocols (S&amp;CP)</w:t>
      </w:r>
      <w:r>
        <w:rPr>
          <w:sz w:val="26"/>
          <w:szCs w:val="26"/>
        </w:rPr>
        <w:t>,</w:t>
      </w:r>
      <w:r w:rsidRPr="00605E08">
        <w:rPr>
          <w:sz w:val="26"/>
          <w:szCs w:val="26"/>
        </w:rPr>
        <w:t xml:space="preserve"> </w:t>
      </w:r>
      <w:r>
        <w:rPr>
          <w:sz w:val="26"/>
          <w:szCs w:val="26"/>
        </w:rPr>
        <w:t>Version 003</w:t>
      </w:r>
    </w:p>
    <w:p w:rsidR="007E42E9" w:rsidRPr="00DB7D96" w:rsidRDefault="007E42E9" w:rsidP="00FB5F4A">
      <w:pPr>
        <w:pStyle w:val="BodyText3"/>
        <w:ind w:left="720" w:right="-1035"/>
        <w:rPr>
          <w:sz w:val="26"/>
          <w:szCs w:val="26"/>
        </w:rPr>
      </w:pPr>
      <w:r>
        <w:rPr>
          <w:sz w:val="26"/>
          <w:szCs w:val="26"/>
        </w:rPr>
        <w:t xml:space="preserve">003 </w:t>
      </w:r>
      <w:r>
        <w:rPr>
          <w:sz w:val="26"/>
          <w:szCs w:val="26"/>
        </w:rPr>
        <w:tab/>
      </w:r>
      <w:r>
        <w:rPr>
          <w:sz w:val="26"/>
          <w:szCs w:val="26"/>
        </w:rPr>
        <w:tab/>
      </w:r>
      <w:r w:rsidRPr="00DB7D96">
        <w:rPr>
          <w:sz w:val="26"/>
          <w:szCs w:val="26"/>
        </w:rPr>
        <w:t>OASIS S&amp;CP Data Dictionaries</w:t>
      </w:r>
    </w:p>
    <w:p w:rsidR="007E42E9" w:rsidRPr="00DB7D96" w:rsidRDefault="007E42E9" w:rsidP="00FB5F4A">
      <w:pPr>
        <w:pStyle w:val="BodyText3"/>
        <w:ind w:left="720" w:right="-1035"/>
        <w:rPr>
          <w:sz w:val="26"/>
          <w:szCs w:val="26"/>
        </w:rPr>
      </w:pPr>
      <w:r>
        <w:rPr>
          <w:sz w:val="26"/>
          <w:szCs w:val="26"/>
        </w:rPr>
        <w:t xml:space="preserve">004 </w:t>
      </w:r>
      <w:r>
        <w:rPr>
          <w:sz w:val="26"/>
          <w:szCs w:val="26"/>
        </w:rPr>
        <w:tab/>
        <w:t xml:space="preserve"> </w:t>
      </w:r>
      <w:r>
        <w:rPr>
          <w:sz w:val="26"/>
          <w:szCs w:val="26"/>
        </w:rPr>
        <w:tab/>
      </w:r>
      <w:r w:rsidRPr="00DB7D96">
        <w:rPr>
          <w:sz w:val="26"/>
          <w:szCs w:val="26"/>
        </w:rPr>
        <w:t>Coordinate Interchange</w:t>
      </w:r>
    </w:p>
    <w:p w:rsidR="007E42E9" w:rsidRPr="00DB7D96" w:rsidRDefault="007E42E9" w:rsidP="00FB5F4A">
      <w:pPr>
        <w:pStyle w:val="BodyText3"/>
        <w:ind w:left="720" w:right="-1035"/>
        <w:rPr>
          <w:sz w:val="26"/>
          <w:szCs w:val="26"/>
        </w:rPr>
      </w:pPr>
      <w:r>
        <w:rPr>
          <w:sz w:val="26"/>
          <w:szCs w:val="26"/>
        </w:rPr>
        <w:t>005</w:t>
      </w:r>
      <w:r>
        <w:rPr>
          <w:sz w:val="26"/>
          <w:szCs w:val="26"/>
        </w:rPr>
        <w:tab/>
      </w:r>
      <w:r>
        <w:rPr>
          <w:sz w:val="26"/>
          <w:szCs w:val="26"/>
        </w:rPr>
        <w:tab/>
      </w:r>
      <w:r w:rsidRPr="00DB7D96">
        <w:rPr>
          <w:sz w:val="26"/>
          <w:szCs w:val="26"/>
        </w:rPr>
        <w:t>ACE Equation Special Cases</w:t>
      </w:r>
    </w:p>
    <w:p w:rsidR="007E42E9" w:rsidRPr="00DB7D96" w:rsidRDefault="007E42E9" w:rsidP="00FB5F4A">
      <w:pPr>
        <w:pStyle w:val="BodyText3"/>
        <w:ind w:left="720" w:right="-1035"/>
        <w:rPr>
          <w:sz w:val="26"/>
          <w:szCs w:val="26"/>
        </w:rPr>
      </w:pPr>
      <w:r>
        <w:rPr>
          <w:sz w:val="26"/>
          <w:szCs w:val="26"/>
        </w:rPr>
        <w:t>006</w:t>
      </w:r>
      <w:r>
        <w:rPr>
          <w:sz w:val="26"/>
          <w:szCs w:val="26"/>
        </w:rPr>
        <w:tab/>
      </w:r>
      <w:r>
        <w:rPr>
          <w:sz w:val="26"/>
          <w:szCs w:val="26"/>
        </w:rPr>
        <w:tab/>
      </w:r>
      <w:r w:rsidRPr="00DB7D96">
        <w:rPr>
          <w:sz w:val="26"/>
          <w:szCs w:val="26"/>
        </w:rPr>
        <w:t>Manual Time Error Corrections</w:t>
      </w:r>
    </w:p>
    <w:p w:rsidR="007E42E9" w:rsidRPr="00DB7D96" w:rsidRDefault="007E42E9" w:rsidP="00FB5F4A">
      <w:pPr>
        <w:pStyle w:val="BodyText3"/>
        <w:ind w:left="720" w:right="-1035"/>
        <w:rPr>
          <w:sz w:val="26"/>
          <w:szCs w:val="26"/>
        </w:rPr>
      </w:pPr>
      <w:r w:rsidRPr="00605E08">
        <w:rPr>
          <w:sz w:val="26"/>
          <w:szCs w:val="26"/>
        </w:rPr>
        <w:t>007</w:t>
      </w:r>
      <w:r w:rsidRPr="00605E08">
        <w:rPr>
          <w:sz w:val="26"/>
          <w:szCs w:val="26"/>
        </w:rPr>
        <w:tab/>
      </w:r>
      <w:r w:rsidRPr="00605E08">
        <w:rPr>
          <w:sz w:val="26"/>
          <w:szCs w:val="26"/>
        </w:rPr>
        <w:tab/>
        <w:t>Inadvertent Interchange Payback</w:t>
      </w:r>
    </w:p>
    <w:p w:rsidR="007E42E9" w:rsidRPr="00605E08" w:rsidRDefault="007E42E9" w:rsidP="00FB5F4A">
      <w:pPr>
        <w:pStyle w:val="BodyText3"/>
        <w:ind w:left="720" w:right="-1035"/>
        <w:rPr>
          <w:sz w:val="26"/>
          <w:szCs w:val="26"/>
        </w:rPr>
      </w:pPr>
      <w:r w:rsidRPr="00605E08">
        <w:rPr>
          <w:sz w:val="26"/>
          <w:szCs w:val="26"/>
        </w:rPr>
        <w:t>008</w:t>
      </w:r>
      <w:r w:rsidRPr="00605E08">
        <w:rPr>
          <w:sz w:val="26"/>
          <w:szCs w:val="26"/>
        </w:rPr>
        <w:tab/>
      </w:r>
      <w:r w:rsidRPr="00605E08">
        <w:rPr>
          <w:sz w:val="26"/>
          <w:szCs w:val="26"/>
        </w:rPr>
        <w:tab/>
        <w:t>Transmission Loading Relief</w:t>
      </w:r>
    </w:p>
    <w:p w:rsidR="007E42E9" w:rsidRPr="00DB7D96" w:rsidRDefault="007E42E9" w:rsidP="00FB5F4A">
      <w:pPr>
        <w:pStyle w:val="BodyText3"/>
        <w:ind w:left="720" w:right="-1035"/>
        <w:rPr>
          <w:szCs w:val="26"/>
        </w:rPr>
      </w:pPr>
      <w:r w:rsidRPr="003D2B12">
        <w:rPr>
          <w:sz w:val="26"/>
          <w:szCs w:val="26"/>
        </w:rPr>
        <w:t>009</w:t>
      </w:r>
      <w:r w:rsidRPr="003D2B12">
        <w:rPr>
          <w:sz w:val="26"/>
          <w:szCs w:val="26"/>
        </w:rPr>
        <w:tab/>
      </w:r>
      <w:r w:rsidRPr="003D2B12">
        <w:rPr>
          <w:sz w:val="26"/>
          <w:szCs w:val="26"/>
        </w:rPr>
        <w:tab/>
        <w:t>Standards of Conduct</w:t>
      </w:r>
      <w:r>
        <w:rPr>
          <w:szCs w:val="26"/>
        </w:rPr>
        <w:t xml:space="preserve"> </w:t>
      </w:r>
    </w:p>
    <w:p w:rsidR="007E42E9" w:rsidRPr="00DB7D96" w:rsidDel="00605E08" w:rsidRDefault="007E42E9" w:rsidP="00FB5F4A">
      <w:pPr>
        <w:pStyle w:val="BodyText3"/>
        <w:ind w:left="720" w:right="-1035"/>
        <w:rPr>
          <w:szCs w:val="26"/>
        </w:rPr>
      </w:pPr>
      <w:r w:rsidRPr="003D2B12">
        <w:rPr>
          <w:sz w:val="26"/>
          <w:szCs w:val="26"/>
        </w:rPr>
        <w:t>010</w:t>
      </w:r>
      <w:r w:rsidRPr="003D2B12">
        <w:rPr>
          <w:sz w:val="26"/>
          <w:szCs w:val="26"/>
        </w:rPr>
        <w:tab/>
      </w:r>
      <w:r w:rsidRPr="003D2B12">
        <w:rPr>
          <w:sz w:val="26"/>
          <w:szCs w:val="26"/>
        </w:rPr>
        <w:tab/>
        <w:t>Contracts Related Standards</w:t>
      </w:r>
      <w:r>
        <w:rPr>
          <w:szCs w:val="26"/>
        </w:rPr>
        <w:t xml:space="preserve"> </w:t>
      </w:r>
    </w:p>
    <w:p w:rsidR="007E42E9" w:rsidRPr="00DB7D96" w:rsidRDefault="007E42E9" w:rsidP="00FB5F4A">
      <w:pPr>
        <w:pStyle w:val="BodyText3"/>
        <w:ind w:left="720" w:right="-1035"/>
        <w:rPr>
          <w:szCs w:val="26"/>
        </w:rPr>
      </w:pPr>
      <w:r w:rsidRPr="003D2B12">
        <w:rPr>
          <w:sz w:val="26"/>
          <w:szCs w:val="26"/>
        </w:rPr>
        <w:t>011</w:t>
      </w:r>
      <w:r w:rsidRPr="003D2B12">
        <w:rPr>
          <w:sz w:val="26"/>
          <w:szCs w:val="26"/>
        </w:rPr>
        <w:tab/>
      </w:r>
      <w:r w:rsidRPr="003D2B12">
        <w:rPr>
          <w:sz w:val="26"/>
          <w:szCs w:val="26"/>
        </w:rPr>
        <w:tab/>
        <w:t>Gas / Electric Coordination</w:t>
      </w:r>
    </w:p>
    <w:p w:rsidR="007E42E9" w:rsidRPr="00DB7D96" w:rsidRDefault="007E42E9" w:rsidP="00FB5F4A">
      <w:pPr>
        <w:pStyle w:val="BodyText3"/>
        <w:ind w:left="720" w:right="-1035"/>
        <w:rPr>
          <w:szCs w:val="26"/>
        </w:rPr>
      </w:pPr>
      <w:r w:rsidRPr="003D2B12">
        <w:rPr>
          <w:sz w:val="26"/>
          <w:szCs w:val="26"/>
        </w:rPr>
        <w:t>012</w:t>
      </w:r>
      <w:r w:rsidRPr="003D2B12">
        <w:rPr>
          <w:sz w:val="26"/>
          <w:szCs w:val="26"/>
        </w:rPr>
        <w:tab/>
      </w:r>
      <w:r w:rsidRPr="003D2B12">
        <w:rPr>
          <w:sz w:val="26"/>
          <w:szCs w:val="26"/>
        </w:rPr>
        <w:tab/>
        <w:t>Public Key Infrastructure (PKI)</w:t>
      </w:r>
    </w:p>
    <w:p w:rsidR="007E42E9" w:rsidRPr="00DB7D96" w:rsidRDefault="007E42E9" w:rsidP="00FB5F4A">
      <w:pPr>
        <w:pStyle w:val="BodyText3"/>
        <w:ind w:left="720" w:right="-1035"/>
        <w:rPr>
          <w:szCs w:val="26"/>
        </w:rPr>
      </w:pPr>
      <w:r w:rsidRPr="003D2B12">
        <w:rPr>
          <w:sz w:val="26"/>
          <w:szCs w:val="26"/>
        </w:rPr>
        <w:t>013</w:t>
      </w:r>
      <w:r w:rsidRPr="003D2B12">
        <w:rPr>
          <w:sz w:val="26"/>
          <w:szCs w:val="26"/>
        </w:rPr>
        <w:tab/>
      </w:r>
      <w:r w:rsidRPr="003D2B12">
        <w:rPr>
          <w:sz w:val="26"/>
          <w:szCs w:val="26"/>
        </w:rPr>
        <w:tab/>
        <w:t>OASIS Implementation Guide</w:t>
      </w:r>
    </w:p>
    <w:p w:rsidR="007E42E9" w:rsidRPr="00DB7D96" w:rsidRDefault="007E42E9" w:rsidP="00FB5F4A">
      <w:pPr>
        <w:pStyle w:val="BodyText3"/>
        <w:ind w:left="720" w:right="-1035"/>
        <w:rPr>
          <w:szCs w:val="26"/>
        </w:rPr>
      </w:pPr>
      <w:r w:rsidRPr="003D2B12">
        <w:rPr>
          <w:sz w:val="26"/>
          <w:szCs w:val="26"/>
        </w:rPr>
        <w:t>014</w:t>
      </w:r>
      <w:r w:rsidRPr="003D2B12">
        <w:rPr>
          <w:sz w:val="26"/>
          <w:szCs w:val="26"/>
        </w:rPr>
        <w:tab/>
      </w:r>
      <w:r w:rsidRPr="003D2B12">
        <w:rPr>
          <w:sz w:val="26"/>
          <w:szCs w:val="26"/>
        </w:rPr>
        <w:tab/>
        <w:t>WEQ/WGQ eTariff Related Standards</w:t>
      </w:r>
    </w:p>
    <w:p w:rsidR="007E42E9" w:rsidRPr="00DB7D96" w:rsidRDefault="007E42E9" w:rsidP="00FB5F4A">
      <w:pPr>
        <w:pStyle w:val="BodyText3"/>
        <w:ind w:left="2160" w:right="-1035" w:hanging="1440"/>
        <w:rPr>
          <w:szCs w:val="26"/>
        </w:rPr>
      </w:pPr>
      <w:r w:rsidRPr="00B562AE">
        <w:rPr>
          <w:sz w:val="26"/>
          <w:szCs w:val="26"/>
        </w:rPr>
        <w:t>015</w:t>
      </w:r>
      <w:r w:rsidRPr="00B562AE">
        <w:rPr>
          <w:sz w:val="26"/>
          <w:szCs w:val="26"/>
        </w:rPr>
        <w:tab/>
        <w:t>Measurement and Verification of Wholesale Electricity Demand Response</w:t>
      </w:r>
    </w:p>
    <w:p w:rsidR="007E42E9" w:rsidRPr="00DB7D96" w:rsidRDefault="007E42E9" w:rsidP="00FB5F4A">
      <w:pPr>
        <w:pStyle w:val="BodyText3"/>
        <w:ind w:left="2160" w:right="-1035" w:hanging="1440"/>
        <w:rPr>
          <w:szCs w:val="26"/>
        </w:rPr>
      </w:pPr>
      <w:r w:rsidRPr="00B562AE">
        <w:rPr>
          <w:sz w:val="26"/>
          <w:szCs w:val="26"/>
        </w:rPr>
        <w:t>016</w:t>
      </w:r>
      <w:r w:rsidRPr="00B562AE">
        <w:rPr>
          <w:sz w:val="26"/>
          <w:szCs w:val="26"/>
        </w:rPr>
        <w:tab/>
        <w:t>Specifications for Common Electricity Product and Pricing Definition</w:t>
      </w:r>
      <w:r>
        <w:rPr>
          <w:sz w:val="26"/>
        </w:rPr>
        <w:t xml:space="preserve"> </w:t>
      </w:r>
    </w:p>
    <w:p w:rsidR="007E42E9" w:rsidRPr="00DB7D96" w:rsidRDefault="007E42E9" w:rsidP="00FB5F4A">
      <w:pPr>
        <w:pStyle w:val="BodyText3"/>
        <w:ind w:left="2160" w:right="-1035" w:hanging="1440"/>
        <w:rPr>
          <w:szCs w:val="26"/>
        </w:rPr>
      </w:pPr>
      <w:r w:rsidRPr="00B562AE">
        <w:rPr>
          <w:sz w:val="26"/>
          <w:szCs w:val="26"/>
        </w:rPr>
        <w:t>017</w:t>
      </w:r>
      <w:r w:rsidRPr="00B562AE">
        <w:rPr>
          <w:sz w:val="26"/>
          <w:szCs w:val="26"/>
        </w:rPr>
        <w:tab/>
        <w:t>Specifications for Common Schedule Communication Mechanism for Energy</w:t>
      </w:r>
      <w:r>
        <w:rPr>
          <w:sz w:val="26"/>
          <w:szCs w:val="26"/>
        </w:rPr>
        <w:t> </w:t>
      </w:r>
      <w:r w:rsidRPr="00B562AE">
        <w:rPr>
          <w:sz w:val="26"/>
          <w:szCs w:val="26"/>
        </w:rPr>
        <w:t>Transactions</w:t>
      </w:r>
    </w:p>
    <w:p w:rsidR="007E42E9" w:rsidRPr="00DB7D96" w:rsidRDefault="007E42E9" w:rsidP="00FB5F4A">
      <w:pPr>
        <w:pStyle w:val="BodyText3"/>
        <w:ind w:left="2160" w:right="-1035" w:hanging="1440"/>
        <w:rPr>
          <w:szCs w:val="26"/>
        </w:rPr>
      </w:pPr>
      <w:r w:rsidRPr="003039E1">
        <w:rPr>
          <w:sz w:val="26"/>
          <w:szCs w:val="26"/>
        </w:rPr>
        <w:t>018</w:t>
      </w:r>
      <w:r w:rsidRPr="003039E1">
        <w:rPr>
          <w:sz w:val="26"/>
          <w:szCs w:val="26"/>
        </w:rPr>
        <w:tab/>
        <w:t>Specifications for Wholesale Standard Demand Response Signals</w:t>
      </w:r>
    </w:p>
    <w:p w:rsidR="007E42E9" w:rsidRPr="00DB7D96" w:rsidRDefault="007E42E9" w:rsidP="00FB5F4A">
      <w:pPr>
        <w:pStyle w:val="BodyText3"/>
        <w:ind w:left="2160" w:right="-1035" w:hanging="1440"/>
        <w:rPr>
          <w:szCs w:val="26"/>
        </w:rPr>
      </w:pPr>
      <w:r w:rsidRPr="003039E1">
        <w:rPr>
          <w:sz w:val="26"/>
          <w:szCs w:val="26"/>
        </w:rPr>
        <w:t>019</w:t>
      </w:r>
      <w:r w:rsidRPr="003039E1">
        <w:rPr>
          <w:sz w:val="26"/>
          <w:szCs w:val="26"/>
        </w:rPr>
        <w:tab/>
        <w:t>Customer Energy Usage Information Communication</w:t>
      </w:r>
    </w:p>
    <w:p w:rsidR="007E42E9" w:rsidRPr="00E0464F" w:rsidRDefault="007E42E9" w:rsidP="00FB5F4A">
      <w:pPr>
        <w:pStyle w:val="BodyText3"/>
        <w:ind w:left="2160" w:right="-1035" w:hanging="1440"/>
        <w:rPr>
          <w:sz w:val="26"/>
          <w:szCs w:val="26"/>
        </w:rPr>
      </w:pPr>
      <w:r w:rsidRPr="00E0464F">
        <w:rPr>
          <w:sz w:val="26"/>
          <w:szCs w:val="26"/>
        </w:rPr>
        <w:t>020</w:t>
      </w:r>
      <w:r w:rsidRPr="00E0464F">
        <w:rPr>
          <w:sz w:val="26"/>
          <w:szCs w:val="26"/>
        </w:rPr>
        <w:tab/>
        <w:t>Smart Grid Standards Data Element Table</w:t>
      </w:r>
    </w:p>
    <w:p w:rsidR="007E42E9" w:rsidRPr="00F653D4" w:rsidRDefault="007E42E9" w:rsidP="00F653D4">
      <w:pPr>
        <w:pStyle w:val="BodyText3"/>
        <w:spacing w:after="240"/>
        <w:ind w:left="2160" w:right="-1035" w:hanging="1440"/>
      </w:pPr>
      <w:r w:rsidRPr="003D2B12">
        <w:rPr>
          <w:sz w:val="26"/>
          <w:szCs w:val="26"/>
        </w:rPr>
        <w:t>021</w:t>
      </w:r>
      <w:r w:rsidRPr="003D2B12">
        <w:rPr>
          <w:sz w:val="26"/>
          <w:szCs w:val="26"/>
        </w:rPr>
        <w:tab/>
        <w:t>Measurement and Verification of Energy Efficiency Products</w:t>
      </w:r>
    </w:p>
    <w:p w:rsidR="007E42E9" w:rsidRDefault="007E42E9" w:rsidP="004E3918">
      <w:pPr>
        <w:pStyle w:val="FERCparanumber"/>
        <w:widowControl w:val="0"/>
        <w:numPr>
          <w:ilvl w:val="0"/>
          <w:numId w:val="25"/>
        </w:numPr>
        <w:ind w:left="0" w:firstLine="0"/>
      </w:pPr>
      <w:r>
        <w:t xml:space="preserve">The Version 003 standards include five </w:t>
      </w:r>
      <w:r w:rsidRPr="00F653D4">
        <w:t>categories of</w:t>
      </w:r>
      <w:r w:rsidRPr="008B3D0D">
        <w:t xml:space="preserve"> </w:t>
      </w:r>
      <w:r w:rsidRPr="00823749">
        <w:t>standards</w:t>
      </w:r>
      <w:r>
        <w:t xml:space="preserve"> not previously incorporated by reference by the Commission that were developed by NAESB in response to the Order No. 890 series of orders.  These include:  (1) standards that </w:t>
      </w:r>
      <w:r w:rsidRPr="00823749">
        <w:t xml:space="preserve">NAESB </w:t>
      </w:r>
      <w:r w:rsidRPr="00F653D4">
        <w:t>previously submitted</w:t>
      </w:r>
      <w:r>
        <w:t xml:space="preserve"> to support SAMTS;</w:t>
      </w:r>
      <w:r>
        <w:rPr>
          <w:rStyle w:val="FootnoteReference"/>
        </w:rPr>
        <w:footnoteReference w:id="18"/>
      </w:r>
      <w:r>
        <w:t xml:space="preserve"> (2) part two of the standards modifications to </w:t>
      </w:r>
    </w:p>
    <w:p w:rsidR="007E42E9" w:rsidRDefault="007E42E9" w:rsidP="00E779BE">
      <w:pPr>
        <w:pStyle w:val="FERCparanumber"/>
        <w:widowControl w:val="0"/>
        <w:numPr>
          <w:ilvl w:val="0"/>
          <w:numId w:val="0"/>
        </w:numPr>
      </w:pPr>
    </w:p>
    <w:p w:rsidR="007E42E9" w:rsidRPr="00CB7979" w:rsidRDefault="007E42E9" w:rsidP="00E779BE">
      <w:pPr>
        <w:pStyle w:val="FERCparanumber"/>
        <w:widowControl w:val="0"/>
        <w:numPr>
          <w:ilvl w:val="0"/>
          <w:numId w:val="0"/>
        </w:numPr>
      </w:pPr>
      <w:r>
        <w:t>the WEQ-001-9.7 Business Practice Standard requested in FERC Order No. 890-A</w:t>
      </w:r>
      <w:r>
        <w:rPr>
          <w:rStyle w:val="FootnoteReference"/>
        </w:rPr>
        <w:footnoteReference w:id="19"/>
      </w:r>
      <w:r>
        <w:t xml:space="preserve"> related to rollover rights to requests for redirect on a firm basis; (3) the WEQ-001-9.1.3.1 and WEQ-001-10.3.1.1 Business Practice standards that provide for transmission providers to process redirect requests in a manner in which the request would be processed in a manner that counts the available transfer capability encumbered by the parent reservation as available for the redirected request;</w:t>
      </w:r>
      <w:r>
        <w:rPr>
          <w:rStyle w:val="FootnoteReference"/>
        </w:rPr>
        <w:footnoteReference w:id="20"/>
      </w:r>
      <w:r>
        <w:t xml:space="preserve"> (4) standards to support Network Integration Transmission Service on the OASIS;</w:t>
      </w:r>
      <w:r>
        <w:rPr>
          <w:rStyle w:val="FootnoteReference"/>
        </w:rPr>
        <w:footnoteReference w:id="21"/>
      </w:r>
      <w:r>
        <w:t xml:space="preserve"> and (5) standards modifications to support consistency across the NAESB OASIS standards.</w:t>
      </w:r>
      <w:r>
        <w:rPr>
          <w:rStyle w:val="FootnoteReference"/>
        </w:rPr>
        <w:footnoteReference w:id="22"/>
      </w:r>
    </w:p>
    <w:p w:rsidR="007E42E9" w:rsidRPr="00D602B3" w:rsidRDefault="007E42E9">
      <w:pPr>
        <w:pStyle w:val="FERCparanumber"/>
        <w:widowControl w:val="0"/>
        <w:numPr>
          <w:ilvl w:val="0"/>
          <w:numId w:val="25"/>
        </w:numPr>
        <w:ind w:left="0" w:firstLine="0"/>
        <w:rPr>
          <w:szCs w:val="26"/>
        </w:rPr>
      </w:pPr>
      <w:r>
        <w:t>In Order No. 717, the Commission made several modifications related to the posting requirements associated with the Standards of Conduct.</w:t>
      </w:r>
      <w:r w:rsidRPr="00D602B3">
        <w:rPr>
          <w:sz w:val="13"/>
          <w:szCs w:val="13"/>
        </w:rPr>
        <w:t xml:space="preserve">  </w:t>
      </w:r>
      <w:r>
        <w:rPr>
          <w:sz w:val="13"/>
          <w:szCs w:val="13"/>
        </w:rPr>
        <w:t xml:space="preserve"> </w:t>
      </w:r>
      <w:r>
        <w:t>Specifically, the Commission discontinued the requirement for public utilities to post standards of conduct information on their OASIS sites.</w:t>
      </w:r>
      <w:r>
        <w:rPr>
          <w:rStyle w:val="FootnoteReference"/>
        </w:rPr>
        <w:footnoteReference w:id="23"/>
      </w:r>
      <w:r>
        <w:t xml:space="preserve">  In response, WEQ’s Business Practice Subcommittee modified the WEQ-001, WEQ-002 and WEQ-003 Business Practice Standards to remove reference to the standards of conduct- related obligations with the exception of a few template structures that may be implemented at the option of the transmission provider.</w:t>
      </w:r>
      <w:r>
        <w:rPr>
          <w:szCs w:val="26"/>
        </w:rPr>
        <w:t xml:space="preserve">  </w:t>
      </w:r>
      <w:r w:rsidRPr="00D602B3">
        <w:rPr>
          <w:szCs w:val="26"/>
        </w:rPr>
        <w:t>WEQ’s OASIS Subcommittee also modified standards WEQ-013-2.6.81 and WEQ-013-2.6.82 to clarify the listing of service types, modified standards WEQ-001-14.1.3 and WEQ-001-15.1.2 regarding the timing of required postings of narratives, and made modifications to standards WEQ-001, WEQ-002 and WEQ-003 (concerning standards of conduct posting requirements) in response to Order No. 717.</w:t>
      </w:r>
    </w:p>
    <w:p w:rsidR="007E42E9" w:rsidRPr="00CD588F" w:rsidRDefault="007E42E9" w:rsidP="004E3918">
      <w:pPr>
        <w:pStyle w:val="FERCparanumber"/>
        <w:numPr>
          <w:ilvl w:val="0"/>
          <w:numId w:val="25"/>
        </w:numPr>
        <w:ind w:left="0" w:firstLine="0"/>
      </w:pPr>
      <w:r w:rsidRPr="00CD588F">
        <w:t xml:space="preserve">The Joint Electric Scheduling Subcommittee (JESS), a standing joint subcommittee made </w:t>
      </w:r>
      <w:r>
        <w:t xml:space="preserve">up </w:t>
      </w:r>
      <w:r w:rsidRPr="00CD588F">
        <w:t xml:space="preserve">of participants </w:t>
      </w:r>
      <w:r>
        <w:t xml:space="preserve">from NAESB and the North American Electric Reliability Corporation (NERC), has been </w:t>
      </w:r>
      <w:r w:rsidRPr="00CD588F">
        <w:t xml:space="preserve">tasked with </w:t>
      </w:r>
      <w:r>
        <w:t xml:space="preserve">coordinating efforts to </w:t>
      </w:r>
      <w:r w:rsidRPr="00CD588F">
        <w:t>maint</w:t>
      </w:r>
      <w:r>
        <w:t>ain</w:t>
      </w:r>
      <w:r w:rsidRPr="00CD588F">
        <w:t xml:space="preserve"> </w:t>
      </w:r>
      <w:r>
        <w:t xml:space="preserve">and modify, as needed, </w:t>
      </w:r>
      <w:r w:rsidRPr="00CD588F">
        <w:t>the coordinate interchange business practice standards</w:t>
      </w:r>
      <w:r>
        <w:t xml:space="preserve"> in WEQ-004</w:t>
      </w:r>
      <w:r w:rsidRPr="00CD588F">
        <w:t xml:space="preserve"> </w:t>
      </w:r>
      <w:r>
        <w:t xml:space="preserve">with their associated </w:t>
      </w:r>
      <w:r w:rsidRPr="00CD588F">
        <w:t>reliability standards</w:t>
      </w:r>
      <w:r>
        <w:t>.  JESS</w:t>
      </w:r>
      <w:r w:rsidRPr="00CD588F">
        <w:t xml:space="preserve"> </w:t>
      </w:r>
      <w:r>
        <w:t>now leads the effort to</w:t>
      </w:r>
      <w:r w:rsidRPr="00CD588F">
        <w:t xml:space="preserve"> harmoniz</w:t>
      </w:r>
      <w:r>
        <w:t>e</w:t>
      </w:r>
      <w:r w:rsidRPr="00CD588F">
        <w:t xml:space="preserve"> the Coordinate Interchange (</w:t>
      </w:r>
      <w:r w:rsidRPr="00F653D4">
        <w:t>WEQ-004</w:t>
      </w:r>
      <w:r w:rsidRPr="00CD588F">
        <w:t>) standards with the WEQ-001, WEQ-003</w:t>
      </w:r>
      <w:r>
        <w:t xml:space="preserve"> </w:t>
      </w:r>
      <w:r w:rsidRPr="00CD588F">
        <w:t xml:space="preserve">and WEQ-013 Business Practice Standards in light of revisions made to the </w:t>
      </w:r>
      <w:r w:rsidRPr="00F653D4">
        <w:t>Electronic Tagging Functional Specification</w:t>
      </w:r>
      <w:r>
        <w:t>, previously maintained by NERC, and now maintained and updated, as needed, by NAESB</w:t>
      </w:r>
      <w:r w:rsidRPr="00CD588F">
        <w:t>.</w:t>
      </w:r>
      <w:r>
        <w:t xml:space="preserve">  The WEQ adopted a</w:t>
      </w:r>
      <w:r w:rsidRPr="00CD588F">
        <w:t xml:space="preserve">dditional modifications to the WEQ-004 standards </w:t>
      </w:r>
      <w:r w:rsidRPr="00F653D4">
        <w:t>to use</w:t>
      </w:r>
      <w:r>
        <w:t xml:space="preserve"> a</w:t>
      </w:r>
      <w:r w:rsidRPr="00C1168A">
        <w:t xml:space="preserve">bbreviations, </w:t>
      </w:r>
      <w:r>
        <w:t>a</w:t>
      </w:r>
      <w:r w:rsidRPr="00C1168A">
        <w:t>cronyms</w:t>
      </w:r>
      <w:r>
        <w:t>,</w:t>
      </w:r>
      <w:r w:rsidRPr="00C1168A">
        <w:t xml:space="preserve"> </w:t>
      </w:r>
      <w:r>
        <w:t>d</w:t>
      </w:r>
      <w:r w:rsidRPr="00C1168A">
        <w:t>efinition</w:t>
      </w:r>
      <w:r>
        <w:t>s and terms consistent with</w:t>
      </w:r>
      <w:r w:rsidRPr="00F653D4">
        <w:t xml:space="preserve"> th</w:t>
      </w:r>
      <w:r>
        <w:t>os</w:t>
      </w:r>
      <w:r w:rsidRPr="00F653D4">
        <w:t xml:space="preserve">e </w:t>
      </w:r>
      <w:r>
        <w:t xml:space="preserve">in Standard </w:t>
      </w:r>
      <w:r w:rsidRPr="00F653D4">
        <w:t>WEQ-000</w:t>
      </w:r>
      <w:r w:rsidRPr="00CD588F">
        <w:t xml:space="preserve"> and to provide consistency across all WEQ standards.</w:t>
      </w:r>
    </w:p>
    <w:p w:rsidR="007E42E9" w:rsidRPr="000D597F" w:rsidRDefault="007E42E9" w:rsidP="004E3918">
      <w:pPr>
        <w:pStyle w:val="FERCparanumber"/>
        <w:widowControl w:val="0"/>
        <w:numPr>
          <w:ilvl w:val="0"/>
          <w:numId w:val="25"/>
        </w:numPr>
        <w:ind w:left="0" w:firstLine="0"/>
        <w:rPr>
          <w:szCs w:val="26"/>
        </w:rPr>
      </w:pPr>
      <w:r>
        <w:rPr>
          <w:szCs w:val="26"/>
        </w:rPr>
        <w:t xml:space="preserve">WEQ adopted </w:t>
      </w:r>
      <w:r w:rsidRPr="000D597F">
        <w:rPr>
          <w:szCs w:val="26"/>
        </w:rPr>
        <w:t xml:space="preserve">modifications to support consistency </w:t>
      </w:r>
      <w:r>
        <w:rPr>
          <w:szCs w:val="26"/>
        </w:rPr>
        <w:t>between</w:t>
      </w:r>
      <w:r w:rsidRPr="000D597F">
        <w:rPr>
          <w:szCs w:val="26"/>
        </w:rPr>
        <w:t xml:space="preserve"> the WEQ </w:t>
      </w:r>
      <w:r>
        <w:rPr>
          <w:szCs w:val="26"/>
        </w:rPr>
        <w:t xml:space="preserve">business practice </w:t>
      </w:r>
      <w:r w:rsidRPr="000D597F">
        <w:rPr>
          <w:szCs w:val="26"/>
        </w:rPr>
        <w:t xml:space="preserve">standards </w:t>
      </w:r>
      <w:r>
        <w:rPr>
          <w:szCs w:val="26"/>
        </w:rPr>
        <w:t xml:space="preserve">and </w:t>
      </w:r>
      <w:r w:rsidRPr="000D597F">
        <w:rPr>
          <w:szCs w:val="26"/>
        </w:rPr>
        <w:t xml:space="preserve">the </w:t>
      </w:r>
      <w:r>
        <w:rPr>
          <w:szCs w:val="26"/>
        </w:rPr>
        <w:t xml:space="preserve">Wholesale Gas Quadrant (WGQ) </w:t>
      </w:r>
      <w:r w:rsidRPr="000D597F">
        <w:rPr>
          <w:szCs w:val="26"/>
        </w:rPr>
        <w:t>Gas/Electric</w:t>
      </w:r>
      <w:r>
        <w:rPr>
          <w:szCs w:val="26"/>
        </w:rPr>
        <w:t xml:space="preserve"> </w:t>
      </w:r>
      <w:r w:rsidRPr="000D597F">
        <w:rPr>
          <w:szCs w:val="26"/>
        </w:rPr>
        <w:t>Coordination standards</w:t>
      </w:r>
      <w:r>
        <w:rPr>
          <w:szCs w:val="26"/>
        </w:rPr>
        <w:t xml:space="preserve">. </w:t>
      </w:r>
      <w:r w:rsidRPr="000D597F">
        <w:rPr>
          <w:szCs w:val="26"/>
        </w:rPr>
        <w:t xml:space="preserve"> </w:t>
      </w:r>
      <w:r>
        <w:rPr>
          <w:szCs w:val="26"/>
        </w:rPr>
        <w:t>I</w:t>
      </w:r>
      <w:r w:rsidRPr="000D597F">
        <w:rPr>
          <w:szCs w:val="26"/>
        </w:rPr>
        <w:t>n addition</w:t>
      </w:r>
      <w:r>
        <w:rPr>
          <w:szCs w:val="26"/>
        </w:rPr>
        <w:t>, WEQ made</w:t>
      </w:r>
      <w:r w:rsidRPr="000D597F">
        <w:rPr>
          <w:szCs w:val="26"/>
        </w:rPr>
        <w:t xml:space="preserve"> modifications to the </w:t>
      </w:r>
      <w:r>
        <w:rPr>
          <w:szCs w:val="26"/>
        </w:rPr>
        <w:t xml:space="preserve">business practice </w:t>
      </w:r>
      <w:r w:rsidRPr="000D597F">
        <w:rPr>
          <w:szCs w:val="26"/>
        </w:rPr>
        <w:t>standards</w:t>
      </w:r>
      <w:r>
        <w:rPr>
          <w:szCs w:val="26"/>
        </w:rPr>
        <w:t xml:space="preserve"> to </w:t>
      </w:r>
      <w:r w:rsidRPr="000D597F">
        <w:rPr>
          <w:szCs w:val="26"/>
        </w:rPr>
        <w:t xml:space="preserve">harmonize </w:t>
      </w:r>
      <w:r>
        <w:rPr>
          <w:szCs w:val="26"/>
        </w:rPr>
        <w:t xml:space="preserve">the </w:t>
      </w:r>
      <w:r w:rsidRPr="000D597F">
        <w:rPr>
          <w:szCs w:val="26"/>
        </w:rPr>
        <w:t>terms and definitions contained</w:t>
      </w:r>
      <w:r>
        <w:rPr>
          <w:szCs w:val="26"/>
        </w:rPr>
        <w:t xml:space="preserve"> </w:t>
      </w:r>
      <w:r w:rsidRPr="000D597F">
        <w:rPr>
          <w:szCs w:val="26"/>
        </w:rPr>
        <w:t xml:space="preserve">within the </w:t>
      </w:r>
      <w:r>
        <w:rPr>
          <w:szCs w:val="26"/>
        </w:rPr>
        <w:t xml:space="preserve">WEQ business practice </w:t>
      </w:r>
      <w:r w:rsidRPr="000D597F">
        <w:rPr>
          <w:szCs w:val="26"/>
        </w:rPr>
        <w:t>standard</w:t>
      </w:r>
      <w:r>
        <w:rPr>
          <w:szCs w:val="26"/>
        </w:rPr>
        <w:t xml:space="preserve">s with the definitions of those terms used in the business practice standards for other quadrants.  </w:t>
      </w:r>
      <w:r w:rsidRPr="000D597F">
        <w:rPr>
          <w:szCs w:val="26"/>
        </w:rPr>
        <w:t xml:space="preserve">These changes were also coordinated </w:t>
      </w:r>
      <w:r>
        <w:rPr>
          <w:szCs w:val="26"/>
        </w:rPr>
        <w:t xml:space="preserve">to be consistent with definitions and terms </w:t>
      </w:r>
      <w:r w:rsidRPr="000D597F">
        <w:rPr>
          <w:szCs w:val="26"/>
        </w:rPr>
        <w:t>contained in the NERC Glossary.</w:t>
      </w:r>
    </w:p>
    <w:p w:rsidR="007E42E9" w:rsidRDefault="007E42E9" w:rsidP="004E3918">
      <w:pPr>
        <w:pStyle w:val="FERCparanumber"/>
        <w:widowControl w:val="0"/>
        <w:numPr>
          <w:ilvl w:val="0"/>
          <w:numId w:val="25"/>
        </w:numPr>
        <w:tabs>
          <w:tab w:val="clear" w:pos="720"/>
          <w:tab w:val="num" w:pos="850"/>
        </w:tabs>
        <w:ind w:left="0" w:firstLine="0"/>
        <w:rPr>
          <w:szCs w:val="26"/>
        </w:rPr>
      </w:pPr>
      <w:r w:rsidRPr="000D597F">
        <w:rPr>
          <w:szCs w:val="26"/>
        </w:rPr>
        <w:t xml:space="preserve">Also included in the WEQ Version 003 </w:t>
      </w:r>
      <w:r>
        <w:rPr>
          <w:szCs w:val="26"/>
        </w:rPr>
        <w:t xml:space="preserve">standards </w:t>
      </w:r>
      <w:r w:rsidRPr="000D597F">
        <w:rPr>
          <w:szCs w:val="26"/>
        </w:rPr>
        <w:t xml:space="preserve">are </w:t>
      </w:r>
      <w:r>
        <w:rPr>
          <w:szCs w:val="26"/>
        </w:rPr>
        <w:t>s</w:t>
      </w:r>
      <w:r w:rsidRPr="000D597F">
        <w:rPr>
          <w:szCs w:val="26"/>
        </w:rPr>
        <w:t>tandards</w:t>
      </w:r>
      <w:r>
        <w:rPr>
          <w:szCs w:val="26"/>
        </w:rPr>
        <w:t xml:space="preserve"> </w:t>
      </w:r>
      <w:r w:rsidRPr="000D597F">
        <w:rPr>
          <w:szCs w:val="26"/>
        </w:rPr>
        <w:t>developed to support Smart Grid applications a</w:t>
      </w:r>
      <w:r>
        <w:rPr>
          <w:szCs w:val="26"/>
        </w:rPr>
        <w:t xml:space="preserve">s well as standards related to the </w:t>
      </w:r>
      <w:r w:rsidRPr="000D597F">
        <w:rPr>
          <w:szCs w:val="26"/>
        </w:rPr>
        <w:t>measurement and verification of Demand Response (DR) and</w:t>
      </w:r>
      <w:r w:rsidRPr="000D597F" w:rsidDel="00F76D83">
        <w:rPr>
          <w:color w:val="000000"/>
          <w:szCs w:val="26"/>
        </w:rPr>
        <w:t xml:space="preserve"> </w:t>
      </w:r>
      <w:r w:rsidRPr="000D597F">
        <w:rPr>
          <w:szCs w:val="26"/>
        </w:rPr>
        <w:t xml:space="preserve">Energy Efficiency (EE) products. </w:t>
      </w:r>
      <w:r>
        <w:rPr>
          <w:szCs w:val="26"/>
        </w:rPr>
        <w:t xml:space="preserve"> These standards have been referenced in earlier reports filed with the Commission before the completion of the WEQ Version 003 standards.  The Smart Grid application standards had been referenced in a report filed with the Commission on July 7, 2011 in Docket No. RM05-5-021.  The DR and EE measurement and verification standards were referenced in a report filed with the Commission on May 2, 2011 in Docket No. RM05-5-021 and have been the subject of Commission action.</w:t>
      </w:r>
      <w:r>
        <w:rPr>
          <w:rStyle w:val="FootnoteReference"/>
        </w:rPr>
        <w:footnoteReference w:id="24"/>
      </w:r>
    </w:p>
    <w:p w:rsidR="007E42E9" w:rsidRPr="0078082A" w:rsidRDefault="007E42E9" w:rsidP="004E3918">
      <w:pPr>
        <w:pStyle w:val="FERCparanumber"/>
        <w:widowControl w:val="0"/>
        <w:numPr>
          <w:ilvl w:val="0"/>
          <w:numId w:val="25"/>
        </w:numPr>
        <w:ind w:left="0" w:firstLine="0"/>
        <w:rPr>
          <w:color w:val="000000"/>
        </w:rPr>
      </w:pPr>
      <w:r w:rsidRPr="000D597F">
        <w:t xml:space="preserve">Finally, </w:t>
      </w:r>
      <w:r>
        <w:t xml:space="preserve">NAESB’s September 18 Filing </w:t>
      </w:r>
      <w:r w:rsidRPr="000D597F">
        <w:t>include</w:t>
      </w:r>
      <w:r>
        <w:t xml:space="preserve">s </w:t>
      </w:r>
      <w:r w:rsidRPr="000D597F">
        <w:t xml:space="preserve">an interpretation of </w:t>
      </w:r>
      <w:r>
        <w:t>standards</w:t>
      </w:r>
      <w:r w:rsidRPr="000D597F">
        <w:t xml:space="preserve"> WEQ-001-9.1 and WEQ-001-10.1 and </w:t>
      </w:r>
      <w:r>
        <w:t xml:space="preserve">recites </w:t>
      </w:r>
      <w:r w:rsidRPr="000D597F">
        <w:t xml:space="preserve">the results of a quadrant wide effort to provide a common location for all </w:t>
      </w:r>
      <w:r w:rsidRPr="00B511E2">
        <w:rPr>
          <w:szCs w:val="26"/>
        </w:rPr>
        <w:t>abbreviations</w:t>
      </w:r>
      <w:r w:rsidRPr="000D597F">
        <w:t>,</w:t>
      </w:r>
      <w:r>
        <w:t xml:space="preserve"> </w:t>
      </w:r>
      <w:r w:rsidRPr="000D597F">
        <w:t>acronyms and definitions of terms that created the WEQ-000 Business Practice Standards and addresse</w:t>
      </w:r>
      <w:r>
        <w:t>s</w:t>
      </w:r>
      <w:r w:rsidRPr="000D597F">
        <w:t xml:space="preserve"> both</w:t>
      </w:r>
      <w:r>
        <w:t xml:space="preserve"> </w:t>
      </w:r>
      <w:r w:rsidRPr="000D597F">
        <w:t>internal inconsistenc</w:t>
      </w:r>
      <w:r>
        <w:t>i</w:t>
      </w:r>
      <w:r w:rsidRPr="000D597F">
        <w:t>es and inconsistenc</w:t>
      </w:r>
      <w:r>
        <w:t>i</w:t>
      </w:r>
      <w:r w:rsidRPr="000D597F">
        <w:t xml:space="preserve">es </w:t>
      </w:r>
      <w:r>
        <w:t xml:space="preserve">between the standards and terms and definitions in </w:t>
      </w:r>
      <w:r w:rsidRPr="000D597F">
        <w:t>the NERC Glossary.</w:t>
      </w:r>
    </w:p>
    <w:p w:rsidR="007E42E9" w:rsidRDefault="007E42E9" w:rsidP="00F362BB">
      <w:pPr>
        <w:pStyle w:val="Heading1"/>
        <w:numPr>
          <w:ilvl w:val="0"/>
          <w:numId w:val="47"/>
        </w:numPr>
      </w:pPr>
      <w:bookmarkStart w:id="3" w:name="_bmk2"/>
      <w:bookmarkStart w:id="4" w:name="_Toc360605862"/>
      <w:r>
        <w:t>D</w:t>
      </w:r>
      <w:bookmarkEnd w:id="3"/>
      <w:r>
        <w:t>iscussion</w:t>
      </w:r>
      <w:bookmarkEnd w:id="4"/>
    </w:p>
    <w:p w:rsidR="007E42E9" w:rsidRPr="00F653D4" w:rsidRDefault="007E42E9" w:rsidP="004E3918">
      <w:pPr>
        <w:pStyle w:val="FERCparanumber"/>
        <w:widowControl w:val="0"/>
        <w:numPr>
          <w:ilvl w:val="0"/>
          <w:numId w:val="25"/>
        </w:numPr>
        <w:ind w:left="0" w:firstLine="0"/>
        <w:rPr>
          <w:color w:val="000000"/>
        </w:rPr>
      </w:pPr>
      <w:r>
        <w:t>As discussed below, with certain enumerated exceptions, we propose to incorporate by reference (into the Commission’s regulations at 18 CFR 38.2) the NAESB WEQ Version 003 standards.</w:t>
      </w:r>
      <w:r>
        <w:rPr>
          <w:rStyle w:val="FootnoteReference"/>
        </w:rPr>
        <w:footnoteReference w:id="25"/>
      </w:r>
      <w:r>
        <w:t xml:space="preserve">  The Version 003 standards will update the Version 002.1 standards currently incorporated by reference into the Commission’s regulations.</w:t>
      </w:r>
      <w:r>
        <w:rPr>
          <w:rStyle w:val="FootnoteReference"/>
        </w:rPr>
        <w:footnoteReference w:id="26"/>
      </w:r>
    </w:p>
    <w:p w:rsidR="007E42E9" w:rsidRPr="005B5565" w:rsidRDefault="007E42E9" w:rsidP="004E3918">
      <w:pPr>
        <w:pStyle w:val="FERCparanumber"/>
        <w:widowControl w:val="0"/>
        <w:numPr>
          <w:ilvl w:val="0"/>
          <w:numId w:val="25"/>
        </w:numPr>
        <w:ind w:left="0" w:firstLine="0"/>
        <w:rPr>
          <w:color w:val="000000"/>
        </w:rPr>
      </w:pPr>
      <w:r>
        <w:t>We note that, in a separate rulemaking (in Docket No. RM13-17-000) being issued concurrently with this NOPR, the Commission is proposing new standards</w:t>
      </w:r>
      <w:r w:rsidRPr="00E963C3">
        <w:rPr>
          <w:szCs w:val="26"/>
        </w:rPr>
        <w:t xml:space="preserve"> </w:t>
      </w:r>
      <w:r>
        <w:rPr>
          <w:szCs w:val="26"/>
        </w:rPr>
        <w:t>on coordination between natural gas and electricity markets.  Depending on the outcome of that proceeding, we are considering situating the incorporation by reference that we are proposing in this NOPR in a different section in Part 38 than section 38.2.  This should not, however, affect the substance of our proposal.</w:t>
      </w:r>
    </w:p>
    <w:p w:rsidR="007E42E9" w:rsidRPr="006C608E" w:rsidRDefault="007E42E9" w:rsidP="004A0AC8">
      <w:pPr>
        <w:pStyle w:val="Heading2"/>
        <w:numPr>
          <w:ilvl w:val="1"/>
          <w:numId w:val="47"/>
        </w:numPr>
        <w:tabs>
          <w:tab w:val="clear" w:pos="1080"/>
          <w:tab w:val="num" w:pos="1440"/>
        </w:tabs>
        <w:ind w:left="1440"/>
      </w:pPr>
      <w:bookmarkStart w:id="5" w:name="_bmk3"/>
      <w:bookmarkStart w:id="6" w:name="_Toc360605863"/>
      <w:r>
        <w:t>R</w:t>
      </w:r>
      <w:bookmarkEnd w:id="5"/>
      <w:r>
        <w:t xml:space="preserve">evisions to OASIS Standards Made to Comply with </w:t>
      </w:r>
      <w:r w:rsidRPr="006C608E">
        <w:t>Order No. 890</w:t>
      </w:r>
      <w:r>
        <w:t xml:space="preserve"> Objectives and Requirements</w:t>
      </w:r>
      <w:bookmarkEnd w:id="6"/>
      <w:r w:rsidRPr="006C608E">
        <w:t xml:space="preserve"> </w:t>
      </w:r>
    </w:p>
    <w:p w:rsidR="007E42E9" w:rsidRPr="0036430F" w:rsidRDefault="007E42E9" w:rsidP="004E3918">
      <w:pPr>
        <w:pStyle w:val="FERCparanumber"/>
        <w:widowControl w:val="0"/>
        <w:numPr>
          <w:ilvl w:val="0"/>
          <w:numId w:val="25"/>
        </w:numPr>
        <w:ind w:left="0" w:firstLine="0"/>
      </w:pPr>
      <w:r w:rsidRPr="0036430F">
        <w:t xml:space="preserve">In the NAESB WEQ Version 003 standards, NAESB has developed new standards and revised existing standards </w:t>
      </w:r>
      <w:r>
        <w:t xml:space="preserve">designed </w:t>
      </w:r>
      <w:r w:rsidRPr="0036430F">
        <w:t>to ensure consistency with certain policies articulated by the Commission in Order Nos. 890, 890-A and 890-B.</w:t>
      </w:r>
    </w:p>
    <w:p w:rsidR="007E42E9" w:rsidRPr="007838CA" w:rsidRDefault="007E42E9" w:rsidP="004A0AC8">
      <w:pPr>
        <w:pStyle w:val="Heading3"/>
        <w:numPr>
          <w:ilvl w:val="2"/>
          <w:numId w:val="47"/>
        </w:numPr>
        <w:ind w:firstLine="0"/>
      </w:pPr>
      <w:bookmarkStart w:id="7" w:name="_bmk4"/>
      <w:bookmarkStart w:id="8" w:name="_Toc360605864"/>
      <w:r w:rsidRPr="007838CA">
        <w:t>S</w:t>
      </w:r>
      <w:bookmarkEnd w:id="7"/>
      <w:r w:rsidRPr="007838CA">
        <w:t>ervice Across Multiple Transmission Systems (SAMTS)</w:t>
      </w:r>
      <w:bookmarkEnd w:id="8"/>
    </w:p>
    <w:p w:rsidR="007E42E9" w:rsidRDefault="007E42E9" w:rsidP="004E3918">
      <w:pPr>
        <w:pStyle w:val="FERCparanumber"/>
        <w:numPr>
          <w:ilvl w:val="0"/>
          <w:numId w:val="25"/>
        </w:numPr>
        <w:ind w:left="0" w:firstLine="0"/>
      </w:pPr>
      <w:r w:rsidRPr="0036430F">
        <w:t xml:space="preserve">The </w:t>
      </w:r>
      <w:r>
        <w:t>SAMTS business practice</w:t>
      </w:r>
      <w:r w:rsidRPr="0036430F">
        <w:t xml:space="preserve"> standards were developed to provide a process for customers to complete cross-regional transactions in response to the Commission’s </w:t>
      </w:r>
      <w:r>
        <w:t>requirement</w:t>
      </w:r>
      <w:r w:rsidRPr="0036430F">
        <w:t xml:space="preserve"> </w:t>
      </w:r>
      <w:r>
        <w:t>that transmission providers develop business practice standards in this area.</w:t>
      </w:r>
      <w:r w:rsidRPr="00834158">
        <w:rPr>
          <w:b/>
          <w:vertAlign w:val="superscript"/>
        </w:rPr>
        <w:footnoteReference w:id="27"/>
      </w:r>
      <w:r>
        <w:t xml:space="preserve">  SAMTS-related standards include </w:t>
      </w:r>
      <w:r w:rsidRPr="0036430F">
        <w:t xml:space="preserve">modified and added terms </w:t>
      </w:r>
      <w:r>
        <w:t xml:space="preserve">in </w:t>
      </w:r>
      <w:r w:rsidRPr="0036430F">
        <w:t>the Abbreviations, Acronyms and Definition of Terms (</w:t>
      </w:r>
      <w:r>
        <w:t xml:space="preserve">newly created </w:t>
      </w:r>
      <w:r w:rsidRPr="0036430F">
        <w:t>WEQ-000), OASIS Business Practice Standards (WEQ-001), OASIS Standards and Communication Protocols (WEQ-002),</w:t>
      </w:r>
      <w:r>
        <w:t xml:space="preserve"> </w:t>
      </w:r>
      <w:r w:rsidRPr="0036430F">
        <w:t xml:space="preserve">OASIS Data Dictionary (WEQ-003), and the OASIS Implementation Guide (WEQ-013).  </w:t>
      </w:r>
      <w:r w:rsidRPr="00060378">
        <w:t xml:space="preserve">The SAMTS standards </w:t>
      </w:r>
      <w:r>
        <w:t>address</w:t>
      </w:r>
      <w:r w:rsidRPr="00060378">
        <w:t xml:space="preserve"> the coordination of point-to-point transmission service and/or network transmission service requests across multiple transmission systems.</w:t>
      </w:r>
      <w:r>
        <w:t xml:space="preserve">  The process requires e</w:t>
      </w:r>
      <w:r w:rsidRPr="00060378">
        <w:t xml:space="preserve">ach affected provider </w:t>
      </w:r>
      <w:r>
        <w:t xml:space="preserve">to </w:t>
      </w:r>
      <w:r w:rsidRPr="00060378">
        <w:t>independently evaluate its portion of the linked request with the opportunity for reconciliation by the customer once all evaluations are complete</w:t>
      </w:r>
      <w:r>
        <w:t>.  T</w:t>
      </w:r>
      <w:r w:rsidRPr="00060378">
        <w:t>he customer communicate</w:t>
      </w:r>
      <w:r>
        <w:t>s</w:t>
      </w:r>
      <w:r w:rsidRPr="00060378">
        <w:t xml:space="preserve"> reconciled information to each of the affected providers.</w:t>
      </w:r>
    </w:p>
    <w:p w:rsidR="007E42E9" w:rsidRPr="00D839B8" w:rsidRDefault="007E42E9" w:rsidP="004A0AC8">
      <w:pPr>
        <w:pStyle w:val="Heading3"/>
        <w:numPr>
          <w:ilvl w:val="2"/>
          <w:numId w:val="47"/>
        </w:numPr>
        <w:ind w:firstLine="0"/>
      </w:pPr>
      <w:bookmarkStart w:id="9" w:name="_bmk5"/>
      <w:bookmarkStart w:id="10" w:name="_Toc360605865"/>
      <w:r w:rsidRPr="00D839B8">
        <w:t>N</w:t>
      </w:r>
      <w:bookmarkEnd w:id="9"/>
      <w:r w:rsidRPr="00D839B8">
        <w:t>etwork Integration Transmission Service (NITS)</w:t>
      </w:r>
      <w:bookmarkEnd w:id="10"/>
    </w:p>
    <w:p w:rsidR="007E42E9" w:rsidRDefault="007E42E9" w:rsidP="004E3918">
      <w:pPr>
        <w:pStyle w:val="FERCparanumber"/>
        <w:widowControl w:val="0"/>
        <w:numPr>
          <w:ilvl w:val="0"/>
          <w:numId w:val="25"/>
        </w:numPr>
        <w:ind w:left="0" w:firstLine="0"/>
      </w:pPr>
      <w:r w:rsidRPr="002954A6">
        <w:t xml:space="preserve">Network Integration Transmission Service allows </w:t>
      </w:r>
      <w:r>
        <w:t>a</w:t>
      </w:r>
      <w:r w:rsidRPr="002954A6">
        <w:t xml:space="preserve"> Network Customer to integrate, economically dispatch and regulate its current and planned</w:t>
      </w:r>
      <w:r>
        <w:t xml:space="preserve"> </w:t>
      </w:r>
      <w:r w:rsidRPr="002954A6">
        <w:t xml:space="preserve">Network Resources to serve its Network Load in a manner comparable to </w:t>
      </w:r>
      <w:r>
        <w:t>the way a</w:t>
      </w:r>
      <w:r w:rsidRPr="002954A6">
        <w:t xml:space="preserve"> Transmission Provider u</w:t>
      </w:r>
      <w:r>
        <w:t>ses</w:t>
      </w:r>
      <w:r w:rsidRPr="002954A6">
        <w:t xml:space="preserve"> its Transmission System to serve its Native Load Customers</w:t>
      </w:r>
      <w:r>
        <w:t>.</w:t>
      </w:r>
      <w:r w:rsidRPr="00B11430">
        <w:rPr>
          <w:b/>
          <w:vertAlign w:val="superscript"/>
        </w:rPr>
        <w:footnoteReference w:id="28"/>
      </w:r>
      <w:r w:rsidRPr="00457775">
        <w:rPr>
          <w:b/>
          <w:szCs w:val="26"/>
          <w:vertAlign w:val="superscript"/>
        </w:rPr>
        <w:t xml:space="preserve"> </w:t>
      </w:r>
      <w:r>
        <w:t xml:space="preserve"> The Commission required that utilities </w:t>
      </w:r>
      <w:r w:rsidRPr="002954A6">
        <w:t>use OASIS to request designation of new network resources</w:t>
      </w:r>
      <w:r>
        <w:t xml:space="preserve"> </w:t>
      </w:r>
      <w:r w:rsidRPr="002954A6">
        <w:t>and to terminate designation of network resources</w:t>
      </w:r>
      <w:r>
        <w:t>.</w:t>
      </w:r>
      <w:r w:rsidRPr="00B11430">
        <w:rPr>
          <w:b/>
          <w:vertAlign w:val="superscript"/>
        </w:rPr>
        <w:footnoteReference w:id="29"/>
      </w:r>
      <w:r>
        <w:t xml:space="preserve">  In response to this requirement as well as other directives within Order No. 890</w:t>
      </w:r>
      <w:r w:rsidRPr="00B11430">
        <w:rPr>
          <w:b/>
          <w:vertAlign w:val="superscript"/>
        </w:rPr>
        <w:footnoteReference w:id="30"/>
      </w:r>
      <w:r>
        <w:t xml:space="preserve"> and subsequent orders,</w:t>
      </w:r>
      <w:r w:rsidRPr="00B11430">
        <w:rPr>
          <w:b/>
          <w:vertAlign w:val="superscript"/>
        </w:rPr>
        <w:footnoteReference w:id="31"/>
      </w:r>
      <w:r>
        <w:t xml:space="preserve"> NAESB’s WEQ Executive Committee adopted business practice standards to support the OASIS functionality associated with NITS.</w:t>
      </w:r>
      <w:r w:rsidRPr="006B5876">
        <w:t xml:space="preserve"> </w:t>
      </w:r>
      <w:r>
        <w:t xml:space="preserve"> </w:t>
      </w:r>
      <w:r w:rsidRPr="001704B9">
        <w:t>The</w:t>
      </w:r>
      <w:r>
        <w:t xml:space="preserve">se </w:t>
      </w:r>
      <w:r w:rsidRPr="001704B9">
        <w:t xml:space="preserve">new </w:t>
      </w:r>
      <w:r>
        <w:t xml:space="preserve">and revised </w:t>
      </w:r>
      <w:r w:rsidRPr="001704B9">
        <w:t xml:space="preserve">standards </w:t>
      </w:r>
      <w:r>
        <w:t>fall within</w:t>
      </w:r>
      <w:r w:rsidRPr="001704B9">
        <w:t xml:space="preserve"> the WEQ-000,</w:t>
      </w:r>
      <w:r>
        <w:t xml:space="preserve"> </w:t>
      </w:r>
      <w:r w:rsidRPr="001704B9">
        <w:t>WEQ-001, WEQ-002 and WEQ-003 Business Practice Standards</w:t>
      </w:r>
      <w:r>
        <w:t>.</w:t>
      </w:r>
    </w:p>
    <w:p w:rsidR="007E42E9" w:rsidRDefault="007E42E9" w:rsidP="004E3918">
      <w:pPr>
        <w:pStyle w:val="FERCparanumber"/>
        <w:widowControl w:val="0"/>
        <w:numPr>
          <w:ilvl w:val="0"/>
          <w:numId w:val="25"/>
        </w:numPr>
        <w:ind w:left="0" w:firstLine="0"/>
      </w:pPr>
      <w:r w:rsidRPr="001704B9">
        <w:t xml:space="preserve">The </w:t>
      </w:r>
      <w:r>
        <w:t xml:space="preserve">new/revised </w:t>
      </w:r>
      <w:r w:rsidRPr="001704B9">
        <w:t xml:space="preserve">standards </w:t>
      </w:r>
      <w:r>
        <w:t xml:space="preserve">are designed to </w:t>
      </w:r>
      <w:r w:rsidRPr="001704B9">
        <w:t xml:space="preserve">provide functionality </w:t>
      </w:r>
      <w:r>
        <w:t>that</w:t>
      </w:r>
      <w:r w:rsidRPr="001704B9">
        <w:t>:</w:t>
      </w:r>
    </w:p>
    <w:p w:rsidR="007E42E9" w:rsidRDefault="007E42E9" w:rsidP="002A4F39">
      <w:pPr>
        <w:widowControl/>
        <w:numPr>
          <w:ilvl w:val="0"/>
          <w:numId w:val="48"/>
        </w:numPr>
        <w:spacing w:after="120"/>
      </w:pPr>
      <w:r>
        <w:t xml:space="preserve">allows </w:t>
      </w:r>
      <w:r w:rsidRPr="001704B9">
        <w:t xml:space="preserve">transmission providers to handle requests (loads, designation </w:t>
      </w:r>
      <w:r>
        <w:t xml:space="preserve">of a </w:t>
      </w:r>
      <w:r w:rsidRPr="001704B9">
        <w:t>network resource, non-designated</w:t>
      </w:r>
      <w:r>
        <w:t xml:space="preserve"> </w:t>
      </w:r>
      <w:r w:rsidRPr="001704B9">
        <w:t>resources) on a customer-by-customer basis,</w:t>
      </w:r>
    </w:p>
    <w:p w:rsidR="007E42E9" w:rsidRDefault="007E42E9" w:rsidP="002A4F39">
      <w:pPr>
        <w:widowControl/>
        <w:numPr>
          <w:ilvl w:val="0"/>
          <w:numId w:val="48"/>
        </w:numPr>
        <w:spacing w:after="120"/>
      </w:pPr>
      <w:r>
        <w:t xml:space="preserve">allows </w:t>
      </w:r>
      <w:r w:rsidRPr="001704B9">
        <w:t>the option of tracking designated network resource scheduling rights, and</w:t>
      </w:r>
    </w:p>
    <w:p w:rsidR="007E42E9" w:rsidRDefault="007E42E9" w:rsidP="00F653D4">
      <w:pPr>
        <w:widowControl/>
        <w:numPr>
          <w:ilvl w:val="0"/>
          <w:numId w:val="48"/>
        </w:numPr>
        <w:spacing w:after="120"/>
      </w:pPr>
      <w:r>
        <w:t>allows</w:t>
      </w:r>
      <w:r w:rsidRPr="001704B9">
        <w:t xml:space="preserve"> </w:t>
      </w:r>
      <w:r>
        <w:t xml:space="preserve">a </w:t>
      </w:r>
      <w:r w:rsidRPr="001704B9">
        <w:t xml:space="preserve">customer to </w:t>
      </w:r>
      <w:r>
        <w:t>designate</w:t>
      </w:r>
      <w:r w:rsidRPr="001704B9">
        <w:t xml:space="preserve"> </w:t>
      </w:r>
      <w:r>
        <w:t xml:space="preserve">an </w:t>
      </w:r>
      <w:r w:rsidRPr="001704B9">
        <w:t xml:space="preserve">agent to administer OASIS transactions on </w:t>
      </w:r>
      <w:r>
        <w:t xml:space="preserve">its </w:t>
      </w:r>
      <w:r w:rsidRPr="001704B9">
        <w:t>behalf.</w:t>
      </w:r>
    </w:p>
    <w:p w:rsidR="007E42E9" w:rsidRPr="002A4F39" w:rsidRDefault="007E42E9" w:rsidP="00F362BB">
      <w:pPr>
        <w:numPr>
          <w:ilvl w:val="0"/>
          <w:numId w:val="25"/>
        </w:numPr>
        <w:spacing w:line="480" w:lineRule="auto"/>
        <w:rPr>
          <w:sz w:val="24"/>
        </w:rPr>
      </w:pPr>
      <w:r>
        <w:t>NAESB has proposed Standard WEQ-001-106.2.5, which appears to contemplate a Transmission Provider refusing a request to terminate a secondary network service.  We request comment on the purpose of this standard and on whether the Commission should incorporate this standard by reference.  We note that, in Order No. 890-A, the Commission found that it was not appropriate to allow a Transmission Provider to deny requests to terminate network resource designations, although Order No. 890-A did not directly address the issue of terminating secondary network service.</w:t>
      </w:r>
      <w:r>
        <w:rPr>
          <w:rStyle w:val="FootnoteReference"/>
        </w:rPr>
        <w:footnoteReference w:id="32"/>
      </w:r>
    </w:p>
    <w:p w:rsidR="007E42E9" w:rsidRPr="00D839B8" w:rsidRDefault="007E42E9" w:rsidP="004A0AC8">
      <w:pPr>
        <w:pStyle w:val="Heading3"/>
        <w:numPr>
          <w:ilvl w:val="2"/>
          <w:numId w:val="47"/>
        </w:numPr>
        <w:ind w:firstLine="0"/>
      </w:pPr>
      <w:bookmarkStart w:id="11" w:name="_bmk6"/>
      <w:bookmarkStart w:id="12" w:name="_Toc360605866"/>
      <w:r w:rsidRPr="00D839B8">
        <w:t>R</w:t>
      </w:r>
      <w:bookmarkEnd w:id="11"/>
      <w:r w:rsidRPr="00D839B8">
        <w:t>ollover Rights for Redirects</w:t>
      </w:r>
      <w:bookmarkEnd w:id="12"/>
      <w:r w:rsidRPr="00D839B8">
        <w:t xml:space="preserve"> </w:t>
      </w:r>
    </w:p>
    <w:p w:rsidR="007E42E9" w:rsidRDefault="007E42E9" w:rsidP="004E3918">
      <w:pPr>
        <w:pStyle w:val="FERCparanumber"/>
        <w:widowControl w:val="0"/>
        <w:numPr>
          <w:ilvl w:val="0"/>
          <w:numId w:val="25"/>
        </w:numPr>
        <w:ind w:left="0" w:firstLine="0"/>
      </w:pPr>
      <w:r>
        <w:t xml:space="preserve">In Order No. 676, the Commission incorporated by reference NAESB’s proposed standards for dealing with redirects, with the exception of WEQ-001-9.7 which the Commission viewed as inconsistent with the </w:t>
      </w:r>
      <w:r w:rsidRPr="003757DB">
        <w:rPr>
          <w:i/>
        </w:rPr>
        <w:t>pro forma</w:t>
      </w:r>
      <w:r>
        <w:t xml:space="preserve"> OATT and Commission policies on rollover rights.</w:t>
      </w:r>
      <w:r w:rsidRPr="003757DB">
        <w:rPr>
          <w:b/>
          <w:vertAlign w:val="superscript"/>
        </w:rPr>
        <w:footnoteReference w:id="33"/>
      </w:r>
      <w:r>
        <w:t xml:space="preserve">  In Order No. 676-E, the Commission incorporated by reference new and modified NAESB standards related to rollover rights with the continued exception of standard WEQ-001-9.7.  The Commission noted in Order No. 676-E that the filed NAESB standards represented only the first part of a two part process through which NAESB will fully develop standards that are consistent with the Commission’s policy on rollover rights as articulated in </w:t>
      </w:r>
      <w:r w:rsidRPr="00F653D4">
        <w:t xml:space="preserve">Order Nos. </w:t>
      </w:r>
      <w:r>
        <w:t>890, 890-A and 676.</w:t>
      </w:r>
      <w:r w:rsidRPr="003757DB">
        <w:rPr>
          <w:b/>
          <w:vertAlign w:val="superscript"/>
        </w:rPr>
        <w:footnoteReference w:id="34"/>
      </w:r>
      <w:r>
        <w:t xml:space="preserve">  As explained in Order No. 676-E, NAESB stated that the second part of this process would include modifications to Standard 001-9.7, as directed by Order No. 890.</w:t>
      </w:r>
      <w:r w:rsidRPr="003757DB">
        <w:rPr>
          <w:b/>
          <w:vertAlign w:val="superscript"/>
        </w:rPr>
        <w:footnoteReference w:id="35"/>
      </w:r>
    </w:p>
    <w:p w:rsidR="007E42E9" w:rsidRDefault="007E42E9" w:rsidP="004E3918">
      <w:pPr>
        <w:pStyle w:val="FERCparanumber"/>
        <w:widowControl w:val="0"/>
        <w:numPr>
          <w:ilvl w:val="0"/>
          <w:numId w:val="25"/>
        </w:numPr>
        <w:ind w:left="0" w:firstLine="0"/>
      </w:pPr>
      <w:r w:rsidRPr="008A5666">
        <w:t xml:space="preserve">In the Version 003 standards, NAESB modified WEQ-001-9.7 </w:t>
      </w:r>
      <w:r>
        <w:t>so that it would conform to the</w:t>
      </w:r>
      <w:r w:rsidRPr="008A5666">
        <w:t xml:space="preserve"> Commission</w:t>
      </w:r>
      <w:r>
        <w:t>’s</w:t>
      </w:r>
      <w:r w:rsidRPr="008A5666">
        <w:t xml:space="preserve"> policy granting rollover rights to requests for redirect on a firm basis.</w:t>
      </w:r>
      <w:r>
        <w:rPr>
          <w:rStyle w:val="FootnoteReference"/>
        </w:rPr>
        <w:footnoteReference w:id="36"/>
      </w:r>
      <w:r>
        <w:t xml:space="preserve">  NAESB </w:t>
      </w:r>
      <w:r w:rsidRPr="008A5666">
        <w:t>modified the</w:t>
      </w:r>
      <w:r>
        <w:t xml:space="preserve"> </w:t>
      </w:r>
      <w:r w:rsidRPr="008A5666">
        <w:t>WEQ-001-9 Business Practice Standards</w:t>
      </w:r>
      <w:r>
        <w:t xml:space="preserve"> and</w:t>
      </w:r>
      <w:r w:rsidRPr="008A5666">
        <w:t xml:space="preserve"> modified the definition of Unexercised Rollover Rights and</w:t>
      </w:r>
      <w:r>
        <w:t xml:space="preserve"> </w:t>
      </w:r>
      <w:r w:rsidRPr="008A5666">
        <w:t>added a definition for Capacity Eligible for Rollover</w:t>
      </w:r>
      <w:r>
        <w:t xml:space="preserve"> to make the NAESB standards consistent with the Commission’s regulations</w:t>
      </w:r>
      <w:r w:rsidRPr="008A5666">
        <w:t>.</w:t>
      </w:r>
      <w:r>
        <w:t xml:space="preserve">  NAESB also made relevant</w:t>
      </w:r>
      <w:r w:rsidRPr="008A5666">
        <w:t xml:space="preserve"> modifications to </w:t>
      </w:r>
      <w:r>
        <w:t xml:space="preserve">standards </w:t>
      </w:r>
      <w:r w:rsidRPr="008A5666">
        <w:t>WEQ-001, WEQ-002 and WEQ-</w:t>
      </w:r>
      <w:r>
        <w:t xml:space="preserve">013 and provided </w:t>
      </w:r>
      <w:r w:rsidRPr="008A5666">
        <w:t>examples for the conveyance of rollover rights with a redirect on a firm basis provided in Appendix B of the WEQ-001 standards.</w:t>
      </w:r>
    </w:p>
    <w:p w:rsidR="007E42E9" w:rsidRPr="0038080D" w:rsidRDefault="007E42E9" w:rsidP="004A0AC8">
      <w:pPr>
        <w:pStyle w:val="Heading3"/>
        <w:numPr>
          <w:ilvl w:val="2"/>
          <w:numId w:val="47"/>
        </w:numPr>
        <w:tabs>
          <w:tab w:val="clear" w:pos="1440"/>
          <w:tab w:val="num" w:pos="2160"/>
        </w:tabs>
        <w:ind w:left="2160"/>
      </w:pPr>
      <w:bookmarkStart w:id="13" w:name="_bmk7"/>
      <w:bookmarkStart w:id="14" w:name="_Toc360605867"/>
      <w:r w:rsidRPr="0038080D">
        <w:t>R</w:t>
      </w:r>
      <w:bookmarkEnd w:id="13"/>
      <w:r w:rsidRPr="0038080D">
        <w:t>edirect Requests and Available Transfer Capacity (ATC) Credit</w:t>
      </w:r>
      <w:bookmarkEnd w:id="14"/>
    </w:p>
    <w:p w:rsidR="007E42E9" w:rsidRDefault="007E42E9" w:rsidP="004E3918">
      <w:pPr>
        <w:pStyle w:val="FERCparanumber"/>
        <w:widowControl w:val="0"/>
        <w:numPr>
          <w:ilvl w:val="0"/>
          <w:numId w:val="25"/>
        </w:numPr>
        <w:ind w:left="0" w:firstLine="0"/>
      </w:pPr>
      <w:r w:rsidRPr="002E4586">
        <w:t>In the Version 003 Standards, NAESB added standards WEQ-001-10.3.1.1 and WEQ- 001-9.1.3.1</w:t>
      </w:r>
      <w:r>
        <w:t>, which</w:t>
      </w:r>
      <w:r w:rsidRPr="002E4586">
        <w:t xml:space="preserve"> </w:t>
      </w:r>
      <w:r>
        <w:t>provide that</w:t>
      </w:r>
      <w:r w:rsidRPr="002E4586">
        <w:t xml:space="preserve"> transmission providers</w:t>
      </w:r>
      <w:r>
        <w:t xml:space="preserve"> are</w:t>
      </w:r>
      <w:r w:rsidRPr="002E4586">
        <w:t xml:space="preserve"> to process redirect requests in a manner </w:t>
      </w:r>
      <w:r>
        <w:t>that</w:t>
      </w:r>
      <w:r w:rsidRPr="002E4586">
        <w:t xml:space="preserve"> </w:t>
      </w:r>
      <w:r>
        <w:t xml:space="preserve">considers the </w:t>
      </w:r>
      <w:r w:rsidRPr="002E4586">
        <w:t>available transfer capability</w:t>
      </w:r>
      <w:r>
        <w:t xml:space="preserve"> encumbered by the parent reservation as available for</w:t>
      </w:r>
      <w:r w:rsidRPr="002E4586">
        <w:t xml:space="preserve"> the redirect</w:t>
      </w:r>
      <w:r>
        <w:t>ed</w:t>
      </w:r>
      <w:r w:rsidRPr="002E4586">
        <w:t xml:space="preserve"> request</w:t>
      </w:r>
      <w:r>
        <w:t xml:space="preserve">.  </w:t>
      </w:r>
      <w:r w:rsidRPr="002E4586">
        <w:t xml:space="preserve">The </w:t>
      </w:r>
      <w:r>
        <w:t xml:space="preserve">revised standards were designed </w:t>
      </w:r>
      <w:r w:rsidRPr="002E4586">
        <w:t xml:space="preserve">to avoid </w:t>
      </w:r>
      <w:r>
        <w:t>violation of</w:t>
      </w:r>
      <w:r w:rsidRPr="002E4586">
        <w:t xml:space="preserve"> first come, first served </w:t>
      </w:r>
      <w:r>
        <w:t>queue priority principles.</w:t>
      </w:r>
    </w:p>
    <w:p w:rsidR="007E42E9" w:rsidRPr="00D839B8" w:rsidRDefault="007E42E9" w:rsidP="004A0AC8">
      <w:pPr>
        <w:pStyle w:val="Heading3"/>
        <w:numPr>
          <w:ilvl w:val="2"/>
          <w:numId w:val="47"/>
        </w:numPr>
        <w:ind w:firstLine="0"/>
      </w:pPr>
      <w:bookmarkStart w:id="15" w:name="_bmk8"/>
      <w:bookmarkStart w:id="16" w:name="_Toc360605868"/>
      <w:r w:rsidRPr="00D839B8">
        <w:t>O</w:t>
      </w:r>
      <w:bookmarkEnd w:id="15"/>
      <w:r w:rsidRPr="00D839B8">
        <w:t>ASIS Introduction and Applicability Sections</w:t>
      </w:r>
      <w:bookmarkEnd w:id="16"/>
    </w:p>
    <w:p w:rsidR="007E42E9" w:rsidRDefault="007E42E9" w:rsidP="00081740">
      <w:pPr>
        <w:pStyle w:val="FERCparanumber"/>
        <w:widowControl w:val="0"/>
        <w:numPr>
          <w:ilvl w:val="0"/>
          <w:numId w:val="25"/>
        </w:numPr>
        <w:ind w:left="0" w:firstLine="0"/>
      </w:pPr>
      <w:r>
        <w:t>NAESB prop</w:t>
      </w:r>
      <w:r w:rsidRPr="001704B9">
        <w:t>os</w:t>
      </w:r>
      <w:r>
        <w:t>ed</w:t>
      </w:r>
      <w:r w:rsidRPr="001704B9">
        <w:t xml:space="preserve"> modifications to the introduction and applicability sections </w:t>
      </w:r>
      <w:r>
        <w:t xml:space="preserve">of </w:t>
      </w:r>
      <w:r w:rsidRPr="001704B9">
        <w:t xml:space="preserve">the OASIS standards </w:t>
      </w:r>
      <w:r>
        <w:t xml:space="preserve">to promote </w:t>
      </w:r>
      <w:r w:rsidRPr="001704B9">
        <w:t>consistency</w:t>
      </w:r>
      <w:r>
        <w:t xml:space="preserve"> within the standards</w:t>
      </w:r>
      <w:r w:rsidRPr="001704B9">
        <w:t xml:space="preserve">. </w:t>
      </w:r>
      <w:r>
        <w:t xml:space="preserve"> </w:t>
      </w:r>
      <w:r w:rsidRPr="001704B9">
        <w:t>The</w:t>
      </w:r>
      <w:r>
        <w:t xml:space="preserve"> </w:t>
      </w:r>
      <w:r w:rsidRPr="001704B9">
        <w:t>introduct</w:t>
      </w:r>
      <w:r>
        <w:t>ory</w:t>
      </w:r>
      <w:r w:rsidRPr="001704B9">
        <w:t xml:space="preserve"> section of the standards provides a brief description of the purpose of the standard, while the</w:t>
      </w:r>
      <w:r>
        <w:t xml:space="preserve"> </w:t>
      </w:r>
      <w:r w:rsidRPr="001704B9">
        <w:t xml:space="preserve">applicability section </w:t>
      </w:r>
      <w:r>
        <w:t>identifies</w:t>
      </w:r>
      <w:r w:rsidRPr="001704B9">
        <w:t xml:space="preserve"> the entities that are </w:t>
      </w:r>
      <w:r>
        <w:t xml:space="preserve">affected </w:t>
      </w:r>
      <w:r w:rsidRPr="001704B9">
        <w:t xml:space="preserve">by the standard. </w:t>
      </w:r>
      <w:r>
        <w:t xml:space="preserve"> </w:t>
      </w:r>
      <w:r w:rsidRPr="001704B9">
        <w:t xml:space="preserve">In addition, </w:t>
      </w:r>
      <w:r>
        <w:t>m</w:t>
      </w:r>
      <w:r w:rsidRPr="001704B9">
        <w:t xml:space="preserve">odifications </w:t>
      </w:r>
      <w:r>
        <w:t xml:space="preserve">were made </w:t>
      </w:r>
      <w:r w:rsidRPr="001704B9">
        <w:t xml:space="preserve">to the organization and the structure of </w:t>
      </w:r>
      <w:r>
        <w:t xml:space="preserve">standards </w:t>
      </w:r>
      <w:r w:rsidRPr="001704B9">
        <w:t>WEQ-001 and WEQ-013</w:t>
      </w:r>
      <w:r>
        <w:t xml:space="preserve"> </w:t>
      </w:r>
      <w:r w:rsidRPr="001704B9">
        <w:t xml:space="preserve">for </w:t>
      </w:r>
      <w:r>
        <w:t xml:space="preserve">purposes of </w:t>
      </w:r>
      <w:r w:rsidRPr="001704B9">
        <w:t>consistency.</w:t>
      </w:r>
    </w:p>
    <w:p w:rsidR="007E42E9" w:rsidRDefault="007E42E9" w:rsidP="004A0AC8">
      <w:pPr>
        <w:pStyle w:val="Heading3"/>
        <w:numPr>
          <w:ilvl w:val="2"/>
          <w:numId w:val="47"/>
        </w:numPr>
        <w:ind w:firstLine="0"/>
      </w:pPr>
      <w:bookmarkStart w:id="17" w:name="_Toc360605869"/>
      <w:r>
        <w:t>Commission Proposal</w:t>
      </w:r>
      <w:bookmarkEnd w:id="17"/>
    </w:p>
    <w:p w:rsidR="007E42E9" w:rsidRPr="002E4586" w:rsidRDefault="007E42E9" w:rsidP="004E3918">
      <w:pPr>
        <w:pStyle w:val="FERCparanumber"/>
        <w:widowControl w:val="0"/>
        <w:numPr>
          <w:ilvl w:val="0"/>
          <w:numId w:val="25"/>
        </w:numPr>
        <w:ind w:left="0" w:firstLine="0"/>
      </w:pPr>
      <w:r w:rsidRPr="00DE725B">
        <w:t>W</w:t>
      </w:r>
      <w:r>
        <w:t>ith th</w:t>
      </w:r>
      <w:r w:rsidRPr="00DE725B">
        <w:t>e</w:t>
      </w:r>
      <w:r>
        <w:t xml:space="preserve"> exceptions noted, we</w:t>
      </w:r>
      <w:r w:rsidRPr="00DE725B">
        <w:t xml:space="preserve"> propose to incorporate by reference Version 003 of these standards into the Commission’s regulations</w:t>
      </w:r>
      <w:r>
        <w:t>.</w:t>
      </w:r>
    </w:p>
    <w:p w:rsidR="007E42E9" w:rsidRDefault="007E42E9" w:rsidP="004A0AC8">
      <w:pPr>
        <w:pStyle w:val="Heading2"/>
        <w:numPr>
          <w:ilvl w:val="1"/>
          <w:numId w:val="47"/>
        </w:numPr>
        <w:tabs>
          <w:tab w:val="clear" w:pos="1080"/>
          <w:tab w:val="num" w:pos="1440"/>
        </w:tabs>
        <w:ind w:left="1440"/>
      </w:pPr>
      <w:bookmarkStart w:id="18" w:name="_bmk9"/>
      <w:bookmarkStart w:id="19" w:name="_Toc360605870"/>
      <w:r>
        <w:t>R</w:t>
      </w:r>
      <w:bookmarkEnd w:id="18"/>
      <w:r>
        <w:t xml:space="preserve">evisions to OASIS Standards Not Related to </w:t>
      </w:r>
      <w:r w:rsidRPr="006C608E">
        <w:t>Order No. 890</w:t>
      </w:r>
      <w:r>
        <w:t xml:space="preserve"> Objectives and Requirements</w:t>
      </w:r>
      <w:bookmarkEnd w:id="19"/>
    </w:p>
    <w:p w:rsidR="007E42E9" w:rsidRPr="00DB7DA5" w:rsidRDefault="007E42E9" w:rsidP="004E3918">
      <w:pPr>
        <w:pStyle w:val="FERCparanumber"/>
        <w:widowControl w:val="0"/>
        <w:numPr>
          <w:ilvl w:val="0"/>
          <w:numId w:val="25"/>
        </w:numPr>
        <w:ind w:left="0" w:firstLine="0"/>
        <w:rPr>
          <w:szCs w:val="26"/>
        </w:rPr>
      </w:pPr>
      <w:r w:rsidRPr="00DB7DA5">
        <w:rPr>
          <w:szCs w:val="26"/>
        </w:rPr>
        <w:t xml:space="preserve">In Version 003, NAESB </w:t>
      </w:r>
      <w:r>
        <w:rPr>
          <w:szCs w:val="26"/>
        </w:rPr>
        <w:t xml:space="preserve">also </w:t>
      </w:r>
      <w:r w:rsidRPr="00DB7DA5">
        <w:rPr>
          <w:szCs w:val="26"/>
        </w:rPr>
        <w:t xml:space="preserve">made modifications to address three </w:t>
      </w:r>
      <w:r>
        <w:rPr>
          <w:szCs w:val="26"/>
        </w:rPr>
        <w:t xml:space="preserve">issues not related to the requirements established in the </w:t>
      </w:r>
      <w:r w:rsidRPr="00DB7DA5">
        <w:rPr>
          <w:szCs w:val="26"/>
        </w:rPr>
        <w:t xml:space="preserve">Order No. 890 </w:t>
      </w:r>
      <w:r>
        <w:rPr>
          <w:szCs w:val="26"/>
        </w:rPr>
        <w:t xml:space="preserve">and not the subject of a report previously provided to the Commission.  </w:t>
      </w:r>
      <w:r w:rsidRPr="00DB7DA5">
        <w:rPr>
          <w:szCs w:val="26"/>
        </w:rPr>
        <w:t>In Order No. 717, the Commission modified the posting requirements for waivers and exercises of discretion as well as some other posting requirements.</w:t>
      </w:r>
      <w:r>
        <w:rPr>
          <w:rStyle w:val="FootnoteReference"/>
        </w:rPr>
        <w:footnoteReference w:id="37"/>
      </w:r>
      <w:r>
        <w:rPr>
          <w:sz w:val="20"/>
          <w:szCs w:val="20"/>
        </w:rPr>
        <w:t xml:space="preserve">  </w:t>
      </w:r>
      <w:r w:rsidRPr="00DB7DA5">
        <w:rPr>
          <w:szCs w:val="26"/>
        </w:rPr>
        <w:t xml:space="preserve">Of particular note, the Commission eliminated the requirement for public utilities (and pipelines) to post standards of conduct information on OASIS and instead required transmission providers </w:t>
      </w:r>
      <w:r>
        <w:rPr>
          <w:szCs w:val="26"/>
        </w:rPr>
        <w:t xml:space="preserve">to post </w:t>
      </w:r>
      <w:r w:rsidRPr="00DB7DA5">
        <w:rPr>
          <w:szCs w:val="26"/>
        </w:rPr>
        <w:t>that information on the</w:t>
      </w:r>
      <w:r>
        <w:rPr>
          <w:szCs w:val="26"/>
        </w:rPr>
        <w:t>ir</w:t>
      </w:r>
      <w:r w:rsidRPr="00DB7DA5">
        <w:rPr>
          <w:szCs w:val="26"/>
        </w:rPr>
        <w:t xml:space="preserve"> website</w:t>
      </w:r>
      <w:r>
        <w:rPr>
          <w:szCs w:val="26"/>
        </w:rPr>
        <w:t>s</w:t>
      </w:r>
      <w:r>
        <w:rPr>
          <w:sz w:val="20"/>
          <w:szCs w:val="20"/>
        </w:rPr>
        <w:t>.</w:t>
      </w:r>
      <w:r>
        <w:rPr>
          <w:rStyle w:val="FootnoteReference"/>
        </w:rPr>
        <w:footnoteReference w:id="38"/>
      </w:r>
      <w:r>
        <w:rPr>
          <w:sz w:val="20"/>
          <w:szCs w:val="20"/>
        </w:rPr>
        <w:t xml:space="preserve">  </w:t>
      </w:r>
      <w:r w:rsidRPr="00DB7DA5">
        <w:rPr>
          <w:szCs w:val="26"/>
        </w:rPr>
        <w:t>NAESB modified WEQ-001, WEQ-002 and WEQ-003 to remove reference to the standards of conduct related obligations with the exception of a few template structures that may be implemented at the option of the transmission provider.</w:t>
      </w:r>
    </w:p>
    <w:p w:rsidR="007E42E9" w:rsidRPr="00DB7DA5" w:rsidRDefault="007E42E9" w:rsidP="00AE496C">
      <w:pPr>
        <w:pStyle w:val="FERCparanumber"/>
        <w:numPr>
          <w:ilvl w:val="0"/>
          <w:numId w:val="25"/>
        </w:numPr>
        <w:ind w:left="0" w:firstLine="0"/>
      </w:pPr>
      <w:r w:rsidRPr="00DB7DA5">
        <w:t xml:space="preserve">In </w:t>
      </w:r>
      <w:r>
        <w:t xml:space="preserve">Order No. </w:t>
      </w:r>
      <w:r w:rsidRPr="00DB7DA5">
        <w:t>676-E, the Commission declined to incorporate NAESB WEQ-001-14.1.3 and WEQ-001-15.1.2</w:t>
      </w:r>
      <w:r>
        <w:t xml:space="preserve"> (</w:t>
      </w:r>
      <w:r w:rsidRPr="00DB7DA5">
        <w:t>both related to ATC Narrative</w:t>
      </w:r>
      <w:r>
        <w:t>)</w:t>
      </w:r>
      <w:r w:rsidRPr="00DB7DA5">
        <w:t xml:space="preserve"> because the</w:t>
      </w:r>
      <w:r>
        <w:t>se</w:t>
      </w:r>
      <w:r w:rsidRPr="00DB7DA5">
        <w:t xml:space="preserve"> standards did not meet the Commission’s </w:t>
      </w:r>
      <w:r>
        <w:t xml:space="preserve">requirement to post the ATC </w:t>
      </w:r>
      <w:r w:rsidRPr="00DB7DA5">
        <w:t xml:space="preserve">narrative </w:t>
      </w:r>
      <w:r>
        <w:t>as soon as feasible</w:t>
      </w:r>
      <w:r w:rsidRPr="00DB7DA5">
        <w:t>.</w:t>
      </w:r>
      <w:r>
        <w:rPr>
          <w:rStyle w:val="FootnoteReference"/>
        </w:rPr>
        <w:footnoteReference w:id="39"/>
      </w:r>
      <w:r>
        <w:rPr>
          <w:sz w:val="20"/>
          <w:szCs w:val="20"/>
        </w:rPr>
        <w:t xml:space="preserve">  </w:t>
      </w:r>
      <w:r w:rsidRPr="00DB2ABF">
        <w:t>To correct this deficiency,</w:t>
      </w:r>
      <w:r>
        <w:rPr>
          <w:sz w:val="20"/>
          <w:szCs w:val="20"/>
        </w:rPr>
        <w:t xml:space="preserve"> </w:t>
      </w:r>
      <w:r w:rsidRPr="00DB7DA5">
        <w:t xml:space="preserve">NAESB modified those two standards to </w:t>
      </w:r>
      <w:r>
        <w:t>provide</w:t>
      </w:r>
      <w:r w:rsidRPr="00DB7DA5">
        <w:t xml:space="preserve"> that </w:t>
      </w:r>
      <w:r>
        <w:t xml:space="preserve">transmission providers strive to post </w:t>
      </w:r>
      <w:r w:rsidRPr="00DB7DA5">
        <w:t>narratives within one business day and requiring a posting within five</w:t>
      </w:r>
      <w:r>
        <w:t xml:space="preserve"> </w:t>
      </w:r>
      <w:r w:rsidRPr="00DB7DA5">
        <w:t>business days.</w:t>
      </w:r>
      <w:r>
        <w:t xml:space="preserve">  NAESB’s report does not present any reason why a transmission provider would need five business days to post an ATC narrative and we remain concerned that the five-business day requirement does not meet the </w:t>
      </w:r>
      <w:r w:rsidRPr="00AE496C">
        <w:rPr>
          <w:szCs w:val="26"/>
        </w:rPr>
        <w:t>Commission’s requirement to post the ATC narrative as soon as feasible</w:t>
      </w:r>
      <w:r>
        <w:t>.  We invite comments on the necessity for taking longer than one day to post the ATC narrative.</w:t>
      </w:r>
    </w:p>
    <w:p w:rsidR="007E42E9" w:rsidRPr="000A0DDB" w:rsidRDefault="007E42E9" w:rsidP="00FE6475">
      <w:pPr>
        <w:pStyle w:val="FERCparanumber"/>
        <w:widowControl w:val="0"/>
        <w:numPr>
          <w:ilvl w:val="0"/>
          <w:numId w:val="25"/>
        </w:numPr>
        <w:ind w:left="0" w:firstLine="0"/>
      </w:pPr>
      <w:r w:rsidRPr="00FE6475">
        <w:rPr>
          <w:szCs w:val="26"/>
        </w:rPr>
        <w:t xml:space="preserve">In addition, </w:t>
      </w:r>
      <w:r w:rsidRPr="00B96AAF">
        <w:rPr>
          <w:szCs w:val="26"/>
        </w:rPr>
        <w:t xml:space="preserve">NAESB made minor modifications to standards WEQ-013-2.6.8.1 and WEQ-013-2.6.8.2 to </w:t>
      </w:r>
      <w:r w:rsidRPr="001124EB">
        <w:rPr>
          <w:szCs w:val="26"/>
        </w:rPr>
        <w:t>clarify that the listings of service types therein constitute</w:t>
      </w:r>
      <w:r w:rsidRPr="00065633">
        <w:rPr>
          <w:szCs w:val="26"/>
        </w:rPr>
        <w:t xml:space="preserve"> examples and </w:t>
      </w:r>
      <w:r w:rsidRPr="00FA719C">
        <w:rPr>
          <w:szCs w:val="26"/>
        </w:rPr>
        <w:t xml:space="preserve">are not definitive.  </w:t>
      </w:r>
      <w:r w:rsidRPr="00DE725B">
        <w:t>W</w:t>
      </w:r>
      <w:r>
        <w:t>ith th</w:t>
      </w:r>
      <w:r w:rsidRPr="00DE725B">
        <w:t>e</w:t>
      </w:r>
      <w:r>
        <w:t xml:space="preserve"> exceptions noted, we</w:t>
      </w:r>
      <w:r w:rsidRPr="00DE725B">
        <w:t xml:space="preserve"> propose to incorporate by reference Version 003 of these standards into the Commission’s regulations</w:t>
      </w:r>
      <w:r>
        <w:t>.</w:t>
      </w:r>
    </w:p>
    <w:p w:rsidR="007E42E9" w:rsidRDefault="007E42E9" w:rsidP="004A0AC8">
      <w:pPr>
        <w:pStyle w:val="Heading2"/>
        <w:numPr>
          <w:ilvl w:val="1"/>
          <w:numId w:val="47"/>
        </w:numPr>
        <w:tabs>
          <w:tab w:val="clear" w:pos="1080"/>
          <w:tab w:val="num" w:pos="1440"/>
        </w:tabs>
        <w:ind w:left="1440"/>
      </w:pPr>
      <w:bookmarkStart w:id="20" w:name="_bmk10"/>
      <w:bookmarkStart w:id="21" w:name="_Toc360605871"/>
      <w:r>
        <w:t>O</w:t>
      </w:r>
      <w:bookmarkEnd w:id="20"/>
      <w:r>
        <w:t>ther Standards</w:t>
      </w:r>
      <w:bookmarkEnd w:id="21"/>
    </w:p>
    <w:p w:rsidR="007E42E9" w:rsidRPr="00AE464E" w:rsidRDefault="007E42E9" w:rsidP="004A0AC8">
      <w:pPr>
        <w:pStyle w:val="Heading3"/>
        <w:numPr>
          <w:ilvl w:val="2"/>
          <w:numId w:val="47"/>
        </w:numPr>
        <w:ind w:firstLine="0"/>
      </w:pPr>
      <w:bookmarkStart w:id="22" w:name="_bmk11"/>
      <w:bookmarkStart w:id="23" w:name="_Toc360605872"/>
      <w:r w:rsidRPr="00AE464E">
        <w:t>C</w:t>
      </w:r>
      <w:bookmarkEnd w:id="22"/>
      <w:r w:rsidRPr="00AE464E">
        <w:t>oordinate Interchange Standards</w:t>
      </w:r>
      <w:bookmarkEnd w:id="23"/>
    </w:p>
    <w:p w:rsidR="007E42E9" w:rsidRPr="003908E3" w:rsidRDefault="007E42E9" w:rsidP="004E3918">
      <w:pPr>
        <w:pStyle w:val="FERCparanumber"/>
        <w:widowControl w:val="0"/>
        <w:numPr>
          <w:ilvl w:val="0"/>
          <w:numId w:val="25"/>
        </w:numPr>
        <w:ind w:left="0" w:firstLine="0"/>
      </w:pPr>
      <w:r>
        <w:t>As explained above, JESS is leading efforts</w:t>
      </w:r>
      <w:r w:rsidRPr="003908E3">
        <w:t xml:space="preserve"> to modify the Coordinate Interchange (WEQ-004) standards</w:t>
      </w:r>
      <w:r>
        <w:t xml:space="preserve"> and, additionally, to make</w:t>
      </w:r>
      <w:r w:rsidRPr="003908E3">
        <w:t xml:space="preserve"> </w:t>
      </w:r>
      <w:r>
        <w:t>related</w:t>
      </w:r>
      <w:r w:rsidRPr="003908E3">
        <w:t xml:space="preserve"> modifications to WEQ-001, WEQ-003</w:t>
      </w:r>
      <w:r>
        <w:t xml:space="preserve"> </w:t>
      </w:r>
      <w:r w:rsidRPr="003908E3">
        <w:t>and WEQ-013 Business Practice Standards</w:t>
      </w:r>
      <w:r>
        <w:t xml:space="preserve"> to ensure that the standards are consistent</w:t>
      </w:r>
      <w:r w:rsidRPr="003908E3">
        <w:t xml:space="preserve"> with </w:t>
      </w:r>
      <w:r>
        <w:t>current</w:t>
      </w:r>
      <w:r w:rsidRPr="003908E3">
        <w:t xml:space="preserve"> Electronic Tagging Functional </w:t>
      </w:r>
      <w:r>
        <w:t>s</w:t>
      </w:r>
      <w:r w:rsidRPr="003908E3">
        <w:t>pecification</w:t>
      </w:r>
      <w:r>
        <w:t xml:space="preserve">s (now maintained by NAESB) as well as to </w:t>
      </w:r>
      <w:r w:rsidRPr="00940C83">
        <w:t>incorporate a guideline standardiz</w:t>
      </w:r>
      <w:r>
        <w:t>ing</w:t>
      </w:r>
      <w:r w:rsidRPr="008D36C5">
        <w:t xml:space="preserve"> the rounding of partial megawatt hours schedules</w:t>
      </w:r>
      <w:r>
        <w:t>.</w:t>
      </w:r>
      <w:r>
        <w:rPr>
          <w:rStyle w:val="FootnoteReference"/>
        </w:rPr>
        <w:footnoteReference w:id="40"/>
      </w:r>
      <w:r>
        <w:t xml:space="preserve">  Additional modifications were made to ensure consistency across all WEQ standards.</w:t>
      </w:r>
    </w:p>
    <w:p w:rsidR="007E42E9" w:rsidRPr="00F653D4" w:rsidRDefault="007E42E9" w:rsidP="004A0AC8">
      <w:pPr>
        <w:pStyle w:val="Heading3"/>
        <w:numPr>
          <w:ilvl w:val="2"/>
          <w:numId w:val="47"/>
        </w:numPr>
        <w:ind w:firstLine="0"/>
      </w:pPr>
      <w:bookmarkStart w:id="24" w:name="_bmk12"/>
      <w:bookmarkStart w:id="25" w:name="_Toc360605873"/>
      <w:r w:rsidRPr="00AE464E">
        <w:t>G</w:t>
      </w:r>
      <w:bookmarkEnd w:id="24"/>
      <w:r w:rsidRPr="00AE464E">
        <w:t xml:space="preserve">as/Electric </w:t>
      </w:r>
      <w:r w:rsidRPr="00F653D4">
        <w:t>Coordination Standards</w:t>
      </w:r>
      <w:bookmarkEnd w:id="25"/>
    </w:p>
    <w:p w:rsidR="007E42E9" w:rsidRPr="009C6694" w:rsidRDefault="007E42E9" w:rsidP="004E3918">
      <w:pPr>
        <w:pStyle w:val="FERCparanumber"/>
        <w:widowControl w:val="0"/>
        <w:numPr>
          <w:ilvl w:val="0"/>
          <w:numId w:val="25"/>
        </w:numPr>
        <w:ind w:left="0" w:firstLine="0"/>
      </w:pPr>
      <w:r w:rsidRPr="009C6694">
        <w:t>In the Version 003 standards, NAESB made modifications to eliminate inconsistencies between definitions used by the NAESB quadrants as well as the NERC Glossary.</w:t>
      </w:r>
      <w:r w:rsidRPr="009C6694">
        <w:rPr>
          <w:rStyle w:val="FootnoteReference"/>
        </w:rPr>
        <w:footnoteReference w:id="41"/>
      </w:r>
      <w:r w:rsidRPr="009C6694">
        <w:t xml:space="preserve">  This included changing the terms </w:t>
      </w:r>
      <w:r>
        <w:t>“</w:t>
      </w:r>
      <w:r w:rsidRPr="009C6694">
        <w:t>Power Plant Operator</w:t>
      </w:r>
      <w:r>
        <w:t>”</w:t>
      </w:r>
      <w:r w:rsidRPr="009C6694">
        <w:t xml:space="preserve"> and </w:t>
      </w:r>
      <w:r>
        <w:t>“</w:t>
      </w:r>
      <w:r w:rsidRPr="009C6694">
        <w:t>Power Plant Operator’s Facility</w:t>
      </w:r>
      <w:r>
        <w:t>”</w:t>
      </w:r>
      <w:r w:rsidRPr="009C6694">
        <w:t xml:space="preserve"> to </w:t>
      </w:r>
      <w:r>
        <w:t>“</w:t>
      </w:r>
      <w:r w:rsidRPr="009C6694">
        <w:t>Power Plant Gas Coordinator</w:t>
      </w:r>
      <w:r>
        <w:t>”</w:t>
      </w:r>
      <w:r w:rsidRPr="009C6694">
        <w:t xml:space="preserve"> and </w:t>
      </w:r>
      <w:r>
        <w:t>“</w:t>
      </w:r>
      <w:r w:rsidRPr="009C6694">
        <w:t>Power Plant Gas Coordinator’s Facility,</w:t>
      </w:r>
      <w:r>
        <w:t>”</w:t>
      </w:r>
      <w:r w:rsidRPr="009C6694">
        <w:t xml:space="preserve"> respectively.</w:t>
      </w:r>
      <w:r w:rsidRPr="009C6694">
        <w:rPr>
          <w:rStyle w:val="FootnoteReference"/>
        </w:rPr>
        <w:footnoteReference w:id="42"/>
      </w:r>
      <w:r w:rsidRPr="009C6694">
        <w:t xml:space="preserve">  Additionally, a definition for </w:t>
      </w:r>
      <w:r>
        <w:t>“</w:t>
      </w:r>
      <w:r w:rsidRPr="009C6694">
        <w:t>Transportation Service Provider</w:t>
      </w:r>
      <w:r>
        <w:t>”</w:t>
      </w:r>
      <w:r w:rsidRPr="009C6694">
        <w:t xml:space="preserve"> was added and revisions were made to ensure the consistent application of the terms </w:t>
      </w:r>
      <w:r>
        <w:t>“</w:t>
      </w:r>
      <w:r w:rsidRPr="009C6694">
        <w:t>Balancing Authority</w:t>
      </w:r>
      <w:r>
        <w:t>”</w:t>
      </w:r>
      <w:r w:rsidRPr="009C6694">
        <w:t xml:space="preserve"> and </w:t>
      </w:r>
      <w:r>
        <w:t>“</w:t>
      </w:r>
      <w:r w:rsidRPr="009C6694">
        <w:t>Reliability Coordinator.</w:t>
      </w:r>
      <w:r>
        <w:t>”</w:t>
      </w:r>
      <w:r w:rsidRPr="009C6694">
        <w:rPr>
          <w:rStyle w:val="FootnoteReference"/>
        </w:rPr>
        <w:footnoteReference w:id="43"/>
      </w:r>
      <w:r w:rsidRPr="009C6694">
        <w:t xml:space="preserve">  We propose to incorporate by reference Version 003 of these standards into the Commission’s regulations.</w:t>
      </w:r>
    </w:p>
    <w:p w:rsidR="007E42E9" w:rsidRPr="00AE464E" w:rsidRDefault="007E42E9" w:rsidP="004A0AC8">
      <w:pPr>
        <w:pStyle w:val="Heading3"/>
        <w:numPr>
          <w:ilvl w:val="2"/>
          <w:numId w:val="47"/>
        </w:numPr>
        <w:ind w:firstLine="0"/>
      </w:pPr>
      <w:bookmarkStart w:id="26" w:name="_bmk13"/>
      <w:bookmarkStart w:id="27" w:name="_Toc360605874"/>
      <w:r w:rsidRPr="00AE464E">
        <w:t>P</w:t>
      </w:r>
      <w:bookmarkEnd w:id="26"/>
      <w:r w:rsidRPr="00AE464E">
        <w:t>ublic Key Infrastructure (PKI) Standards</w:t>
      </w:r>
      <w:bookmarkEnd w:id="27"/>
    </w:p>
    <w:p w:rsidR="007E42E9" w:rsidRDefault="007E42E9" w:rsidP="004E3918">
      <w:pPr>
        <w:pStyle w:val="FERCparanumber"/>
        <w:widowControl w:val="0"/>
        <w:numPr>
          <w:ilvl w:val="0"/>
          <w:numId w:val="25"/>
        </w:numPr>
        <w:ind w:left="0" w:firstLine="0"/>
      </w:pPr>
      <w:r>
        <w:t>NAESB first developed Public Key Infrastructure (PKI) Standards in 2007 and the Commission incorporated the PKI standard (Standard WEQ-12), Version 001, by reference into its regulations in Order No. 676-C.</w:t>
      </w:r>
      <w:r>
        <w:rPr>
          <w:rStyle w:val="FootnoteReference"/>
        </w:rPr>
        <w:footnoteReference w:id="44"/>
      </w:r>
      <w:r>
        <w:t xml:space="preserve">  The </w:t>
      </w:r>
      <w:r w:rsidRPr="00130A27">
        <w:t xml:space="preserve">NAESB PKI Standards incorporated by reference </w:t>
      </w:r>
      <w:r>
        <w:t xml:space="preserve">by the Commission </w:t>
      </w:r>
      <w:r w:rsidRPr="00130A27">
        <w:t>in Order No. 676-C</w:t>
      </w:r>
      <w:r>
        <w:t xml:space="preserve"> were limited to requirements that an </w:t>
      </w:r>
      <w:r w:rsidRPr="00130A27">
        <w:t xml:space="preserve">Authorized Certification Authority </w:t>
      </w:r>
      <w:r>
        <w:t xml:space="preserve">(ACA) </w:t>
      </w:r>
      <w:r w:rsidRPr="00130A27">
        <w:t>must meet in order to issue certificates that are compliant with the NAESB PKI Standards</w:t>
      </w:r>
      <w:r>
        <w:t xml:space="preserve"> </w:t>
      </w:r>
      <w:r w:rsidRPr="00130A27">
        <w:t>and the minimum physical characteristics that a certificate must meet in order to achieve compliance with the NAESB PKI Standards.</w:t>
      </w:r>
      <w:r>
        <w:rPr>
          <w:rStyle w:val="FootnoteReference"/>
        </w:rPr>
        <w:footnoteReference w:id="45"/>
      </w:r>
      <w:r>
        <w:t xml:space="preserve">  These standards did not identify business transactions by public utilities that required the use of PKI.</w:t>
      </w:r>
    </w:p>
    <w:p w:rsidR="007E42E9" w:rsidRDefault="007E42E9" w:rsidP="00286331">
      <w:pPr>
        <w:pStyle w:val="FERCparanumber"/>
        <w:widowControl w:val="0"/>
        <w:numPr>
          <w:ilvl w:val="0"/>
          <w:numId w:val="0"/>
        </w:numPr>
      </w:pPr>
    </w:p>
    <w:p w:rsidR="007E42E9" w:rsidRDefault="007E42E9" w:rsidP="004E3918">
      <w:pPr>
        <w:pStyle w:val="FERCparanumber"/>
        <w:widowControl w:val="0"/>
        <w:numPr>
          <w:ilvl w:val="0"/>
          <w:numId w:val="25"/>
        </w:numPr>
        <w:ind w:left="0" w:firstLine="0"/>
      </w:pPr>
      <w:r>
        <w:t>On rehearing, in Order No. 676-D, the Commission explained that the NAESB standards apply to Certificate Authorities seeking certification from NAESB, but did not require that public utilities use PKI.  The Commission explained:  “t</w:t>
      </w:r>
      <w:r w:rsidRPr="00B03A65">
        <w:t xml:space="preserve">he PKI Standards are designed to provide uniform standards for an encryption system that companies can, </w:t>
      </w:r>
      <w:r w:rsidRPr="00B03A65">
        <w:rPr>
          <w:u w:val="single"/>
        </w:rPr>
        <w:t>but are not required to, use</w:t>
      </w:r>
      <w:r w:rsidRPr="00B03A65">
        <w:t xml:space="preserve"> to enhance security for business transactions taking place over the Internet.</w:t>
      </w:r>
      <w:r>
        <w:t>” (emphasis added).</w:t>
      </w:r>
      <w:r>
        <w:rPr>
          <w:rStyle w:val="FootnoteReference"/>
        </w:rPr>
        <w:footnoteReference w:id="46"/>
      </w:r>
      <w:r w:rsidRPr="00B03A65">
        <w:t> </w:t>
      </w:r>
      <w:r>
        <w:t xml:space="preserve"> The Commission further explained that “[t]</w:t>
      </w:r>
      <w:r w:rsidRPr="00B03A65">
        <w:t>he standards do not require that public utilities use PKI for all business transactions over the Internet and the standards permit public utilities to conduct business transactions over the Internet that do not involve the use of</w:t>
      </w:r>
      <w:r>
        <w:t xml:space="preserve"> [ACAs]</w:t>
      </w:r>
      <w:r w:rsidRPr="00B03A65">
        <w:t>.</w:t>
      </w:r>
      <w:r>
        <w:t>”</w:t>
      </w:r>
      <w:r>
        <w:rPr>
          <w:rStyle w:val="FootnoteReference"/>
        </w:rPr>
        <w:footnoteReference w:id="47"/>
      </w:r>
    </w:p>
    <w:p w:rsidR="007E42E9" w:rsidRDefault="007E42E9" w:rsidP="004E3918">
      <w:pPr>
        <w:pStyle w:val="FERCparanumber"/>
        <w:numPr>
          <w:ilvl w:val="0"/>
          <w:numId w:val="25"/>
        </w:numPr>
        <w:ind w:left="0" w:firstLine="0"/>
      </w:pPr>
      <w:r>
        <w:t xml:space="preserve">In a series of filings, NAESB reported on its updated PKI standards for Version 003.  The revised standards are divided into two sections.  First, Standard WEQ-012 specifies those transactions for which public utilities need to use PKI.  The WEQ-012 standards specify the minimum authentication requirements that </w:t>
      </w:r>
      <w:r w:rsidRPr="00F653D4">
        <w:t>end entities</w:t>
      </w:r>
      <w:r>
        <w:rPr>
          <w:rStyle w:val="FootnoteReference"/>
        </w:rPr>
        <w:footnoteReference w:id="48"/>
      </w:r>
      <w:r>
        <w:t xml:space="preserve"> must meet when conducting transactions under NAESB Business Practice Standards defined in Standards </w:t>
      </w:r>
      <w:r w:rsidRPr="001F4C6A">
        <w:t>WEQ-000</w:t>
      </w:r>
      <w:r>
        <w:t xml:space="preserve">, </w:t>
      </w:r>
      <w:r w:rsidRPr="001F4C6A">
        <w:t>WEQ-001</w:t>
      </w:r>
      <w:r>
        <w:t xml:space="preserve">, </w:t>
      </w:r>
      <w:r w:rsidRPr="001F4C6A">
        <w:t>WEQ-002</w:t>
      </w:r>
      <w:r>
        <w:t>,</w:t>
      </w:r>
      <w:r w:rsidRPr="001F4C6A">
        <w:t xml:space="preserve"> WEQ-003</w:t>
      </w:r>
      <w:r>
        <w:t>,</w:t>
      </w:r>
      <w:r w:rsidRPr="001F4C6A">
        <w:t xml:space="preserve"> WEQ-004</w:t>
      </w:r>
      <w:r>
        <w:t xml:space="preserve"> and</w:t>
      </w:r>
      <w:r w:rsidRPr="001F4C6A">
        <w:t xml:space="preserve"> WEQ-013</w:t>
      </w:r>
      <w:r>
        <w:t>.  This includes the use of PKI in communicating with the Electric Industry Registry (EIR) of commercial transaction information useful for electronic tagging.</w:t>
      </w:r>
      <w:r>
        <w:rPr>
          <w:rStyle w:val="FootnoteReference"/>
        </w:rPr>
        <w:footnoteReference w:id="49"/>
      </w:r>
      <w:r>
        <w:t xml:space="preserve">  Under these standards, for these specific purposes, public utilities need to use NAESB-certified ACAs for PKI.</w:t>
      </w:r>
    </w:p>
    <w:p w:rsidR="007E42E9" w:rsidRDefault="007E42E9" w:rsidP="004E3918">
      <w:pPr>
        <w:pStyle w:val="FERCparanumber"/>
        <w:numPr>
          <w:ilvl w:val="0"/>
          <w:numId w:val="25"/>
        </w:numPr>
        <w:ind w:left="0" w:firstLine="0"/>
      </w:pPr>
      <w:r>
        <w:t xml:space="preserve">Second, NAESB developed </w:t>
      </w:r>
      <w:r w:rsidRPr="008F2946">
        <w:t xml:space="preserve">ACA Accreditation Requirements and ACA Process </w:t>
      </w:r>
      <w:r>
        <w:t>requirements that ACAs must meet to receive certification from NAESB.  NAESB has not adopted these accreditation requirements as standards.</w:t>
      </w:r>
    </w:p>
    <w:p w:rsidR="007E42E9" w:rsidRDefault="007E42E9" w:rsidP="004E3918">
      <w:pPr>
        <w:pStyle w:val="FERCparanumber"/>
        <w:numPr>
          <w:ilvl w:val="0"/>
          <w:numId w:val="25"/>
        </w:numPr>
        <w:ind w:left="0" w:firstLine="0"/>
      </w:pPr>
      <w:r>
        <w:t>NAESB explains</w:t>
      </w:r>
      <w:r>
        <w:rPr>
          <w:rStyle w:val="FootnoteReference"/>
        </w:rPr>
        <w:footnoteReference w:id="50"/>
      </w:r>
      <w:r>
        <w:t xml:space="preserve"> that, g</w:t>
      </w:r>
      <w:r w:rsidRPr="004433DE">
        <w:t xml:space="preserve">iven the importance and inter-play of OASIS, electronic tagging, and the EIR, a common PKI standard used to secure access </w:t>
      </w:r>
      <w:r>
        <w:t>is</w:t>
      </w:r>
      <w:r w:rsidRPr="004433DE">
        <w:t xml:space="preserve"> a significant </w:t>
      </w:r>
      <w:r>
        <w:t>improvement</w:t>
      </w:r>
      <w:r w:rsidRPr="004433DE">
        <w:t xml:space="preserve"> over simple user name and password authentication in common use. </w:t>
      </w:r>
      <w:r>
        <w:t xml:space="preserve"> NAESB states that its</w:t>
      </w:r>
      <w:r w:rsidRPr="004433DE">
        <w:t xml:space="preserve"> PKI program provides assurance that </w:t>
      </w:r>
      <w:r>
        <w:t xml:space="preserve">(1) </w:t>
      </w:r>
      <w:r w:rsidRPr="004433DE">
        <w:t xml:space="preserve">the party initiating a data exchange is positively identified by </w:t>
      </w:r>
      <w:r>
        <w:t>its</w:t>
      </w:r>
      <w:r w:rsidRPr="004433DE">
        <w:t xml:space="preserve"> electronic certificate, </w:t>
      </w:r>
      <w:r>
        <w:t xml:space="preserve">(2) </w:t>
      </w:r>
      <w:r w:rsidRPr="004433DE">
        <w:t xml:space="preserve">the data exchanged is encrypted and unaltered in transit, and </w:t>
      </w:r>
      <w:r>
        <w:t xml:space="preserve">(3) each party to the transaction (i.e, </w:t>
      </w:r>
      <w:r w:rsidRPr="004433DE">
        <w:t>the initiating</w:t>
      </w:r>
      <w:r>
        <w:t xml:space="preserve"> </w:t>
      </w:r>
      <w:r w:rsidRPr="004433DE">
        <w:t xml:space="preserve">party </w:t>
      </w:r>
      <w:r>
        <w:t>and</w:t>
      </w:r>
      <w:r w:rsidRPr="004433DE">
        <w:t xml:space="preserve"> the counter-party</w:t>
      </w:r>
      <w:r>
        <w:t>)</w:t>
      </w:r>
      <w:r w:rsidRPr="004433DE">
        <w:t xml:space="preserve"> is the intended recipient of the information exchanged, through mutual authentication. </w:t>
      </w:r>
      <w:r>
        <w:t xml:space="preserve"> NAESB further explains that t</w:t>
      </w:r>
      <w:r w:rsidRPr="004433DE">
        <w:t xml:space="preserve">his mutual authentication process allows two entities or computers, in this case, the end entity and the service provider operating the system, to authenticate the identities </w:t>
      </w:r>
      <w:r>
        <w:t>of</w:t>
      </w:r>
      <w:r w:rsidRPr="004433DE">
        <w:t xml:space="preserve"> one another through challenge-response protocols.</w:t>
      </w:r>
    </w:p>
    <w:p w:rsidR="007E42E9" w:rsidRDefault="007E42E9" w:rsidP="004E3918">
      <w:pPr>
        <w:pStyle w:val="FERCparanumber"/>
        <w:numPr>
          <w:ilvl w:val="0"/>
          <w:numId w:val="25"/>
        </w:numPr>
        <w:ind w:left="0" w:firstLine="0"/>
      </w:pPr>
      <w:r>
        <w:t>Given the improvement represented by the revised standards over the Version 002 standards, we propose to incorporate by reference the NAESB WEQ-012 standards.  These standards, when adopted, will require public utilities to conduct transactions securely when using the internet and will eliminate confusion over which transactions involving public utilities must follow the approved PKI procedures to secure their transactions.  We also understand the necessity for the standards to require that all ACAs be certified under a common set of certification requirements so that all participants have a common list of ACAs from which they can choose.  Having a common list of ACAs enhances the efficiency of transactions as each party can be assured that a counter party’s certificate meets these minimum requirements.</w:t>
      </w:r>
      <w:r>
        <w:rPr>
          <w:rStyle w:val="FootnoteReference"/>
        </w:rPr>
        <w:footnoteReference w:id="51"/>
      </w:r>
      <w:r>
        <w:t xml:space="preserve">  While we find that NAESB’s certification provides efficiency benefits, we are not proposing to incorporate by reference the NAESB </w:t>
      </w:r>
      <w:r w:rsidRPr="008F2946">
        <w:t>ACA Accreditation Requirements and ACA Process</w:t>
      </w:r>
      <w:r>
        <w:t xml:space="preserve"> requirements, as NAESB has not adopted these requirements as standards and the Commission does not have jurisdiction over ACAs.</w:t>
      </w:r>
      <w:r>
        <w:rPr>
          <w:rStyle w:val="FootnoteReference"/>
        </w:rPr>
        <w:footnoteReference w:id="52"/>
      </w:r>
    </w:p>
    <w:p w:rsidR="007E42E9" w:rsidRDefault="007E42E9" w:rsidP="004A0AC8">
      <w:pPr>
        <w:pStyle w:val="Heading3"/>
        <w:numPr>
          <w:ilvl w:val="2"/>
          <w:numId w:val="47"/>
        </w:numPr>
        <w:ind w:firstLine="0"/>
      </w:pPr>
      <w:bookmarkStart w:id="28" w:name="_bmk14"/>
      <w:bookmarkStart w:id="29" w:name="_Toc360605875"/>
      <w:r w:rsidRPr="00AE464E">
        <w:t>S</w:t>
      </w:r>
      <w:bookmarkEnd w:id="28"/>
      <w:r w:rsidRPr="00AE464E">
        <w:t>mart Grid Standards</w:t>
      </w:r>
      <w:bookmarkEnd w:id="29"/>
    </w:p>
    <w:p w:rsidR="007E42E9" w:rsidRPr="00CF679E" w:rsidRDefault="007E42E9" w:rsidP="00CF679E">
      <w:pPr>
        <w:pStyle w:val="FERCparanumber"/>
        <w:numPr>
          <w:ilvl w:val="0"/>
          <w:numId w:val="25"/>
        </w:numPr>
        <w:ind w:left="0" w:firstLine="0"/>
        <w:rPr>
          <w:szCs w:val="26"/>
        </w:rPr>
      </w:pPr>
      <w:r w:rsidRPr="00CF679E">
        <w:rPr>
          <w:szCs w:val="26"/>
        </w:rPr>
        <w:t>The NAESB WEQ Version 003 Business Practice Standards include five</w:t>
      </w:r>
      <w:r>
        <w:rPr>
          <w:szCs w:val="26"/>
        </w:rPr>
        <w:t xml:space="preserve"> wholesale</w:t>
      </w:r>
      <w:r w:rsidRPr="00CF679E">
        <w:rPr>
          <w:szCs w:val="26"/>
        </w:rPr>
        <w:t xml:space="preserve"> business practice standards </w:t>
      </w:r>
      <w:r>
        <w:rPr>
          <w:szCs w:val="26"/>
        </w:rPr>
        <w:t>related to S</w:t>
      </w:r>
      <w:r w:rsidRPr="00CF679E">
        <w:rPr>
          <w:szCs w:val="26"/>
        </w:rPr>
        <w:t xml:space="preserve">mart </w:t>
      </w:r>
      <w:r>
        <w:rPr>
          <w:szCs w:val="26"/>
        </w:rPr>
        <w:t>G</w:t>
      </w:r>
      <w:r w:rsidRPr="00CF679E">
        <w:rPr>
          <w:szCs w:val="26"/>
        </w:rPr>
        <w:t xml:space="preserve">rid </w:t>
      </w:r>
      <w:r>
        <w:rPr>
          <w:szCs w:val="26"/>
        </w:rPr>
        <w:t xml:space="preserve"> that </w:t>
      </w:r>
      <w:r w:rsidRPr="00CF679E">
        <w:rPr>
          <w:szCs w:val="26"/>
        </w:rPr>
        <w:t>define use cases, data requirements, and a common model to represent customer energy usage:</w:t>
      </w:r>
      <w:r w:rsidRPr="00CF679E">
        <w:rPr>
          <w:b/>
          <w:szCs w:val="26"/>
          <w:vertAlign w:val="superscript"/>
        </w:rPr>
        <w:footnoteReference w:id="53"/>
      </w:r>
    </w:p>
    <w:p w:rsidR="007E42E9" w:rsidRPr="00CF679E" w:rsidRDefault="007E42E9" w:rsidP="00CF679E">
      <w:pPr>
        <w:pStyle w:val="FERCparanumber"/>
        <w:numPr>
          <w:ilvl w:val="0"/>
          <w:numId w:val="55"/>
        </w:numPr>
        <w:rPr>
          <w:szCs w:val="26"/>
        </w:rPr>
      </w:pPr>
      <w:r w:rsidRPr="00CF679E">
        <w:rPr>
          <w:szCs w:val="26"/>
        </w:rPr>
        <w:t>NAESB WEQ-016 – Specifications for Common Electricity Product and Pricing Definition;</w:t>
      </w:r>
    </w:p>
    <w:p w:rsidR="007E42E9" w:rsidRPr="00CF679E" w:rsidRDefault="007E42E9" w:rsidP="00CF679E">
      <w:pPr>
        <w:pStyle w:val="FERCparanumber"/>
        <w:numPr>
          <w:ilvl w:val="0"/>
          <w:numId w:val="55"/>
        </w:numPr>
        <w:rPr>
          <w:szCs w:val="26"/>
        </w:rPr>
      </w:pPr>
      <w:r w:rsidRPr="00CF679E">
        <w:rPr>
          <w:szCs w:val="26"/>
        </w:rPr>
        <w:t>NAESB WEQ-017 – Specifications for Common Schedule Communication Mechanism for Energy Transactions;</w:t>
      </w:r>
    </w:p>
    <w:p w:rsidR="007E42E9" w:rsidRPr="00CF679E" w:rsidRDefault="007E42E9" w:rsidP="00CF679E">
      <w:pPr>
        <w:pStyle w:val="FERCparanumber"/>
        <w:numPr>
          <w:ilvl w:val="0"/>
          <w:numId w:val="55"/>
        </w:numPr>
        <w:rPr>
          <w:szCs w:val="26"/>
        </w:rPr>
      </w:pPr>
      <w:r w:rsidRPr="00CF679E">
        <w:rPr>
          <w:szCs w:val="26"/>
        </w:rPr>
        <w:t>NAESB WEQ-018 – Specifications for Wholesale Standard Demand Response Signals;</w:t>
      </w:r>
    </w:p>
    <w:p w:rsidR="007E42E9" w:rsidRPr="00CF679E" w:rsidRDefault="007E42E9" w:rsidP="00CF679E">
      <w:pPr>
        <w:pStyle w:val="FERCparanumber"/>
        <w:numPr>
          <w:ilvl w:val="0"/>
          <w:numId w:val="55"/>
        </w:numPr>
        <w:rPr>
          <w:szCs w:val="26"/>
        </w:rPr>
      </w:pPr>
      <w:r w:rsidRPr="00CF679E">
        <w:rPr>
          <w:szCs w:val="26"/>
        </w:rPr>
        <w:t>NAESB WEQ-019 – Customer Energy Usage Information Communication; and</w:t>
      </w:r>
    </w:p>
    <w:p w:rsidR="007E42E9" w:rsidRPr="00CF679E" w:rsidRDefault="007E42E9" w:rsidP="00CF679E">
      <w:pPr>
        <w:pStyle w:val="FERCparanumber"/>
        <w:numPr>
          <w:ilvl w:val="0"/>
          <w:numId w:val="55"/>
        </w:numPr>
        <w:rPr>
          <w:szCs w:val="26"/>
        </w:rPr>
      </w:pPr>
      <w:r w:rsidRPr="00CF679E">
        <w:rPr>
          <w:szCs w:val="26"/>
        </w:rPr>
        <w:t>NAESB WEQ-020 – Smart Grid Standards Data Elements Table.</w:t>
      </w:r>
    </w:p>
    <w:p w:rsidR="007E42E9" w:rsidRPr="001877A3" w:rsidRDefault="007E42E9" w:rsidP="001877A3">
      <w:pPr>
        <w:pStyle w:val="FERCparanumber"/>
        <w:numPr>
          <w:ilvl w:val="0"/>
          <w:numId w:val="25"/>
        </w:numPr>
        <w:ind w:left="0" w:firstLine="0"/>
        <w:rPr>
          <w:szCs w:val="26"/>
        </w:rPr>
      </w:pPr>
      <w:r>
        <w:rPr>
          <w:szCs w:val="26"/>
        </w:rPr>
        <w:t>W</w:t>
      </w:r>
      <w:r w:rsidRPr="00CF679E">
        <w:rPr>
          <w:szCs w:val="26"/>
        </w:rPr>
        <w:t>e propose</w:t>
      </w:r>
      <w:r>
        <w:rPr>
          <w:szCs w:val="26"/>
        </w:rPr>
        <w:t>,</w:t>
      </w:r>
      <w:r w:rsidRPr="00CF679E">
        <w:rPr>
          <w:szCs w:val="26"/>
        </w:rPr>
        <w:t xml:space="preserve"> in this NOPR</w:t>
      </w:r>
      <w:r>
        <w:rPr>
          <w:szCs w:val="26"/>
        </w:rPr>
        <w:t>,</w:t>
      </w:r>
      <w:r w:rsidRPr="00CF679E">
        <w:rPr>
          <w:szCs w:val="26"/>
        </w:rPr>
        <w:t xml:space="preserve"> to incorporate by reference standards WEQ-016, WEQ-017, WEQ-018, WEQ-019 and WEQ-020 into the Commission’s regulations.</w:t>
      </w:r>
      <w:r>
        <w:rPr>
          <w:szCs w:val="26"/>
        </w:rPr>
        <w:t xml:space="preserve"> </w:t>
      </w:r>
      <w:r w:rsidRPr="001877A3">
        <w:rPr>
          <w:sz w:val="22"/>
          <w:szCs w:val="22"/>
        </w:rPr>
        <w:t xml:space="preserve"> </w:t>
      </w:r>
      <w:r w:rsidRPr="001877A3">
        <w:rPr>
          <w:szCs w:val="26"/>
        </w:rPr>
        <w:t>The Commission notes that NAESB ratified changes to Standard WEQ-019 on March 21, 2013.  We understand that this standard provides for energy usage information and this revision is consistent with the Green Button Initiative, promoted by the White House Office of Science and Technology Policy,</w:t>
      </w:r>
      <w:r>
        <w:rPr>
          <w:rStyle w:val="FootnoteReference"/>
        </w:rPr>
        <w:footnoteReference w:id="54"/>
      </w:r>
      <w:r w:rsidRPr="001877A3">
        <w:rPr>
          <w:szCs w:val="26"/>
        </w:rPr>
        <w:t xml:space="preserve"> which allows consumers access to their energy usage information.  These standards will not only be used by the wholesale electric industry, but also are important initiatives for use in ongoing utility programs for consumer data access.  We, therefore, invite comment on whether the Commission should incorporate by reference the version of Standard WEQ-019 ratified by NAESB membership on March 21, 2013, rather than the version contained in Version 003.</w:t>
      </w:r>
    </w:p>
    <w:p w:rsidR="007E42E9" w:rsidRPr="00AE464E" w:rsidRDefault="007E42E9" w:rsidP="004A0AC8">
      <w:pPr>
        <w:pStyle w:val="Heading3"/>
        <w:numPr>
          <w:ilvl w:val="2"/>
          <w:numId w:val="47"/>
        </w:numPr>
        <w:ind w:firstLine="0"/>
      </w:pPr>
      <w:bookmarkStart w:id="30" w:name="_bmk15"/>
      <w:bookmarkStart w:id="31" w:name="_Toc360605876"/>
      <w:r w:rsidRPr="00AE464E">
        <w:t>S</w:t>
      </w:r>
      <w:bookmarkEnd w:id="30"/>
      <w:r w:rsidRPr="00AE464E">
        <w:t>tandards Related to Terms, Definition and Acronyms</w:t>
      </w:r>
      <w:bookmarkEnd w:id="31"/>
    </w:p>
    <w:p w:rsidR="007E42E9" w:rsidRPr="00F653D4" w:rsidRDefault="007E42E9" w:rsidP="00B96AAF">
      <w:pPr>
        <w:pStyle w:val="FERCparanumber"/>
        <w:widowControl w:val="0"/>
        <w:numPr>
          <w:ilvl w:val="0"/>
          <w:numId w:val="25"/>
        </w:numPr>
        <w:ind w:left="0" w:firstLine="0"/>
        <w:rPr>
          <w:color w:val="000000"/>
        </w:rPr>
      </w:pPr>
      <w:r>
        <w:rPr>
          <w:szCs w:val="26"/>
        </w:rPr>
        <w:t>The Version 003 WEQ Business Practice Standards</w:t>
      </w:r>
      <w:r w:rsidRPr="00DB7DA5">
        <w:rPr>
          <w:szCs w:val="26"/>
        </w:rPr>
        <w:t xml:space="preserve"> create a common location for all abbreviations, acronyms and</w:t>
      </w:r>
      <w:r>
        <w:t xml:space="preserve"> </w:t>
      </w:r>
      <w:r w:rsidRPr="00DB7DA5">
        <w:rPr>
          <w:szCs w:val="26"/>
        </w:rPr>
        <w:t xml:space="preserve">definitions of terms and </w:t>
      </w:r>
      <w:r>
        <w:rPr>
          <w:szCs w:val="26"/>
        </w:rPr>
        <w:t>houses this information in a newly created standard</w:t>
      </w:r>
      <w:r w:rsidRPr="00DB7DA5">
        <w:rPr>
          <w:szCs w:val="26"/>
        </w:rPr>
        <w:t xml:space="preserve"> WEQ-000.  </w:t>
      </w:r>
      <w:r>
        <w:rPr>
          <w:szCs w:val="26"/>
        </w:rPr>
        <w:t>In accordance with Commission guidance.</w:t>
      </w:r>
      <w:r>
        <w:rPr>
          <w:rStyle w:val="FootnoteReference"/>
        </w:rPr>
        <w:footnoteReference w:id="55"/>
      </w:r>
      <w:r>
        <w:rPr>
          <w:szCs w:val="26"/>
        </w:rPr>
        <w:t xml:space="preserve">  </w:t>
      </w:r>
      <w:r w:rsidRPr="00DB7DA5">
        <w:rPr>
          <w:szCs w:val="26"/>
        </w:rPr>
        <w:t xml:space="preserve">NAESB also set out to ensure definition consistencies internally and with the NERC Glossary and revised </w:t>
      </w:r>
      <w:r>
        <w:rPr>
          <w:szCs w:val="26"/>
        </w:rPr>
        <w:t xml:space="preserve">the </w:t>
      </w:r>
      <w:r w:rsidRPr="00DB7DA5">
        <w:rPr>
          <w:szCs w:val="26"/>
        </w:rPr>
        <w:t>NAESB definitions accordingly.</w:t>
      </w:r>
    </w:p>
    <w:p w:rsidR="007E42E9" w:rsidRPr="00F653D4" w:rsidRDefault="007E42E9" w:rsidP="004A0AC8">
      <w:pPr>
        <w:pStyle w:val="Heading3"/>
        <w:numPr>
          <w:ilvl w:val="2"/>
          <w:numId w:val="47"/>
        </w:numPr>
        <w:ind w:firstLine="0"/>
      </w:pPr>
      <w:bookmarkStart w:id="32" w:name="_Toc360605877"/>
      <w:r w:rsidRPr="00F653D4">
        <w:t>Commission Proposal</w:t>
      </w:r>
      <w:bookmarkEnd w:id="32"/>
    </w:p>
    <w:p w:rsidR="007E42E9" w:rsidRPr="00B96AAF" w:rsidRDefault="007E42E9" w:rsidP="00B96AAF">
      <w:pPr>
        <w:pStyle w:val="FERCparanumber"/>
        <w:widowControl w:val="0"/>
        <w:numPr>
          <w:ilvl w:val="0"/>
          <w:numId w:val="25"/>
        </w:numPr>
        <w:ind w:left="0" w:firstLine="0"/>
        <w:rPr>
          <w:color w:val="000000"/>
        </w:rPr>
      </w:pPr>
      <w:r w:rsidRPr="00081740">
        <w:rPr>
          <w:color w:val="000000"/>
        </w:rPr>
        <w:t>With the exceptions noted, we propose to incorporate by reference Version 003 of these standards into the Commission’s regulations.</w:t>
      </w:r>
    </w:p>
    <w:p w:rsidR="007E42E9" w:rsidRPr="005B5565" w:rsidRDefault="007E42E9" w:rsidP="004A0AC8">
      <w:pPr>
        <w:pStyle w:val="Heading2"/>
        <w:numPr>
          <w:ilvl w:val="1"/>
          <w:numId w:val="47"/>
        </w:numPr>
        <w:tabs>
          <w:tab w:val="clear" w:pos="1080"/>
          <w:tab w:val="num" w:pos="1440"/>
        </w:tabs>
        <w:ind w:left="1440"/>
      </w:pPr>
      <w:bookmarkStart w:id="33" w:name="_bmk16"/>
      <w:bookmarkStart w:id="34" w:name="_Toc360605878"/>
      <w:r>
        <w:t>I</w:t>
      </w:r>
      <w:bookmarkEnd w:id="33"/>
      <w:r>
        <w:t>mplementation</w:t>
      </w:r>
      <w:bookmarkEnd w:id="34"/>
    </w:p>
    <w:p w:rsidR="007E42E9" w:rsidRDefault="007E42E9" w:rsidP="004E3918">
      <w:pPr>
        <w:pStyle w:val="FERCparanumber"/>
        <w:widowControl w:val="0"/>
        <w:numPr>
          <w:ilvl w:val="0"/>
          <w:numId w:val="25"/>
        </w:numPr>
        <w:ind w:left="0" w:firstLine="0"/>
      </w:pPr>
      <w:r>
        <w:t>Consistent with our past practice, we propose that, once the Commission incorporates these standards by reference into its regulations, public utilities must implement these standards even before they have updated their tariffs to incorporate these changes.  The Commission is also proposing, consistent with our regulation at 18 CFR 35.28(c)(1)(vii), to require each public utility to revise its OATT to include the Version 003 standards that we are proposing to incorporate by reference herein.  For standards that do not require implementing tariff provisions, the Commission is proposing to permit the public utility to incorporate the WEQ standard by reference in its OATT.  We are not, however, proposing to require a separate tariff filing to accomplish this change.  Consistent with our prior practice, we are proposing to give public utilities the option of including these changes as part of an unrelated tariff filing.</w:t>
      </w:r>
      <w:r>
        <w:rPr>
          <w:rStyle w:val="FootnoteReference"/>
        </w:rPr>
        <w:footnoteReference w:id="56"/>
      </w:r>
    </w:p>
    <w:p w:rsidR="007E42E9" w:rsidRDefault="007E42E9" w:rsidP="00F362BB">
      <w:pPr>
        <w:pStyle w:val="Heading1"/>
        <w:numPr>
          <w:ilvl w:val="0"/>
          <w:numId w:val="47"/>
        </w:numPr>
      </w:pPr>
      <w:bookmarkStart w:id="35" w:name="_bmk17"/>
      <w:bookmarkStart w:id="36" w:name="_Toc360605879"/>
      <w:r w:rsidRPr="00E33FAD">
        <w:t>N</w:t>
      </w:r>
      <w:bookmarkEnd w:id="35"/>
      <w:r w:rsidRPr="00E33FAD">
        <w:t xml:space="preserve">otice </w:t>
      </w:r>
      <w:r>
        <w:t>o</w:t>
      </w:r>
      <w:r w:rsidRPr="00E33FAD">
        <w:t xml:space="preserve">f Use </w:t>
      </w:r>
      <w:r>
        <w:t>o</w:t>
      </w:r>
      <w:r w:rsidRPr="00E33FAD">
        <w:t>f Voluntary Consensus Standards</w:t>
      </w:r>
      <w:bookmarkEnd w:id="36"/>
    </w:p>
    <w:p w:rsidR="007E42E9" w:rsidRDefault="007E42E9" w:rsidP="004E3918">
      <w:pPr>
        <w:pStyle w:val="FERCparanumber"/>
        <w:widowControl w:val="0"/>
        <w:numPr>
          <w:ilvl w:val="0"/>
          <w:numId w:val="25"/>
        </w:numPr>
        <w:ind w:left="0" w:firstLine="0"/>
      </w:pPr>
      <w:r w:rsidRPr="007B16E9">
        <w:t>The NAESB W</w:t>
      </w:r>
      <w:r>
        <w:t>E</w:t>
      </w:r>
      <w:r w:rsidRPr="007B16E9">
        <w:t xml:space="preserve">Q </w:t>
      </w:r>
      <w:r>
        <w:t>Version 003 Business Practice</w:t>
      </w:r>
      <w:r w:rsidRPr="007B16E9">
        <w:t xml:space="preserve"> </w:t>
      </w:r>
      <w:r>
        <w:t>S</w:t>
      </w:r>
      <w:r w:rsidRPr="007B16E9">
        <w:t xml:space="preserve">tandards </w:t>
      </w:r>
      <w:r>
        <w:t xml:space="preserve">were adopted by NAESB </w:t>
      </w:r>
      <w:r w:rsidRPr="007B16E9">
        <w:t>under NAESB's consensus procedures.</w:t>
      </w:r>
      <w:r w:rsidRPr="00CD025D">
        <w:rPr>
          <w:rStyle w:val="FootnoteReference"/>
        </w:rPr>
        <w:footnoteReference w:id="57"/>
      </w:r>
      <w:r w:rsidRPr="007B16E9">
        <w:t xml:space="preserve">  As the Commission found in Order No. </w:t>
      </w:r>
      <w:r>
        <w:t>676</w:t>
      </w:r>
      <w:r w:rsidRPr="007B16E9">
        <w:t xml:space="preserve">, adoption of consensus standards is appropriate because the consensus process helps ensure the reasonableness of the standards by requiring that the standards draw support from a broad spectrum of all segments of the industry.  Moreover, since the industry itself has to conduct business under these standards, the Commission's regulations should reflect those standards that have the widest possible support.  In </w:t>
      </w:r>
      <w:r>
        <w:t xml:space="preserve">section </w:t>
      </w:r>
      <w:r w:rsidRPr="007B16E9">
        <w:t>12(d) of the National Technology Transfer and Advancement Act of 1995, Congress affirmatively requires federal agencies to use technical standards developed by voluntary consensus standards organizations, like NAESB, as means to carry out policy objectives or activities</w:t>
      </w:r>
      <w:r>
        <w:t xml:space="preserve"> unless use of such standards would be inconsistent with applicable law or otherwise impractical</w:t>
      </w:r>
      <w:r w:rsidRPr="007B16E9">
        <w:t>.</w:t>
      </w:r>
      <w:r w:rsidRPr="00CD025D">
        <w:rPr>
          <w:rStyle w:val="FootnoteReference"/>
        </w:rPr>
        <w:footnoteReference w:id="58"/>
      </w:r>
    </w:p>
    <w:p w:rsidR="007E42E9" w:rsidRPr="00E44127" w:rsidRDefault="007E42E9" w:rsidP="00B62EFD">
      <w:pPr>
        <w:pStyle w:val="FERCparanumber"/>
        <w:widowControl w:val="0"/>
        <w:numPr>
          <w:ilvl w:val="0"/>
          <w:numId w:val="0"/>
        </w:numPr>
      </w:pPr>
    </w:p>
    <w:p w:rsidR="007E42E9" w:rsidRPr="00443B3D" w:rsidRDefault="007E42E9" w:rsidP="004E3918">
      <w:pPr>
        <w:pStyle w:val="FERCparanumber"/>
        <w:widowControl w:val="0"/>
        <w:numPr>
          <w:ilvl w:val="0"/>
          <w:numId w:val="25"/>
        </w:numPr>
        <w:ind w:left="0" w:firstLine="0"/>
      </w:pPr>
      <w:r>
        <w:t>Office of Management and Budget Circular A</w:t>
      </w:r>
      <w:r>
        <w:noBreakHyphen/>
        <w:t>119 (section 11) (February 10, 1998) provides that Federal Agencies should publish a request for comment in a NOPR when the agency is seeking to issue or revise a regulation proposing to adopt a voluntary consensus standard or a government-unique standard.  In this NOPR, the Commission is proposing to incorporate by reference a voluntary consensus standard developed by the WEQ.</w:t>
      </w:r>
    </w:p>
    <w:p w:rsidR="007E42E9" w:rsidRPr="00443B3D" w:rsidRDefault="007E42E9" w:rsidP="00F362BB">
      <w:pPr>
        <w:pStyle w:val="Heading1"/>
        <w:numPr>
          <w:ilvl w:val="0"/>
          <w:numId w:val="47"/>
        </w:numPr>
      </w:pPr>
      <w:bookmarkStart w:id="37" w:name="_bmk18"/>
      <w:bookmarkStart w:id="38" w:name="_Toc360605880"/>
      <w:r w:rsidRPr="00443B3D">
        <w:t>I</w:t>
      </w:r>
      <w:bookmarkEnd w:id="37"/>
      <w:r w:rsidRPr="00443B3D">
        <w:t>nformation Collection Statement</w:t>
      </w:r>
      <w:bookmarkEnd w:id="38"/>
    </w:p>
    <w:p w:rsidR="007E42E9" w:rsidRDefault="007E42E9" w:rsidP="004E3918">
      <w:pPr>
        <w:pStyle w:val="FERCparanumber"/>
        <w:numPr>
          <w:ilvl w:val="0"/>
          <w:numId w:val="25"/>
        </w:numPr>
        <w:ind w:left="0" w:firstLine="0"/>
      </w:pPr>
      <w:r w:rsidRPr="00DD4B0C">
        <w:t xml:space="preserve">The following collection of information contained in this proposed rule </w:t>
      </w:r>
      <w:r>
        <w:t>is subject to review by</w:t>
      </w:r>
      <w:r w:rsidRPr="00DD4B0C">
        <w:t xml:space="preserve"> the Office of Management and Budget (OMB) for review under </w:t>
      </w:r>
      <w:r>
        <w:t>s</w:t>
      </w:r>
      <w:r w:rsidRPr="00DD4B0C">
        <w:t xml:space="preserve">ection 3507(d) of the Paperwork Reduction Act of 1995, 44 U.S.C. 3507(d).  </w:t>
      </w:r>
      <w:r w:rsidRPr="0027005B">
        <w:rPr>
          <w:szCs w:val="26"/>
        </w:rPr>
        <w:t>OMB’s regulations require approval of certain information collection requirements imposed by agency rules.</w:t>
      </w:r>
      <w:r w:rsidRPr="0027005B">
        <w:rPr>
          <w:rStyle w:val="FootnoteReference"/>
        </w:rPr>
        <w:footnoteReference w:id="59"/>
      </w:r>
      <w:r>
        <w:rPr>
          <w:szCs w:val="26"/>
        </w:rPr>
        <w:t xml:space="preserve">  </w:t>
      </w:r>
      <w:r w:rsidRPr="0027005B">
        <w:rPr>
          <w:szCs w:val="26"/>
        </w:rPr>
        <w:t>Upon approval of a collection(s) of information, OMB will assign an OMB control number and an expiration date</w:t>
      </w:r>
      <w:r w:rsidRPr="00DD4B0C">
        <w:t xml:space="preserve">.  </w:t>
      </w:r>
      <w:r>
        <w:t>Respondents subject to the filing requirements of this rule will not be penalized for failing to respond to these collections of information unless the collections of information display a valid OMB control number.</w:t>
      </w:r>
    </w:p>
    <w:p w:rsidR="007E42E9" w:rsidRDefault="007E42E9" w:rsidP="004E3918">
      <w:pPr>
        <w:pStyle w:val="FERCparanumber"/>
        <w:numPr>
          <w:ilvl w:val="0"/>
          <w:numId w:val="25"/>
        </w:numPr>
        <w:ind w:left="0" w:firstLine="0"/>
      </w:pPr>
      <w:r w:rsidRPr="00DD4B0C">
        <w:t>The Commission solicits comments on the Commission's need for this information, whether the information will have practical utility, the accuracy of the provided burden estimate</w:t>
      </w:r>
      <w:r>
        <w:t>s</w:t>
      </w:r>
      <w:r w:rsidRPr="00DD4B0C">
        <w:t>, ways to enhance the quality, utility, and clarity of the information to be collected, and any suggested methods for minimizing respondents</w:t>
      </w:r>
      <w:r>
        <w:t>’</w:t>
      </w:r>
      <w:r w:rsidRPr="00DD4B0C">
        <w:t xml:space="preserve"> burden, including the use of automated information techniques.</w:t>
      </w:r>
    </w:p>
    <w:p w:rsidR="007E42E9" w:rsidRDefault="007E42E9" w:rsidP="004E3918">
      <w:pPr>
        <w:pStyle w:val="FERCparanumber"/>
        <w:numPr>
          <w:ilvl w:val="0"/>
          <w:numId w:val="25"/>
        </w:numPr>
        <w:ind w:left="0" w:firstLine="0"/>
      </w:pPr>
      <w:r w:rsidRPr="00DD4B0C">
        <w:t>The following burden estimate</w:t>
      </w:r>
      <w:r>
        <w:t xml:space="preserve"> is</w:t>
      </w:r>
      <w:r w:rsidRPr="00DD4B0C">
        <w:t xml:space="preserve"> </w:t>
      </w:r>
      <w:r>
        <w:t xml:space="preserve">based on </w:t>
      </w:r>
      <w:r w:rsidRPr="00DD4B0C">
        <w:t xml:space="preserve">the </w:t>
      </w:r>
      <w:r>
        <w:t xml:space="preserve">projected </w:t>
      </w:r>
      <w:r w:rsidRPr="00DD4B0C">
        <w:t xml:space="preserve">costs </w:t>
      </w:r>
      <w:r>
        <w:t xml:space="preserve">for the industry </w:t>
      </w:r>
      <w:r w:rsidRPr="00DD4B0C">
        <w:t xml:space="preserve">to implement </w:t>
      </w:r>
      <w:r>
        <w:t>the new and revised business practice standards adopted by NAESB and proposed to be incorporated by reference in this NOPR.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1772"/>
        <w:gridCol w:w="2128"/>
        <w:gridCol w:w="1702"/>
        <w:gridCol w:w="1916"/>
      </w:tblGrid>
      <w:tr w:rsidR="007E42E9" w:rsidRPr="00E44127" w:rsidTr="00F362BB">
        <w:tc>
          <w:tcPr>
            <w:tcW w:w="1950" w:type="dxa"/>
          </w:tcPr>
          <w:p w:rsidR="007E42E9" w:rsidRPr="002A4F39" w:rsidRDefault="007E42E9" w:rsidP="007C0C74">
            <w:pPr>
              <w:rPr>
                <w:b/>
              </w:rPr>
            </w:pPr>
            <w:r w:rsidRPr="000D4A71">
              <w:br w:type="page"/>
            </w:r>
            <w:r w:rsidRPr="000D4A71">
              <w:br w:type="page"/>
            </w:r>
            <w:r w:rsidRPr="000D4A71">
              <w:br w:type="page"/>
            </w:r>
            <w:r w:rsidRPr="002A4F39">
              <w:rPr>
                <w:b/>
              </w:rPr>
              <w:t>Data Collection</w:t>
            </w:r>
          </w:p>
        </w:tc>
        <w:tc>
          <w:tcPr>
            <w:tcW w:w="1772" w:type="dxa"/>
          </w:tcPr>
          <w:p w:rsidR="007E42E9" w:rsidRPr="002A4F39" w:rsidRDefault="007E42E9" w:rsidP="007C0C74">
            <w:pPr>
              <w:rPr>
                <w:b/>
              </w:rPr>
            </w:pPr>
            <w:r w:rsidRPr="002A4F39">
              <w:rPr>
                <w:b/>
              </w:rPr>
              <w:t>No. of Respondents</w:t>
            </w:r>
          </w:p>
          <w:p w:rsidR="007E42E9" w:rsidRPr="002A4F39" w:rsidRDefault="007E42E9" w:rsidP="007C0C74">
            <w:pPr>
              <w:rPr>
                <w:b/>
              </w:rPr>
            </w:pPr>
            <w:r w:rsidRPr="002A4F39">
              <w:rPr>
                <w:b/>
              </w:rPr>
              <w:t xml:space="preserve">     (1)</w:t>
            </w:r>
          </w:p>
        </w:tc>
        <w:tc>
          <w:tcPr>
            <w:tcW w:w="2128" w:type="dxa"/>
          </w:tcPr>
          <w:p w:rsidR="007E42E9" w:rsidRPr="002A4F39" w:rsidRDefault="007E42E9" w:rsidP="007C0C74">
            <w:pPr>
              <w:rPr>
                <w:b/>
              </w:rPr>
            </w:pPr>
            <w:r w:rsidRPr="002A4F39">
              <w:rPr>
                <w:b/>
              </w:rPr>
              <w:t>No. of Responses Per Respondent</w:t>
            </w:r>
          </w:p>
          <w:p w:rsidR="007E42E9" w:rsidRPr="002A4F39" w:rsidRDefault="007E42E9" w:rsidP="007C0C74">
            <w:pPr>
              <w:rPr>
                <w:b/>
              </w:rPr>
            </w:pPr>
            <w:r w:rsidRPr="002A4F39">
              <w:rPr>
                <w:b/>
              </w:rPr>
              <w:t xml:space="preserve">            (2)</w:t>
            </w:r>
          </w:p>
        </w:tc>
        <w:tc>
          <w:tcPr>
            <w:tcW w:w="1702" w:type="dxa"/>
          </w:tcPr>
          <w:p w:rsidR="007E42E9" w:rsidRPr="002A4F39" w:rsidRDefault="007E42E9" w:rsidP="007C0C74">
            <w:pPr>
              <w:rPr>
                <w:b/>
              </w:rPr>
            </w:pPr>
            <w:r w:rsidRPr="002A4F39">
              <w:rPr>
                <w:b/>
              </w:rPr>
              <w:t xml:space="preserve">Hours Per Response   </w:t>
            </w:r>
          </w:p>
          <w:p w:rsidR="007E42E9" w:rsidRPr="002A4F39" w:rsidRDefault="007E42E9" w:rsidP="007C0C74">
            <w:pPr>
              <w:rPr>
                <w:b/>
              </w:rPr>
            </w:pPr>
            <w:r w:rsidRPr="002A4F39">
              <w:rPr>
                <w:b/>
              </w:rPr>
              <w:t xml:space="preserve">       (3)</w:t>
            </w:r>
          </w:p>
        </w:tc>
        <w:tc>
          <w:tcPr>
            <w:tcW w:w="1916" w:type="dxa"/>
          </w:tcPr>
          <w:p w:rsidR="007E42E9" w:rsidRPr="002A4F39" w:rsidRDefault="007E42E9" w:rsidP="007C0C74">
            <w:pPr>
              <w:rPr>
                <w:b/>
              </w:rPr>
            </w:pPr>
            <w:r w:rsidRPr="002A4F39">
              <w:rPr>
                <w:b/>
              </w:rPr>
              <w:t>Total No. of Hours</w:t>
            </w:r>
          </w:p>
          <w:p w:rsidR="007E42E9" w:rsidRPr="002A4F39" w:rsidRDefault="007E42E9" w:rsidP="007C0C74">
            <w:pPr>
              <w:rPr>
                <w:b/>
              </w:rPr>
            </w:pPr>
            <w:r>
              <w:rPr>
                <w:b/>
              </w:rPr>
              <w:t>(1)x(2)x(3</w:t>
            </w:r>
            <w:r w:rsidRPr="002A4F39">
              <w:rPr>
                <w:b/>
              </w:rPr>
              <w:t>)</w:t>
            </w:r>
          </w:p>
        </w:tc>
      </w:tr>
      <w:tr w:rsidR="007E42E9" w:rsidRPr="00E44127" w:rsidTr="00F362BB">
        <w:tc>
          <w:tcPr>
            <w:tcW w:w="1950" w:type="dxa"/>
          </w:tcPr>
          <w:p w:rsidR="007E42E9" w:rsidRDefault="007E42E9" w:rsidP="007C0C74">
            <w:r>
              <w:t>FERC-516</w:t>
            </w:r>
            <w:r>
              <w:rPr>
                <w:rStyle w:val="FootnoteReference"/>
              </w:rPr>
              <w:footnoteReference w:id="60"/>
            </w:r>
          </w:p>
          <w:p w:rsidR="007E42E9" w:rsidRPr="000D4A71" w:rsidRDefault="007E42E9" w:rsidP="007C0C74">
            <w:r>
              <w:t>(tariff filing)</w:t>
            </w:r>
          </w:p>
        </w:tc>
        <w:tc>
          <w:tcPr>
            <w:tcW w:w="1772" w:type="dxa"/>
          </w:tcPr>
          <w:p w:rsidR="007E42E9" w:rsidRDefault="007E42E9" w:rsidP="007C0C74"/>
          <w:p w:rsidR="007E42E9" w:rsidRDefault="007E42E9" w:rsidP="00E71C36">
            <w:r>
              <w:t>132</w:t>
            </w:r>
          </w:p>
        </w:tc>
        <w:tc>
          <w:tcPr>
            <w:tcW w:w="2128" w:type="dxa"/>
          </w:tcPr>
          <w:p w:rsidR="007E42E9" w:rsidRDefault="007E42E9" w:rsidP="007C0C74"/>
          <w:p w:rsidR="007E42E9" w:rsidRDefault="007E42E9" w:rsidP="007C0C74">
            <w:r>
              <w:t>1</w:t>
            </w:r>
          </w:p>
        </w:tc>
        <w:tc>
          <w:tcPr>
            <w:tcW w:w="1702" w:type="dxa"/>
          </w:tcPr>
          <w:p w:rsidR="007E42E9" w:rsidRDefault="007E42E9" w:rsidP="007C0C74">
            <w:r>
              <w:t xml:space="preserve"> </w:t>
            </w:r>
          </w:p>
          <w:p w:rsidR="007E42E9" w:rsidRPr="000D4A71" w:rsidRDefault="007E42E9" w:rsidP="007C0C74">
            <w:r>
              <w:t xml:space="preserve"> 6</w:t>
            </w:r>
          </w:p>
        </w:tc>
        <w:tc>
          <w:tcPr>
            <w:tcW w:w="1916" w:type="dxa"/>
          </w:tcPr>
          <w:p w:rsidR="007E42E9" w:rsidRDefault="007E42E9" w:rsidP="007C0C74">
            <w:r>
              <w:t xml:space="preserve">  </w:t>
            </w:r>
          </w:p>
          <w:p w:rsidR="007E42E9" w:rsidRDefault="007E42E9" w:rsidP="00E71C36">
            <w:r>
              <w:t xml:space="preserve">   792</w:t>
            </w:r>
          </w:p>
        </w:tc>
      </w:tr>
      <w:tr w:rsidR="007E42E9" w:rsidRPr="00E44127" w:rsidTr="00F362BB">
        <w:tc>
          <w:tcPr>
            <w:tcW w:w="1950" w:type="dxa"/>
          </w:tcPr>
          <w:p w:rsidR="007E42E9" w:rsidRDefault="007E42E9" w:rsidP="007C0C74">
            <w:r w:rsidRPr="000D4A71">
              <w:t>FERC-717</w:t>
            </w:r>
            <w:r>
              <w:rPr>
                <w:rStyle w:val="FootnoteReference"/>
              </w:rPr>
              <w:footnoteReference w:id="61"/>
            </w:r>
          </w:p>
          <w:p w:rsidR="007E42E9" w:rsidRPr="000D4A71" w:rsidRDefault="007E42E9" w:rsidP="007C0C74">
            <w:r>
              <w:t>(compliance with standards)</w:t>
            </w:r>
          </w:p>
        </w:tc>
        <w:tc>
          <w:tcPr>
            <w:tcW w:w="1772" w:type="dxa"/>
          </w:tcPr>
          <w:p w:rsidR="007E42E9" w:rsidRDefault="007E42E9" w:rsidP="007C0C74"/>
          <w:p w:rsidR="007E42E9" w:rsidRDefault="007E42E9" w:rsidP="007C0C74"/>
          <w:p w:rsidR="007E42E9" w:rsidRPr="000D4A71" w:rsidRDefault="007E42E9" w:rsidP="00E71C36">
            <w:r>
              <w:t>132</w:t>
            </w:r>
          </w:p>
        </w:tc>
        <w:tc>
          <w:tcPr>
            <w:tcW w:w="2128" w:type="dxa"/>
          </w:tcPr>
          <w:p w:rsidR="007E42E9" w:rsidRDefault="007E42E9" w:rsidP="007C0C74"/>
          <w:p w:rsidR="007E42E9" w:rsidRDefault="007E42E9" w:rsidP="007C0C74"/>
          <w:p w:rsidR="007E42E9" w:rsidRPr="000D4A71" w:rsidRDefault="007E42E9" w:rsidP="007C0C74">
            <w:r>
              <w:t>1</w:t>
            </w:r>
          </w:p>
        </w:tc>
        <w:tc>
          <w:tcPr>
            <w:tcW w:w="1702" w:type="dxa"/>
          </w:tcPr>
          <w:p w:rsidR="007E42E9" w:rsidRDefault="007E42E9" w:rsidP="007C0C74"/>
          <w:p w:rsidR="007E42E9" w:rsidRDefault="007E42E9" w:rsidP="007C0C74"/>
          <w:p w:rsidR="007E42E9" w:rsidRPr="000D4A71" w:rsidRDefault="007E42E9" w:rsidP="007C0C74">
            <w:r>
              <w:t>30</w:t>
            </w:r>
            <w:r>
              <w:rPr>
                <w:rStyle w:val="FootnoteReference"/>
              </w:rPr>
              <w:footnoteReference w:id="62"/>
            </w:r>
            <w:r w:rsidRPr="000D4A71">
              <w:t xml:space="preserve">           </w:t>
            </w:r>
          </w:p>
        </w:tc>
        <w:tc>
          <w:tcPr>
            <w:tcW w:w="1916" w:type="dxa"/>
          </w:tcPr>
          <w:p w:rsidR="007E42E9" w:rsidRDefault="007E42E9" w:rsidP="007C0C74"/>
          <w:p w:rsidR="007E42E9" w:rsidRDefault="007E42E9" w:rsidP="007C0C74"/>
          <w:p w:rsidR="007E42E9" w:rsidRPr="000D4A71" w:rsidRDefault="007E42E9" w:rsidP="00E71C36">
            <w:r>
              <w:t>3,960</w:t>
            </w:r>
          </w:p>
        </w:tc>
      </w:tr>
      <w:tr w:rsidR="007E42E9" w:rsidRPr="00E44127" w:rsidTr="00F362BB">
        <w:tc>
          <w:tcPr>
            <w:tcW w:w="1950" w:type="dxa"/>
          </w:tcPr>
          <w:p w:rsidR="007E42E9" w:rsidRPr="000D4A71" w:rsidRDefault="007E42E9" w:rsidP="007C0C74">
            <w:r w:rsidRPr="000D4A71">
              <w:t>Totals</w:t>
            </w:r>
          </w:p>
        </w:tc>
        <w:tc>
          <w:tcPr>
            <w:tcW w:w="5602" w:type="dxa"/>
            <w:gridSpan w:val="3"/>
          </w:tcPr>
          <w:p w:rsidR="007E42E9" w:rsidRPr="000D4A71" w:rsidRDefault="007E42E9" w:rsidP="007C0C74"/>
        </w:tc>
        <w:tc>
          <w:tcPr>
            <w:tcW w:w="1916" w:type="dxa"/>
          </w:tcPr>
          <w:p w:rsidR="007E42E9" w:rsidRPr="000D4A71" w:rsidRDefault="007E42E9" w:rsidP="00E71C36">
            <w:r>
              <w:t>4,752</w:t>
            </w:r>
          </w:p>
        </w:tc>
      </w:tr>
    </w:tbl>
    <w:p w:rsidR="007E42E9" w:rsidRPr="00E44127" w:rsidRDefault="007E42E9" w:rsidP="007C0C74">
      <w:pPr>
        <w:widowControl/>
      </w:pPr>
    </w:p>
    <w:p w:rsidR="007E42E9" w:rsidRPr="0027005B" w:rsidRDefault="007E42E9" w:rsidP="004E3918">
      <w:pPr>
        <w:pStyle w:val="FERCparanumber"/>
        <w:numPr>
          <w:ilvl w:val="0"/>
          <w:numId w:val="0"/>
        </w:numPr>
        <w:rPr>
          <w:szCs w:val="26"/>
        </w:rPr>
      </w:pPr>
      <w:r w:rsidRPr="0027005B">
        <w:rPr>
          <w:szCs w:val="26"/>
          <w:u w:val="single"/>
        </w:rPr>
        <w:t>Costs to Comply with Paperwork Requirements</w:t>
      </w:r>
      <w:r w:rsidRPr="0027005B">
        <w:rPr>
          <w:szCs w:val="26"/>
        </w:rPr>
        <w:t>:</w:t>
      </w:r>
    </w:p>
    <w:p w:rsidR="007E42E9" w:rsidRDefault="007E42E9" w:rsidP="004E3918">
      <w:pPr>
        <w:pStyle w:val="FERCparanumber"/>
        <w:numPr>
          <w:ilvl w:val="0"/>
          <w:numId w:val="0"/>
        </w:numPr>
        <w:rPr>
          <w:szCs w:val="26"/>
        </w:rPr>
      </w:pPr>
      <w:r>
        <w:rPr>
          <w:szCs w:val="26"/>
        </w:rPr>
        <w:t>The estimated annual costs are as follows:</w:t>
      </w:r>
    </w:p>
    <w:p w:rsidR="007E42E9" w:rsidRDefault="007E42E9" w:rsidP="002A4F39">
      <w:pPr>
        <w:ind w:left="720" w:hanging="360"/>
      </w:pPr>
      <w:r>
        <w:t>•</w:t>
      </w:r>
      <w:r>
        <w:tab/>
        <w:t>FERC-516</w:t>
      </w:r>
      <w:r w:rsidRPr="00F61437">
        <w:t xml:space="preserve">: </w:t>
      </w:r>
      <w:r>
        <w:t>132</w:t>
      </w:r>
      <w:r w:rsidRPr="00F61437">
        <w:t xml:space="preserve"> entities * 1 response/entity * (</w:t>
      </w:r>
      <w:r>
        <w:t>6</w:t>
      </w:r>
      <w:r w:rsidRPr="00F61437">
        <w:t xml:space="preserve"> hours/response * $72/hour</w:t>
      </w:r>
      <w:r w:rsidRPr="004B4903">
        <w:rPr>
          <w:b/>
          <w:vertAlign w:val="superscript"/>
        </w:rPr>
        <w:footnoteReference w:id="63"/>
      </w:r>
      <w:r w:rsidRPr="00F61437">
        <w:t>) = $</w:t>
      </w:r>
      <w:r>
        <w:t>57,024</w:t>
      </w:r>
      <w:r w:rsidRPr="00F61437">
        <w:t>.</w:t>
      </w:r>
    </w:p>
    <w:p w:rsidR="007E42E9" w:rsidRDefault="007E42E9" w:rsidP="002A4F39">
      <w:pPr>
        <w:ind w:left="360"/>
      </w:pPr>
    </w:p>
    <w:p w:rsidR="007E42E9" w:rsidRDefault="007E42E9" w:rsidP="002A4F39">
      <w:pPr>
        <w:ind w:left="720" w:hanging="720"/>
      </w:pPr>
      <w:r>
        <w:t xml:space="preserve">      •</w:t>
      </w:r>
      <w:r>
        <w:tab/>
        <w:t>FERC-717: 132</w:t>
      </w:r>
      <w:r w:rsidRPr="0005531C">
        <w:t xml:space="preserve"> entities * 1 response/entity * (</w:t>
      </w:r>
      <w:r>
        <w:t>30</w:t>
      </w:r>
      <w:r w:rsidRPr="0005531C">
        <w:t xml:space="preserve"> hours/response * $72/hour) = $</w:t>
      </w:r>
      <w:r>
        <w:t>285,120</w:t>
      </w:r>
      <w:r w:rsidRPr="0005531C">
        <w:t>.</w:t>
      </w:r>
    </w:p>
    <w:p w:rsidR="007E42E9" w:rsidRDefault="007E42E9" w:rsidP="002A4F39">
      <w:pPr>
        <w:ind w:left="720" w:hanging="720"/>
      </w:pPr>
    </w:p>
    <w:p w:rsidR="007E42E9" w:rsidRPr="00E44127" w:rsidRDefault="007E42E9" w:rsidP="007C0C74">
      <w:pPr>
        <w:widowControl/>
        <w:spacing w:line="480" w:lineRule="auto"/>
      </w:pPr>
      <w:r w:rsidRPr="002A4F39">
        <w:rPr>
          <w:u w:val="single"/>
        </w:rPr>
        <w:t>Title</w:t>
      </w:r>
      <w:r>
        <w:rPr>
          <w:u w:val="single"/>
        </w:rPr>
        <w:t>s</w:t>
      </w:r>
      <w:r w:rsidRPr="00E44127">
        <w:t xml:space="preserve">:  </w:t>
      </w:r>
      <w:r>
        <w:t>Electric Rate Schedule Filing</w:t>
      </w:r>
      <w:r w:rsidRPr="00E44127">
        <w:t xml:space="preserve"> </w:t>
      </w:r>
      <w:r>
        <w:t xml:space="preserve">(FERC-516); </w:t>
      </w:r>
      <w:r w:rsidRPr="00E44127">
        <w:t xml:space="preserve">Open Access Same Time Information System </w:t>
      </w:r>
      <w:r>
        <w:t xml:space="preserve">and </w:t>
      </w:r>
      <w:r w:rsidRPr="00E44127">
        <w:t>Standards for Business Practices and Communication Protocols for Public Utilities</w:t>
      </w:r>
      <w:r>
        <w:t xml:space="preserve"> </w:t>
      </w:r>
      <w:r w:rsidRPr="00E44127">
        <w:t>(FERC-717)</w:t>
      </w:r>
      <w:r>
        <w:t>.</w:t>
      </w:r>
    </w:p>
    <w:p w:rsidR="007E42E9" w:rsidRPr="00E44127" w:rsidRDefault="007E42E9" w:rsidP="007C0C74">
      <w:pPr>
        <w:widowControl/>
      </w:pPr>
      <w:r w:rsidRPr="002A4F39">
        <w:rPr>
          <w:u w:val="single"/>
        </w:rPr>
        <w:t>Action</w:t>
      </w:r>
      <w:r w:rsidRPr="00E44127">
        <w:t>:  Proposed collection</w:t>
      </w:r>
      <w:r>
        <w:t>.</w:t>
      </w:r>
    </w:p>
    <w:p w:rsidR="007E42E9" w:rsidRDefault="007E42E9" w:rsidP="007C0C74">
      <w:pPr>
        <w:widowControl/>
        <w:ind w:left="720"/>
      </w:pPr>
    </w:p>
    <w:p w:rsidR="007E42E9" w:rsidRDefault="007E42E9" w:rsidP="007C0C74">
      <w:pPr>
        <w:widowControl/>
      </w:pPr>
      <w:r w:rsidRPr="00E44127">
        <w:t>OMB Control No</w:t>
      </w:r>
      <w:r>
        <w:t>s</w:t>
      </w:r>
      <w:r w:rsidRPr="00E44127">
        <w:t xml:space="preserve">.:  </w:t>
      </w:r>
      <w:r>
        <w:t xml:space="preserve">1902-0096 (FERC-516); </w:t>
      </w:r>
      <w:r w:rsidRPr="00E44127">
        <w:t>1902-0173</w:t>
      </w:r>
      <w:r>
        <w:t xml:space="preserve"> (FERC-717).</w:t>
      </w:r>
    </w:p>
    <w:p w:rsidR="007E42E9" w:rsidRPr="00E44127" w:rsidRDefault="007E42E9" w:rsidP="007C0C74">
      <w:pPr>
        <w:widowControl/>
        <w:ind w:left="720"/>
      </w:pPr>
    </w:p>
    <w:p w:rsidR="007E42E9" w:rsidRPr="00E44127" w:rsidRDefault="007E42E9" w:rsidP="007C0C74">
      <w:pPr>
        <w:widowControl/>
        <w:spacing w:line="480" w:lineRule="auto"/>
      </w:pPr>
      <w:r w:rsidRPr="002A4F39">
        <w:rPr>
          <w:u w:val="single"/>
        </w:rPr>
        <w:t>Respondents</w:t>
      </w:r>
      <w:r w:rsidRPr="00E44127">
        <w:t xml:space="preserve">:  Business or other for profit (Public Utilities </w:t>
      </w:r>
      <w:r>
        <w:t>– Generally n</w:t>
      </w:r>
      <w:r w:rsidRPr="00E44127">
        <w:t>ot applicable to small business</w:t>
      </w:r>
      <w:r>
        <w:t>es</w:t>
      </w:r>
      <w:r w:rsidRPr="00E44127">
        <w:t>)</w:t>
      </w:r>
      <w:r>
        <w:t>.</w:t>
      </w:r>
      <w:r>
        <w:rPr>
          <w:rStyle w:val="FootnoteReference"/>
        </w:rPr>
        <w:footnoteReference w:id="64"/>
      </w:r>
    </w:p>
    <w:p w:rsidR="007E42E9" w:rsidRDefault="007E42E9" w:rsidP="007C0C74">
      <w:pPr>
        <w:widowControl/>
        <w:spacing w:line="480" w:lineRule="auto"/>
      </w:pPr>
      <w:r w:rsidRPr="002A4F39">
        <w:rPr>
          <w:u w:val="single"/>
        </w:rPr>
        <w:t>Frequency of Responses</w:t>
      </w:r>
      <w:r w:rsidRPr="00727E6E">
        <w:t>:  One-time implementation (business procedures, capital/start-</w:t>
      </w:r>
      <w:r w:rsidRPr="004A6FB2">
        <w:t>up)</w:t>
      </w:r>
      <w:r>
        <w:t>.</w:t>
      </w:r>
    </w:p>
    <w:p w:rsidR="007E42E9" w:rsidRDefault="007E42E9" w:rsidP="004A6FB2">
      <w:pPr>
        <w:pStyle w:val="FERCparanumber"/>
        <w:numPr>
          <w:ilvl w:val="0"/>
          <w:numId w:val="25"/>
        </w:numPr>
        <w:ind w:left="0" w:firstLine="0"/>
      </w:pPr>
      <w:r w:rsidRPr="004A6FB2">
        <w:rPr>
          <w:u w:val="single"/>
        </w:rPr>
        <w:t>Necessity of the Information</w:t>
      </w:r>
      <w:r w:rsidRPr="004A6FB2">
        <w:t xml:space="preserve">:  This proposed rule, if implemented would upgrade the Commission’s current business practice and communication standards and protocols modifications to support compliance with requirements established by the Commission in Order Nos. 890, 890-A, 890-B and 890-C, as well as modifications to the OASIS-related standards to support Order Nos. 676, 676-A, 676-E and 717.  In addition, NAESB made modifications to the Coordinate Interchange standards to compliment the updates to the e-Tag specifications, modifications to the Gas/Electric Coordination standards to provide consistency between the two markets and re-organized and revised definitions to create a standard set of terms, definitions and acronyms applicable to all NAESB WEQ standards.  </w:t>
      </w:r>
      <w:r w:rsidRPr="005D6F3B">
        <w:t>The Version 003 Standards also include standards related to Demand Side Management and Energy Efficiency, which the Commission separately acted on in Docket No. RM05-5-020 after NAESB filed its Version 003 report, and Smart Grid-related standards that NAESB previously filed with the Commission in Docket No. RM05-5-021 and to</w:t>
      </w:r>
      <w:r>
        <w:t xml:space="preserve"> </w:t>
      </w:r>
      <w:r w:rsidRPr="005D6F3B">
        <w:t>increase the efficiency of the wholesale electric power grid.</w:t>
      </w:r>
    </w:p>
    <w:p w:rsidR="007E42E9" w:rsidRPr="00E44127" w:rsidRDefault="007E42E9" w:rsidP="004E3918">
      <w:pPr>
        <w:pStyle w:val="FERCparanumber"/>
        <w:numPr>
          <w:ilvl w:val="0"/>
          <w:numId w:val="25"/>
        </w:numPr>
        <w:ind w:left="0" w:firstLine="0"/>
      </w:pPr>
      <w:r w:rsidRPr="002A4F39">
        <w:rPr>
          <w:bCs/>
          <w:u w:val="single"/>
        </w:rPr>
        <w:t>Internal Review</w:t>
      </w:r>
      <w:r w:rsidRPr="00E44127">
        <w:rPr>
          <w:bCs/>
        </w:rPr>
        <w:t>:</w:t>
      </w:r>
      <w:r w:rsidRPr="005D6F3B">
        <w:rPr>
          <w:bCs/>
        </w:rPr>
        <w:t xml:space="preserve">  </w:t>
      </w:r>
      <w:r w:rsidRPr="00E44127">
        <w:t>The Commission has reviewed the revised business practice standard</w:t>
      </w:r>
      <w:r>
        <w:t>s</w:t>
      </w:r>
      <w:r w:rsidRPr="00E44127">
        <w:t xml:space="preserve"> and has made a preliminary determination that the proposed revision</w:t>
      </w:r>
      <w:r>
        <w:t xml:space="preserve">s that we propose here to incorporate by reference are both </w:t>
      </w:r>
      <w:r w:rsidRPr="00E44127">
        <w:t xml:space="preserve">necessary </w:t>
      </w:r>
      <w:r>
        <w:t>and useful</w:t>
      </w:r>
      <w:r w:rsidRPr="00E44127">
        <w:t xml:space="preserve">.  </w:t>
      </w:r>
      <w:r>
        <w:t>In addition, t</w:t>
      </w:r>
      <w:r w:rsidRPr="00E44127">
        <w:t>he Commission has assured itself, by means of its internal review, that there is specific, objective support for the burden estimate associated with the information requirements.</w:t>
      </w:r>
    </w:p>
    <w:p w:rsidR="007E42E9" w:rsidRDefault="007E42E9" w:rsidP="004E3918">
      <w:pPr>
        <w:pStyle w:val="FERCparanumber"/>
        <w:numPr>
          <w:ilvl w:val="0"/>
          <w:numId w:val="25"/>
        </w:numPr>
        <w:ind w:left="0" w:firstLine="0"/>
      </w:pPr>
      <w:r w:rsidRPr="00020B33">
        <w:rPr>
          <w:bCs/>
        </w:rPr>
        <w:t>Interested</w:t>
      </w:r>
      <w:r w:rsidRPr="00DD4B0C">
        <w:t xml:space="preserve"> persons may obtain information on the reporting requirements by contacting the </w:t>
      </w:r>
      <w:r>
        <w:t xml:space="preserve">Federal Energy Regulatory Commission, </w:t>
      </w:r>
      <w:r w:rsidRPr="0027005B">
        <w:rPr>
          <w:szCs w:val="26"/>
        </w:rPr>
        <w:t>Office of the Executive Director,</w:t>
      </w:r>
      <w:r>
        <w:rPr>
          <w:szCs w:val="26"/>
        </w:rPr>
        <w:t xml:space="preserve"> </w:t>
      </w:r>
      <w:r>
        <w:t xml:space="preserve">888 First Street, NE, Washington, DC 20426 [Attn: Ellen Brown, e-mail: </w:t>
      </w:r>
      <w:r w:rsidRPr="002A4F39">
        <w:t>DataClearance@ferc.gov, phone:</w:t>
      </w:r>
      <w:r>
        <w:rPr>
          <w:color w:val="0000FF"/>
        </w:rPr>
        <w:t xml:space="preserve"> </w:t>
      </w:r>
      <w:r>
        <w:t>(202) 502-8663, fax: (202) 273-0873].</w:t>
      </w:r>
    </w:p>
    <w:p w:rsidR="007E42E9" w:rsidRDefault="007E42E9" w:rsidP="004E3918">
      <w:pPr>
        <w:pStyle w:val="FERCparanumber"/>
        <w:widowControl w:val="0"/>
        <w:numPr>
          <w:ilvl w:val="0"/>
          <w:numId w:val="25"/>
        </w:numPr>
        <w:ind w:left="0" w:firstLine="0"/>
      </w:pPr>
      <w:r>
        <w:t>C</w:t>
      </w:r>
      <w:r w:rsidRPr="00DD4B0C">
        <w:t xml:space="preserve">omments concerning the </w:t>
      </w:r>
      <w:r>
        <w:t xml:space="preserve">information </w:t>
      </w:r>
      <w:r w:rsidRPr="00DD4B0C">
        <w:t>collection</w:t>
      </w:r>
      <w:r>
        <w:t>s proposed in this NOPR</w:t>
      </w:r>
      <w:r w:rsidRPr="00DD4B0C">
        <w:t xml:space="preserve"> and the associated burden estimates</w:t>
      </w:r>
      <w:r>
        <w:t xml:space="preserve"> should be sent </w:t>
      </w:r>
      <w:r w:rsidRPr="0027005B">
        <w:rPr>
          <w:szCs w:val="26"/>
        </w:rPr>
        <w:t xml:space="preserve">to the Commission </w:t>
      </w:r>
      <w:r>
        <w:rPr>
          <w:szCs w:val="26"/>
        </w:rPr>
        <w:t>at</w:t>
      </w:r>
      <w:r w:rsidRPr="0027005B">
        <w:rPr>
          <w:szCs w:val="26"/>
        </w:rPr>
        <w:t xml:space="preserve"> this docket and may also</w:t>
      </w:r>
      <w:r>
        <w:t xml:space="preserve"> by e-mail to </w:t>
      </w:r>
      <w:r w:rsidRPr="00DD4B0C">
        <w:t>the Office of Management and Budget, Office of Information and Regulatory Affairs [Attention:  Desk Officer for the Federal Energy Regulatory Commission</w:t>
      </w:r>
      <w:r>
        <w:t xml:space="preserve">].  </w:t>
      </w:r>
      <w:r w:rsidRPr="0027005B">
        <w:rPr>
          <w:szCs w:val="26"/>
        </w:rPr>
        <w:t xml:space="preserve">For security reasons, comments should be sent by e-mail to OMB at the following e-mail address: oira_submission@omb.eop.gov.  Please reference the docket </w:t>
      </w:r>
      <w:r>
        <w:rPr>
          <w:szCs w:val="26"/>
        </w:rPr>
        <w:t>number</w:t>
      </w:r>
      <w:r w:rsidRPr="0027005B">
        <w:rPr>
          <w:szCs w:val="26"/>
        </w:rPr>
        <w:t xml:space="preserve"> of this Notice of Propo</w:t>
      </w:r>
      <w:r>
        <w:rPr>
          <w:szCs w:val="26"/>
        </w:rPr>
        <w:t>sed Rulemaking (Docket No. RM05-5</w:t>
      </w:r>
      <w:r w:rsidRPr="0027005B">
        <w:rPr>
          <w:szCs w:val="26"/>
        </w:rPr>
        <w:t>-0</w:t>
      </w:r>
      <w:r>
        <w:rPr>
          <w:szCs w:val="26"/>
        </w:rPr>
        <w:t>22</w:t>
      </w:r>
      <w:r w:rsidRPr="0027005B">
        <w:rPr>
          <w:szCs w:val="26"/>
        </w:rPr>
        <w:t>) in your submission.</w:t>
      </w:r>
    </w:p>
    <w:p w:rsidR="007E42E9" w:rsidRPr="00443B3D" w:rsidRDefault="007E42E9" w:rsidP="00F362BB">
      <w:pPr>
        <w:pStyle w:val="Heading1"/>
        <w:numPr>
          <w:ilvl w:val="0"/>
          <w:numId w:val="47"/>
        </w:numPr>
      </w:pPr>
      <w:bookmarkStart w:id="39" w:name="_bmk19"/>
      <w:bookmarkStart w:id="40" w:name="_Toc360605881"/>
      <w:r w:rsidRPr="00443B3D">
        <w:t>E</w:t>
      </w:r>
      <w:bookmarkEnd w:id="39"/>
      <w:r w:rsidRPr="00443B3D">
        <w:t>nvironmental Analysis</w:t>
      </w:r>
      <w:bookmarkEnd w:id="40"/>
    </w:p>
    <w:p w:rsidR="007E42E9" w:rsidRDefault="007E42E9" w:rsidP="004E3918">
      <w:pPr>
        <w:pStyle w:val="FERCparanumber"/>
        <w:numPr>
          <w:ilvl w:val="0"/>
          <w:numId w:val="25"/>
        </w:numPr>
        <w:ind w:left="0" w:firstLine="0"/>
      </w:pPr>
      <w:r>
        <w:t>The Commission is required to prepare an Environmental Assessment or an Environmental Impact Statement for any action that may have a significant adverse effect on the human environment.</w:t>
      </w:r>
      <w:r>
        <w:rPr>
          <w:rStyle w:val="FootnoteReference"/>
        </w:rPr>
        <w:footnoteReference w:id="65"/>
      </w:r>
      <w:r>
        <w:t xml:space="preserve">  </w:t>
      </w:r>
      <w:r w:rsidRPr="001D4BBD">
        <w:t>The Commission has categorically excluded certain actions from these requirements as not having a significant effect on the human environment.</w:t>
      </w:r>
      <w:r w:rsidRPr="001D4BBD">
        <w:rPr>
          <w:rStyle w:val="FootnoteReference"/>
        </w:rPr>
        <w:footnoteReference w:id="66"/>
      </w:r>
      <w:r w:rsidRPr="001D4BBD">
        <w:t xml:space="preserve">  The actions proposed here fall within categorical exclusions in the Commission’s regulations for rules that are clarifying, corrective, or procedural, for information gathering, analysis, and dissemination, and for sales, exchange, and transportation of </w:t>
      </w:r>
      <w:r>
        <w:t>electric power</w:t>
      </w:r>
      <w:r w:rsidRPr="001D4BBD">
        <w:t xml:space="preserve"> that requires no construction of facilities.</w:t>
      </w:r>
      <w:r w:rsidRPr="001D4BBD">
        <w:rPr>
          <w:rStyle w:val="FootnoteReference"/>
        </w:rPr>
        <w:footnoteReference w:id="67"/>
      </w:r>
      <w:r w:rsidRPr="001D4BBD">
        <w:t xml:space="preserve">  Therefore, an environmental assessment is unnecessary and has not been prepared in this NOPR.</w:t>
      </w:r>
    </w:p>
    <w:p w:rsidR="007E42E9" w:rsidRPr="00443B3D" w:rsidRDefault="007E42E9" w:rsidP="00F362BB">
      <w:pPr>
        <w:pStyle w:val="Heading1"/>
        <w:numPr>
          <w:ilvl w:val="0"/>
          <w:numId w:val="47"/>
        </w:numPr>
      </w:pPr>
      <w:bookmarkStart w:id="41" w:name="_bmk20"/>
      <w:bookmarkStart w:id="42" w:name="_Toc360605882"/>
      <w:r w:rsidRPr="00443B3D">
        <w:t>R</w:t>
      </w:r>
      <w:bookmarkEnd w:id="41"/>
      <w:r w:rsidRPr="00443B3D">
        <w:t>egulatory Flexibility Act</w:t>
      </w:r>
      <w:r>
        <w:t xml:space="preserve"> Certification</w:t>
      </w:r>
      <w:bookmarkEnd w:id="42"/>
    </w:p>
    <w:p w:rsidR="007E42E9" w:rsidRPr="00CF679E" w:rsidRDefault="007E42E9" w:rsidP="00CF679E">
      <w:pPr>
        <w:pStyle w:val="FERCparanumber"/>
        <w:numPr>
          <w:ilvl w:val="0"/>
          <w:numId w:val="25"/>
        </w:numPr>
        <w:ind w:left="0" w:firstLine="0"/>
      </w:pPr>
      <w:r>
        <w:t>The Regulatory Flexibility Act of 1980 (RFA)</w:t>
      </w:r>
      <w:r>
        <w:rPr>
          <w:rStyle w:val="FootnoteReference"/>
        </w:rPr>
        <w:footnoteReference w:id="68"/>
      </w:r>
      <w:r>
        <w:t xml:space="preserve"> generally requires a description and analysis of proposed rules that will have significant economic impact on a substantial number of small entities.  </w:t>
      </w:r>
      <w:r w:rsidRPr="00CF679E">
        <w:t>The RFA mandates consideration of regulatory alternatives that accomplish the stated objectives of a proposed rule and that minimize any significant economic impact on a substantial number of small entities.  The Small Business Administration’s Office of Size Standards develops the numerical definition of a small business.</w:t>
      </w:r>
      <w:r w:rsidRPr="00CF679E">
        <w:rPr>
          <w:b/>
          <w:vertAlign w:val="superscript"/>
        </w:rPr>
        <w:footnoteReference w:id="69"/>
      </w:r>
      <w:r w:rsidRPr="00CF679E">
        <w:t xml:space="preserve">  The Small Business Administration has established a size standard for electric utilities, stating that a firm is small if, including its affiliates, it is primarily engaged in the transmission, generation and/or distribution of electric energy for sale and its total electric output for the preceding twelve months did not exceed four million megawatt hours (MWh).</w:t>
      </w:r>
      <w:r w:rsidRPr="00CF679E">
        <w:rPr>
          <w:b/>
          <w:vertAlign w:val="superscript"/>
        </w:rPr>
        <w:footnoteReference w:id="70"/>
      </w:r>
    </w:p>
    <w:p w:rsidR="007E42E9" w:rsidRPr="00CF679E" w:rsidRDefault="007E42E9" w:rsidP="00CF679E">
      <w:pPr>
        <w:pStyle w:val="FERCparanumber"/>
        <w:numPr>
          <w:ilvl w:val="0"/>
          <w:numId w:val="25"/>
        </w:numPr>
        <w:ind w:left="0" w:firstLine="0"/>
      </w:pPr>
      <w:r w:rsidRPr="00CF679E">
        <w:t>The Commission seeks comment on the estimated impact of the proposed rule on small business entities.  The Commission estimates that 5 of the 132 respondents are small.  The Commission estimates that the impact on these entities is consistent with the paperwork burden of $2,592 per entity used above.</w:t>
      </w:r>
      <w:r w:rsidRPr="00CF679E">
        <w:rPr>
          <w:b/>
          <w:vertAlign w:val="superscript"/>
        </w:rPr>
        <w:footnoteReference w:id="71"/>
      </w:r>
      <w:r w:rsidRPr="00CF679E">
        <w:t xml:space="preserve">  The Commission does not consider $2,592 to be a significant economic impact. </w:t>
      </w:r>
    </w:p>
    <w:p w:rsidR="007E42E9" w:rsidRPr="00C30627" w:rsidRDefault="007E42E9" w:rsidP="00AD3F3C">
      <w:pPr>
        <w:pStyle w:val="FERCparanumber"/>
        <w:numPr>
          <w:ilvl w:val="0"/>
          <w:numId w:val="25"/>
        </w:numPr>
        <w:ind w:left="0" w:firstLine="0"/>
      </w:pPr>
      <w:r w:rsidRPr="00CF679E">
        <w:t>Based on the above, the Commission certifies that the proposed Reliability Standards will not have a significant impact on a substantial number of small entities.  Accordingly, no initial regulatory flexibility analysis is required.</w:t>
      </w:r>
    </w:p>
    <w:p w:rsidR="007E42E9" w:rsidRPr="00443B3D" w:rsidRDefault="007E42E9" w:rsidP="00F362BB">
      <w:pPr>
        <w:pStyle w:val="Heading1"/>
        <w:numPr>
          <w:ilvl w:val="0"/>
          <w:numId w:val="47"/>
        </w:numPr>
      </w:pPr>
      <w:bookmarkStart w:id="43" w:name="_bmk21"/>
      <w:bookmarkStart w:id="44" w:name="_Toc360605883"/>
      <w:r w:rsidRPr="00443B3D">
        <w:t>C</w:t>
      </w:r>
      <w:bookmarkEnd w:id="43"/>
      <w:r w:rsidRPr="00443B3D">
        <w:t>omment Procedures</w:t>
      </w:r>
      <w:bookmarkEnd w:id="44"/>
    </w:p>
    <w:p w:rsidR="007E42E9" w:rsidRDefault="007E42E9" w:rsidP="004E3918">
      <w:pPr>
        <w:pStyle w:val="FERCparanumber"/>
        <w:numPr>
          <w:ilvl w:val="0"/>
          <w:numId w:val="25"/>
        </w:numPr>
        <w:ind w:left="0" w:firstLine="0"/>
      </w:pPr>
      <w:r>
        <w:t xml:space="preserve">The Commission invites interested persons to submit comments on the matters and issues proposed in this notice to be adopted, including any related matters or alternative proposals that commenters may wish to discuss.  Comments are due </w:t>
      </w:r>
      <w:r w:rsidRPr="005A7276">
        <w:t>[</w:t>
      </w:r>
      <w:r>
        <w:rPr>
          <w:b/>
        </w:rPr>
        <w:t>INSERT DATE 60 days after publication in the FEDERAL REGISTER]</w:t>
      </w:r>
      <w:r w:rsidRPr="005A7276">
        <w:t>]</w:t>
      </w:r>
      <w:r>
        <w:t>.  Comments must refer to Docket No. RM05-5-022, and must include the commenter's name, the organization they represent, if applicable, and their address in their comments.</w:t>
      </w:r>
    </w:p>
    <w:p w:rsidR="007E42E9" w:rsidRDefault="007E42E9" w:rsidP="004E3918">
      <w:pPr>
        <w:pStyle w:val="FERCparanumber"/>
        <w:numPr>
          <w:ilvl w:val="0"/>
          <w:numId w:val="25"/>
        </w:numPr>
        <w:ind w:left="0" w:firstLine="0"/>
      </w:pPr>
      <w:r>
        <w:t xml:space="preserve">The Commission encourages comments to be filed electronically via the eFiling link on the Commission's web site at </w:t>
      </w:r>
      <w:hyperlink r:id="rId13" w:history="1">
        <w:r w:rsidRPr="003A548C">
          <w:rPr>
            <w:rStyle w:val="Hyperlink"/>
          </w:rPr>
          <w:t>http://www.ferc.gov</w:t>
        </w:r>
      </w:hyperlink>
      <w:r>
        <w:t xml:space="preserve">.  </w:t>
      </w:r>
      <w:r w:rsidRPr="00AD4410">
        <w:t>The Commission accepts most standard word processing formats</w:t>
      </w:r>
      <w:r>
        <w:t xml:space="preserve">.  </w:t>
      </w:r>
      <w:r w:rsidRPr="00062A6A">
        <w:t>Documents created electronically using word processing software should be filed in native applications or print-to-PDF format and not in a scanned format.</w:t>
      </w:r>
      <w:r>
        <w:t xml:space="preserve">  </w:t>
      </w:r>
      <w:r w:rsidRPr="00AD4410">
        <w:t>Commenters filing electronically do not need to make a paper filing.</w:t>
      </w:r>
    </w:p>
    <w:p w:rsidR="007E42E9" w:rsidRPr="00C30627" w:rsidRDefault="007E42E9" w:rsidP="004E3918">
      <w:pPr>
        <w:pStyle w:val="FERCparanumber"/>
        <w:numPr>
          <w:ilvl w:val="0"/>
          <w:numId w:val="25"/>
        </w:numPr>
        <w:ind w:left="0" w:firstLine="0"/>
      </w:pPr>
      <w:r w:rsidRPr="00AD4410">
        <w:t xml:space="preserve">Commenters that are not able to file comments electronically must send an original of their comments to: </w:t>
      </w:r>
      <w:r>
        <w:t xml:space="preserve"> </w:t>
      </w:r>
      <w:r w:rsidRPr="00AD4410">
        <w:t xml:space="preserve">Federal Energy Regulatory Commission, </w:t>
      </w:r>
      <w:r>
        <w:t>Secretary of the Commission, 888 First Street N</w:t>
      </w:r>
      <w:r w:rsidRPr="00AD4410">
        <w:t>E, Washington</w:t>
      </w:r>
      <w:r>
        <w:t xml:space="preserve">, DC  </w:t>
      </w:r>
      <w:r w:rsidRPr="00AD4410">
        <w:t>20426.</w:t>
      </w:r>
    </w:p>
    <w:p w:rsidR="007E42E9" w:rsidRPr="00C30627" w:rsidRDefault="007E42E9" w:rsidP="004E3918">
      <w:pPr>
        <w:pStyle w:val="FERCparanumber"/>
        <w:numPr>
          <w:ilvl w:val="0"/>
          <w:numId w:val="25"/>
        </w:numPr>
        <w:ind w:left="0" w:firstLine="0"/>
      </w:pPr>
      <w:r>
        <w:t>All comments will be placed in the Commission's public files and may be viewed, printed, or downloaded remotely as described in the Document Availability section below.  Commenters on this proposal are not required to serve copies of their comments on other commenters.</w:t>
      </w:r>
    </w:p>
    <w:p w:rsidR="007E42E9" w:rsidRPr="00443B3D" w:rsidRDefault="007E42E9" w:rsidP="00F362BB">
      <w:pPr>
        <w:pStyle w:val="Heading1"/>
        <w:numPr>
          <w:ilvl w:val="0"/>
          <w:numId w:val="47"/>
        </w:numPr>
      </w:pPr>
      <w:bookmarkStart w:id="45" w:name="_bmk23"/>
      <w:bookmarkStart w:id="46" w:name="_bmk22"/>
      <w:bookmarkStart w:id="47" w:name="_Toc360605884"/>
      <w:r w:rsidRPr="00443B3D">
        <w:t>D</w:t>
      </w:r>
      <w:bookmarkEnd w:id="45"/>
      <w:bookmarkEnd w:id="46"/>
      <w:r w:rsidRPr="00443B3D">
        <w:t>ocument Availability</w:t>
      </w:r>
      <w:bookmarkEnd w:id="47"/>
    </w:p>
    <w:p w:rsidR="007E42E9" w:rsidRDefault="007E42E9" w:rsidP="004E3918">
      <w:pPr>
        <w:pStyle w:val="FERCparanumber"/>
        <w:numPr>
          <w:ilvl w:val="0"/>
          <w:numId w:val="25"/>
        </w:numPr>
        <w:ind w:left="0" w:firstLine="0"/>
      </w:pPr>
      <w:r w:rsidRPr="00F53919">
        <w:t xml:space="preserve">In addition to publishing the full text of this document in the Federal Register, the Commission provides all interested persons an opportunity to view and/or print the contents of this document via the Internet through </w:t>
      </w:r>
      <w:r>
        <w:t>the Commission</w:t>
      </w:r>
      <w:r w:rsidRPr="00F53919">
        <w:t>'s Home Page (</w:t>
      </w:r>
      <w:hyperlink r:id="rId14" w:history="1">
        <w:r w:rsidRPr="00F53919">
          <w:rPr>
            <w:rStyle w:val="Hyperlink"/>
          </w:rPr>
          <w:t>http://www.ferc.gov</w:t>
        </w:r>
      </w:hyperlink>
      <w:r w:rsidRPr="00F53919">
        <w:t xml:space="preserve">) and in </w:t>
      </w:r>
      <w:r>
        <w:t>the Commission</w:t>
      </w:r>
      <w:r w:rsidRPr="00F53919">
        <w:t>'s Public Reference Room during normal business hours (8:30 a.m. to 5:00 p.m. Eastern time) at 888 First Street, NE, Room 2A, Washingto</w:t>
      </w:r>
      <w:r>
        <w:t xml:space="preserve">n,    </w:t>
      </w:r>
      <w:bookmarkStart w:id="48" w:name="_GoBack"/>
      <w:bookmarkEnd w:id="48"/>
      <w:r>
        <w:t>D</w:t>
      </w:r>
      <w:r w:rsidRPr="00F53919">
        <w:t>C</w:t>
      </w:r>
      <w:r>
        <w:t xml:space="preserve"> </w:t>
      </w:r>
      <w:r w:rsidRPr="00F53919">
        <w:t xml:space="preserve"> 20426.</w:t>
      </w:r>
    </w:p>
    <w:p w:rsidR="007E42E9" w:rsidRDefault="007E42E9" w:rsidP="004E3918">
      <w:pPr>
        <w:pStyle w:val="FERCparanumber"/>
        <w:numPr>
          <w:ilvl w:val="0"/>
          <w:numId w:val="25"/>
        </w:numPr>
        <w:ind w:left="0" w:firstLine="0"/>
      </w:pPr>
      <w: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7E42E9" w:rsidRDefault="007E42E9" w:rsidP="004E3918">
      <w:pPr>
        <w:pStyle w:val="FERCparanumber"/>
        <w:numPr>
          <w:ilvl w:val="0"/>
          <w:numId w:val="25"/>
        </w:numPr>
        <w:ind w:left="0" w:firstLine="0"/>
      </w:pPr>
      <w:r w:rsidRPr="005449C4">
        <w:t xml:space="preserve">User assistance is available for eLibrary and the </w:t>
      </w:r>
      <w:r>
        <w:t>Commission</w:t>
      </w:r>
      <w:r w:rsidRPr="005449C4">
        <w:t xml:space="preserve">’s website during normal business hours from </w:t>
      </w:r>
      <w:r>
        <w:t>the Commission’s</w:t>
      </w:r>
      <w:r w:rsidRPr="005449C4">
        <w:t xml:space="preserve"> Online Support at 202-502-6652 (toll free at 1-866-208-3676) or email at </w:t>
      </w:r>
      <w:hyperlink r:id="rId15" w:history="1">
        <w:r w:rsidRPr="005449C4">
          <w:rPr>
            <w:rStyle w:val="Hyperlink"/>
          </w:rPr>
          <w:t>ferconlinesupport@ferc.gov</w:t>
        </w:r>
      </w:hyperlink>
      <w:r w:rsidRPr="005449C4">
        <w:t>, or the Public Reference Room at (202) 502-8371, TTY (202)</w:t>
      </w:r>
      <w:r>
        <w:t xml:space="preserve"> </w:t>
      </w:r>
      <w:r w:rsidRPr="005449C4">
        <w:t xml:space="preserve">502-8659.  E-mail the Public Reference Room at </w:t>
      </w:r>
      <w:hyperlink r:id="rId16" w:history="1">
        <w:r w:rsidRPr="00DD6897">
          <w:rPr>
            <w:rStyle w:val="Hyperlink"/>
          </w:rPr>
          <w:t>public.referenceroom@ferc.gov</w:t>
        </w:r>
      </w:hyperlink>
      <w:r w:rsidRPr="005449C4">
        <w:t>.</w:t>
      </w:r>
    </w:p>
    <w:p w:rsidR="007E42E9" w:rsidRDefault="007E42E9" w:rsidP="003E0C77">
      <w:pPr>
        <w:pStyle w:val="FERCparanumber"/>
        <w:numPr>
          <w:ilvl w:val="0"/>
          <w:numId w:val="0"/>
        </w:numPr>
      </w:pPr>
    </w:p>
    <w:p w:rsidR="007E42E9" w:rsidRDefault="007E42E9" w:rsidP="003E0C77">
      <w:pPr>
        <w:pStyle w:val="FERCparanumber"/>
        <w:numPr>
          <w:ilvl w:val="0"/>
          <w:numId w:val="0"/>
        </w:numPr>
      </w:pPr>
    </w:p>
    <w:p w:rsidR="007E42E9" w:rsidRDefault="007E42E9" w:rsidP="003E0C77">
      <w:pPr>
        <w:pStyle w:val="FERCparanumber"/>
        <w:numPr>
          <w:ilvl w:val="0"/>
          <w:numId w:val="0"/>
        </w:numPr>
      </w:pPr>
    </w:p>
    <w:p w:rsidR="007E42E9" w:rsidRDefault="007E42E9" w:rsidP="003E0C77">
      <w:pPr>
        <w:pStyle w:val="FERCparanumber"/>
        <w:numPr>
          <w:ilvl w:val="0"/>
          <w:numId w:val="0"/>
        </w:numPr>
      </w:pPr>
    </w:p>
    <w:p w:rsidR="007E42E9" w:rsidRPr="00C30627" w:rsidRDefault="007E42E9" w:rsidP="003E0C77">
      <w:pPr>
        <w:pStyle w:val="FERCparanumber"/>
        <w:numPr>
          <w:ilvl w:val="0"/>
          <w:numId w:val="0"/>
        </w:numPr>
      </w:pPr>
    </w:p>
    <w:p w:rsidR="007E42E9" w:rsidRDefault="007E42E9" w:rsidP="007C0C74">
      <w:pPr>
        <w:rPr>
          <w:u w:val="single"/>
        </w:rPr>
      </w:pPr>
      <w:r>
        <w:rPr>
          <w:u w:val="single"/>
        </w:rPr>
        <w:t>List of subjects in 18 CFR Part 38</w:t>
      </w:r>
    </w:p>
    <w:p w:rsidR="007E42E9" w:rsidRDefault="007E42E9" w:rsidP="007C0C74"/>
    <w:p w:rsidR="007E42E9" w:rsidRDefault="007E42E9" w:rsidP="007C0C74">
      <w:pPr>
        <w:spacing w:line="480" w:lineRule="auto"/>
      </w:pPr>
      <w:r w:rsidRPr="005E7ACE">
        <w:t xml:space="preserve">Conflict of interests, Electric power plants, Electric utilities, Incorporation by reference, </w:t>
      </w:r>
    </w:p>
    <w:p w:rsidR="007E42E9" w:rsidRDefault="007E42E9" w:rsidP="007C0C74">
      <w:r w:rsidRPr="005E7ACE">
        <w:t>Reporting and recordkeeping requirements</w:t>
      </w:r>
    </w:p>
    <w:p w:rsidR="007E42E9" w:rsidRDefault="007E42E9" w:rsidP="007C0C74"/>
    <w:p w:rsidR="007E42E9" w:rsidRDefault="007E42E9" w:rsidP="007C0C74">
      <w:r>
        <w:t>By direction of the Commission.</w:t>
      </w:r>
    </w:p>
    <w:p w:rsidR="007E42E9" w:rsidRDefault="007E42E9" w:rsidP="007C0C74">
      <w:r>
        <w:tab/>
      </w:r>
      <w:r>
        <w:tab/>
      </w:r>
      <w:r>
        <w:tab/>
      </w:r>
      <w:r>
        <w:tab/>
      </w:r>
      <w:r>
        <w:tab/>
      </w:r>
      <w:r>
        <w:tab/>
      </w:r>
    </w:p>
    <w:p w:rsidR="007E42E9" w:rsidRDefault="007E42E9" w:rsidP="003E0C77">
      <w:pPr>
        <w:widowControl/>
      </w:pPr>
      <w:r w:rsidRPr="003E0C77">
        <w:t>( S E A L )</w:t>
      </w:r>
    </w:p>
    <w:p w:rsidR="007E42E9" w:rsidRDefault="007E42E9" w:rsidP="003E0C77">
      <w:pPr>
        <w:widowControl/>
      </w:pPr>
    </w:p>
    <w:p w:rsidR="007E42E9" w:rsidRDefault="007E42E9" w:rsidP="003E0C77">
      <w:pPr>
        <w:widowControl/>
      </w:pPr>
    </w:p>
    <w:p w:rsidR="007E42E9" w:rsidRDefault="007E42E9" w:rsidP="003E0C77">
      <w:pPr>
        <w:widowControl/>
      </w:pPr>
    </w:p>
    <w:p w:rsidR="007E42E9" w:rsidRDefault="007E42E9" w:rsidP="003E0C77">
      <w:pPr>
        <w:widowControl/>
      </w:pPr>
    </w:p>
    <w:p w:rsidR="007E42E9" w:rsidRDefault="007E42E9" w:rsidP="003E0C77">
      <w:pPr>
        <w:widowControl/>
      </w:pPr>
    </w:p>
    <w:p w:rsidR="007E42E9" w:rsidRPr="003E0C77" w:rsidRDefault="007E42E9" w:rsidP="003E0C77">
      <w:pPr>
        <w:widowControl/>
        <w:ind w:firstLine="2606"/>
        <w:jc w:val="center"/>
      </w:pPr>
      <w:r w:rsidRPr="003E0C77">
        <w:t>Nathaniel J. Davis, Sr.,</w:t>
      </w:r>
    </w:p>
    <w:p w:rsidR="007E42E9" w:rsidRPr="003E0C77" w:rsidRDefault="007E42E9" w:rsidP="003E0C77">
      <w:pPr>
        <w:widowControl/>
        <w:ind w:firstLine="2606"/>
        <w:jc w:val="center"/>
      </w:pPr>
      <w:r w:rsidRPr="003E0C77">
        <w:t>Deputy Secretary.</w:t>
      </w:r>
    </w:p>
    <w:p w:rsidR="007E42E9" w:rsidRDefault="007E42E9" w:rsidP="003E0C77">
      <w:pPr>
        <w:widowControl/>
      </w:pPr>
      <w:r>
        <w:br w:type="page"/>
        <w:t xml:space="preserve">In consideration of the foregoing, the Commission proposes to revise Chapter I, Title 18, Part 38 of the </w:t>
      </w:r>
      <w:r>
        <w:rPr>
          <w:u w:val="single"/>
        </w:rPr>
        <w:t>Code of Federal Regulations</w:t>
      </w:r>
      <w:r>
        <w:t>, as follows:</w:t>
      </w:r>
    </w:p>
    <w:p w:rsidR="007E42E9" w:rsidRPr="000E7522" w:rsidRDefault="007E42E9" w:rsidP="007C0C74">
      <w:pPr>
        <w:rPr>
          <w:b/>
        </w:rPr>
      </w:pPr>
      <w:r>
        <w:rPr>
          <w:b/>
        </w:rPr>
        <w:t>PART 38 – BUSINESS PRACTICE STANDARDS AND COMMUNICATION PROTOCOLS FOR PUBLIC UTILITIES</w:t>
      </w:r>
    </w:p>
    <w:p w:rsidR="007E42E9" w:rsidRDefault="007E42E9" w:rsidP="007C0C74"/>
    <w:p w:rsidR="007E42E9" w:rsidRPr="0056378F" w:rsidRDefault="007E42E9" w:rsidP="007C0C74">
      <w:pPr>
        <w:pStyle w:val="RegText"/>
        <w:numPr>
          <w:ilvl w:val="0"/>
          <w:numId w:val="49"/>
        </w:numPr>
        <w:spacing w:line="480" w:lineRule="auto"/>
        <w:ind w:left="0" w:firstLine="0"/>
      </w:pPr>
      <w:r w:rsidRPr="0056378F">
        <w:t xml:space="preserve">The authority citation for </w:t>
      </w:r>
      <w:r>
        <w:t>P</w:t>
      </w:r>
      <w:r w:rsidRPr="0056378F">
        <w:t xml:space="preserve">art </w:t>
      </w:r>
      <w:r>
        <w:t>38</w:t>
      </w:r>
      <w:r w:rsidRPr="0056378F">
        <w:t xml:space="preserve"> continues to read as follows:</w:t>
      </w:r>
    </w:p>
    <w:p w:rsidR="007E42E9" w:rsidRDefault="007E42E9" w:rsidP="007C0C74">
      <w:pPr>
        <w:spacing w:line="480" w:lineRule="auto"/>
      </w:pPr>
      <w:r w:rsidRPr="0056378F">
        <w:t>Authority: 1</w:t>
      </w:r>
      <w:r>
        <w:t>6</w:t>
      </w:r>
      <w:r w:rsidRPr="0056378F">
        <w:t xml:space="preserve"> U.S.C. 7</w:t>
      </w:r>
      <w:r>
        <w:t>9</w:t>
      </w:r>
      <w:r w:rsidRPr="0056378F">
        <w:t>1-</w:t>
      </w:r>
      <w:r>
        <w:t>825r</w:t>
      </w:r>
      <w:r w:rsidRPr="0056378F">
        <w:t xml:space="preserve">, </w:t>
      </w:r>
      <w:r>
        <w:t>2601</w:t>
      </w:r>
      <w:r w:rsidRPr="0056378F">
        <w:t>-</w:t>
      </w:r>
      <w:r>
        <w:t>2645</w:t>
      </w:r>
      <w:r w:rsidRPr="0056378F">
        <w:t xml:space="preserve">; </w:t>
      </w:r>
      <w:r>
        <w:t>31</w:t>
      </w:r>
      <w:r w:rsidRPr="0056378F">
        <w:t xml:space="preserve"> U.S.C. </w:t>
      </w:r>
      <w:r>
        <w:t>9701</w:t>
      </w:r>
      <w:r w:rsidRPr="0056378F">
        <w:t>; 4</w:t>
      </w:r>
      <w:r>
        <w:t>2</w:t>
      </w:r>
      <w:r w:rsidRPr="0056378F">
        <w:t xml:space="preserve"> U.S.C. </w:t>
      </w:r>
      <w:r>
        <w:t>7101-7352</w:t>
      </w:r>
      <w:r w:rsidRPr="0056378F">
        <w:t>.</w:t>
      </w:r>
    </w:p>
    <w:p w:rsidR="007E42E9" w:rsidRPr="000E7522" w:rsidRDefault="007E42E9" w:rsidP="007C0C74">
      <w:pPr>
        <w:pStyle w:val="RegText"/>
        <w:numPr>
          <w:ilvl w:val="0"/>
          <w:numId w:val="49"/>
        </w:numPr>
        <w:spacing w:line="480" w:lineRule="auto"/>
        <w:ind w:left="0" w:firstLine="0"/>
        <w:rPr>
          <w:b/>
        </w:rPr>
      </w:pPr>
      <w:r>
        <w:t>In § 38.2, paragraph (a)</w:t>
      </w:r>
      <w:r w:rsidRPr="0056378F">
        <w:t xml:space="preserve"> is </w:t>
      </w:r>
      <w:r>
        <w:t xml:space="preserve">revised </w:t>
      </w:r>
      <w:r w:rsidRPr="0056378F">
        <w:t>to read as follows</w:t>
      </w:r>
      <w:r>
        <w:t>:</w:t>
      </w:r>
    </w:p>
    <w:p w:rsidR="007E42E9" w:rsidRDefault="007E42E9" w:rsidP="007C0C74">
      <w:pPr>
        <w:rPr>
          <w:b/>
          <w:u w:val="single"/>
        </w:rPr>
      </w:pPr>
      <w:r w:rsidRPr="005C5223">
        <w:rPr>
          <w:b/>
        </w:rPr>
        <w:t>§ 38.2</w:t>
      </w:r>
      <w:r w:rsidRPr="005C5223">
        <w:rPr>
          <w:b/>
        </w:rPr>
        <w:tab/>
        <w:t xml:space="preserve"> </w:t>
      </w:r>
      <w:r w:rsidRPr="00331884">
        <w:rPr>
          <w:b/>
          <w:u w:val="single"/>
        </w:rPr>
        <w:t>Incorporation by reference of North American Energy Standards Board</w:t>
      </w:r>
    </w:p>
    <w:p w:rsidR="007E42E9" w:rsidRDefault="007E42E9" w:rsidP="007C0C74">
      <w:pPr>
        <w:rPr>
          <w:b/>
          <w:u w:val="single"/>
        </w:rPr>
      </w:pPr>
    </w:p>
    <w:p w:rsidR="007E42E9" w:rsidRPr="005C5223" w:rsidRDefault="007E42E9" w:rsidP="007C0C74">
      <w:pPr>
        <w:rPr>
          <w:b/>
        </w:rPr>
      </w:pPr>
      <w:r w:rsidRPr="00331884">
        <w:rPr>
          <w:b/>
          <w:u w:val="single"/>
        </w:rPr>
        <w:t>Wholesale Electric Quadrant standards</w:t>
      </w:r>
      <w:r w:rsidRPr="005C5223">
        <w:rPr>
          <w:b/>
        </w:rPr>
        <w:t>.</w:t>
      </w:r>
    </w:p>
    <w:p w:rsidR="007E42E9" w:rsidRDefault="007E42E9" w:rsidP="007C0C74"/>
    <w:p w:rsidR="007E42E9" w:rsidRDefault="007E42E9" w:rsidP="007C0C74">
      <w:pPr>
        <w:ind w:firstLine="720"/>
      </w:pPr>
      <w:r>
        <w:t>(a)</w:t>
      </w:r>
      <w:r>
        <w:tab/>
        <w:t>*</w:t>
      </w:r>
      <w:r>
        <w:tab/>
        <w:t xml:space="preserve">          *</w:t>
      </w:r>
      <w:r>
        <w:tab/>
        <w:t xml:space="preserve">          *</w:t>
      </w:r>
      <w:r>
        <w:tab/>
      </w:r>
    </w:p>
    <w:p w:rsidR="007E42E9" w:rsidRDefault="007E42E9" w:rsidP="007C0C74">
      <w:pPr>
        <w:pStyle w:val="BodyText3"/>
        <w:ind w:left="2160" w:right="-1035" w:hanging="1440"/>
        <w:rPr>
          <w:sz w:val="26"/>
          <w:szCs w:val="26"/>
        </w:rPr>
      </w:pPr>
    </w:p>
    <w:p w:rsidR="007E42E9" w:rsidRDefault="007E42E9" w:rsidP="00A123E5">
      <w:pPr>
        <w:pStyle w:val="RegText"/>
        <w:numPr>
          <w:ilvl w:val="2"/>
          <w:numId w:val="49"/>
        </w:numPr>
        <w:spacing w:line="480" w:lineRule="auto"/>
        <w:ind w:left="0"/>
      </w:pPr>
      <w:r>
        <w:t xml:space="preserve">  </w:t>
      </w:r>
      <w:r w:rsidRPr="00DB7D96">
        <w:t>Abbreviations, Acronyms, and Definition of Terms</w:t>
      </w:r>
    </w:p>
    <w:p w:rsidR="007E42E9" w:rsidRPr="00DB7D96" w:rsidRDefault="007E42E9" w:rsidP="005D6F3B">
      <w:pPr>
        <w:pStyle w:val="RegText"/>
        <w:numPr>
          <w:ilvl w:val="0"/>
          <w:numId w:val="0"/>
        </w:numPr>
        <w:spacing w:line="480" w:lineRule="auto"/>
      </w:pPr>
      <w:r>
        <w:t>(WEQ-000, Version 003, July 31</w:t>
      </w:r>
      <w:r w:rsidRPr="00226B06">
        <w:t>, 2012</w:t>
      </w:r>
      <w:r>
        <w:t>,</w:t>
      </w:r>
      <w:r w:rsidRPr="007E0C7E">
        <w:t xml:space="preserve"> </w:t>
      </w:r>
      <w:r>
        <w:t>as modified by NAESB final actions ratified on Oct. 4, 2012, Nov. 28, 2012 and Dec. 28, 2012);</w:t>
      </w:r>
    </w:p>
    <w:p w:rsidR="007E42E9" w:rsidRDefault="007E42E9">
      <w:pPr>
        <w:pStyle w:val="RegText"/>
        <w:numPr>
          <w:ilvl w:val="2"/>
          <w:numId w:val="49"/>
        </w:numPr>
        <w:spacing w:line="480" w:lineRule="auto"/>
        <w:ind w:left="0"/>
      </w:pPr>
      <w:r w:rsidRPr="00273AE8">
        <w:t>Open Access Same-Time Information System (OASIS</w:t>
      </w:r>
      <w:r>
        <w:t xml:space="preserve">), Version 2.0 (WEQ-001, </w:t>
      </w:r>
      <w:r w:rsidRPr="006A07A9">
        <w:t>Version 003,</w:t>
      </w:r>
      <w:r>
        <w:t xml:space="preserve"> July 31</w:t>
      </w:r>
      <w:r w:rsidRPr="00226B06">
        <w:t>, 2012</w:t>
      </w:r>
      <w:r>
        <w:t>, as modified by NAESB final actions ratified on Dec. 28, 2012)</w:t>
      </w:r>
      <w:r w:rsidRPr="00775342">
        <w:t xml:space="preserve"> </w:t>
      </w:r>
      <w:r w:rsidRPr="003B2273">
        <w:t>with the exception of Standards 001-14.1.3 and 001-15.1.2)</w:t>
      </w:r>
      <w:r>
        <w:t>;</w:t>
      </w:r>
    </w:p>
    <w:p w:rsidR="007E42E9" w:rsidRPr="00DB7D96" w:rsidRDefault="007E42E9">
      <w:pPr>
        <w:pStyle w:val="RegText"/>
        <w:numPr>
          <w:ilvl w:val="2"/>
          <w:numId w:val="49"/>
        </w:numPr>
        <w:spacing w:line="480" w:lineRule="auto"/>
        <w:ind w:left="0"/>
      </w:pPr>
      <w:r w:rsidRPr="00D508E8">
        <w:t xml:space="preserve">Open Access Same-Time Information System </w:t>
      </w:r>
      <w:r>
        <w:t>(</w:t>
      </w:r>
      <w:r w:rsidRPr="00DB7D96">
        <w:t>OASIS</w:t>
      </w:r>
      <w:r>
        <w:t>)</w:t>
      </w:r>
      <w:r w:rsidRPr="00DB7D96">
        <w:t xml:space="preserve"> </w:t>
      </w:r>
      <w:r>
        <w:t xml:space="preserve">Business Practice </w:t>
      </w:r>
      <w:r w:rsidRPr="00DB7D96">
        <w:t>Standards and Communication Protocols</w:t>
      </w:r>
      <w:r>
        <w:t xml:space="preserve"> (S&amp;CP),</w:t>
      </w:r>
      <w:r w:rsidRPr="00605E08">
        <w:t xml:space="preserve"> </w:t>
      </w:r>
      <w:r>
        <w:t>Version 2.0 (WEQ-002,</w:t>
      </w:r>
      <w:r w:rsidRPr="00BC53B9">
        <w:rPr>
          <w:szCs w:val="24"/>
        </w:rPr>
        <w:t xml:space="preserve"> </w:t>
      </w:r>
      <w:r w:rsidRPr="006A07A9">
        <w:t>Version 003</w:t>
      </w:r>
      <w:r>
        <w:t>, July 31</w:t>
      </w:r>
      <w:r w:rsidRPr="00226B06">
        <w:t>, 2012</w:t>
      </w:r>
      <w:r>
        <w:t>,</w:t>
      </w:r>
      <w:r w:rsidRPr="00BE4002">
        <w:t xml:space="preserve"> </w:t>
      </w:r>
      <w:r>
        <w:t>as modified by NAESB final actions ratified on Nov. 28, 2012 and Dec. 28, 2012);</w:t>
      </w:r>
    </w:p>
    <w:p w:rsidR="007E42E9" w:rsidRPr="00DB7D96" w:rsidRDefault="007E42E9">
      <w:pPr>
        <w:pStyle w:val="RegText"/>
        <w:numPr>
          <w:ilvl w:val="2"/>
          <w:numId w:val="49"/>
        </w:numPr>
        <w:spacing w:line="480" w:lineRule="auto"/>
        <w:ind w:left="0"/>
      </w:pPr>
      <w:r w:rsidRPr="009B6DE6">
        <w:t xml:space="preserve">Open Access Same-Time Information System </w:t>
      </w:r>
      <w:r>
        <w:t>(</w:t>
      </w:r>
      <w:r w:rsidRPr="00DB7D96">
        <w:t>OASIS</w:t>
      </w:r>
      <w:r>
        <w:t>)</w:t>
      </w:r>
      <w:r w:rsidRPr="00DB7D96">
        <w:t xml:space="preserve"> Data Dictionar</w:t>
      </w:r>
      <w:r>
        <w:t>y Business Practice Standards, Version 2.0 (WEQ-003,</w:t>
      </w:r>
      <w:r w:rsidRPr="00BC53B9">
        <w:rPr>
          <w:szCs w:val="24"/>
        </w:rPr>
        <w:t xml:space="preserve"> </w:t>
      </w:r>
      <w:r>
        <w:t>Version 003, July 31</w:t>
      </w:r>
      <w:r w:rsidRPr="00226B06">
        <w:t>,</w:t>
      </w:r>
      <w:r>
        <w:t> </w:t>
      </w:r>
      <w:r w:rsidRPr="00226B06">
        <w:t>2012</w:t>
      </w:r>
      <w:r>
        <w:t>,</w:t>
      </w:r>
      <w:r w:rsidRPr="00DD12EA">
        <w:t xml:space="preserve"> </w:t>
      </w:r>
      <w:r>
        <w:t>as modified by NAESB final actions ratified on Dec. 28, 2012);</w:t>
      </w:r>
    </w:p>
    <w:p w:rsidR="007E42E9" w:rsidRDefault="007E42E9" w:rsidP="00081740">
      <w:pPr>
        <w:pStyle w:val="RegText"/>
        <w:numPr>
          <w:ilvl w:val="2"/>
          <w:numId w:val="49"/>
        </w:numPr>
        <w:spacing w:line="480" w:lineRule="auto"/>
        <w:ind w:left="0"/>
      </w:pPr>
      <w:r w:rsidRPr="00DB7D96">
        <w:t>Coordinate Interchange</w:t>
      </w:r>
      <w:r>
        <w:t xml:space="preserve"> (WEQ-004,</w:t>
      </w:r>
      <w:r w:rsidRPr="006A07A9">
        <w:rPr>
          <w:szCs w:val="24"/>
        </w:rPr>
        <w:t xml:space="preserve"> </w:t>
      </w:r>
      <w:r w:rsidRPr="006A07A9">
        <w:t>Version 003</w:t>
      </w:r>
      <w:r>
        <w:t>, July 31</w:t>
      </w:r>
      <w:r w:rsidRPr="00226B06">
        <w:t>, 2012</w:t>
      </w:r>
      <w:r>
        <w:t>, as modified by NAESB final actions ratified on Dec. 28, 2012);</w:t>
      </w:r>
    </w:p>
    <w:p w:rsidR="007E42E9" w:rsidRDefault="007E42E9" w:rsidP="00081740">
      <w:pPr>
        <w:pStyle w:val="RegText"/>
        <w:numPr>
          <w:ilvl w:val="2"/>
          <w:numId w:val="49"/>
        </w:numPr>
        <w:spacing w:line="480" w:lineRule="auto"/>
        <w:ind w:left="0"/>
      </w:pPr>
      <w:r w:rsidRPr="009B6DE6">
        <w:t xml:space="preserve">Area Control Error </w:t>
      </w:r>
      <w:r>
        <w:t>(</w:t>
      </w:r>
      <w:r w:rsidRPr="00DB7D96">
        <w:t>ACE</w:t>
      </w:r>
      <w:r>
        <w:t>)</w:t>
      </w:r>
      <w:r w:rsidRPr="00DB7D96">
        <w:t xml:space="preserve"> Equation Special Cases</w:t>
      </w:r>
    </w:p>
    <w:p w:rsidR="007E42E9" w:rsidRPr="00DB7D96" w:rsidRDefault="007E42E9" w:rsidP="005D6F3B">
      <w:pPr>
        <w:pStyle w:val="RegText"/>
        <w:numPr>
          <w:ilvl w:val="0"/>
          <w:numId w:val="0"/>
        </w:numPr>
        <w:spacing w:line="480" w:lineRule="auto"/>
      </w:pPr>
      <w:r>
        <w:t>(WEQ-005,</w:t>
      </w:r>
      <w:r w:rsidRPr="006A07A9">
        <w:rPr>
          <w:szCs w:val="24"/>
        </w:rPr>
        <w:t xml:space="preserve"> </w:t>
      </w:r>
      <w:r w:rsidRPr="006A07A9">
        <w:t>Version 003</w:t>
      </w:r>
      <w:r>
        <w:t>, July 31</w:t>
      </w:r>
      <w:r w:rsidRPr="00226B06">
        <w:t>,</w:t>
      </w:r>
      <w:r>
        <w:t> </w:t>
      </w:r>
      <w:r w:rsidRPr="00226B06">
        <w:t>2012</w:t>
      </w:r>
      <w:r>
        <w:t>);</w:t>
      </w:r>
    </w:p>
    <w:p w:rsidR="007E42E9" w:rsidRPr="00DB7D96" w:rsidRDefault="007E42E9" w:rsidP="00A123E5">
      <w:pPr>
        <w:pStyle w:val="RegText"/>
        <w:numPr>
          <w:ilvl w:val="2"/>
          <w:numId w:val="51"/>
        </w:numPr>
        <w:spacing w:line="480" w:lineRule="auto"/>
        <w:ind w:left="0"/>
      </w:pPr>
      <w:r w:rsidRPr="00DB7D96">
        <w:t>Manual Time Error Correction</w:t>
      </w:r>
      <w:r>
        <w:t xml:space="preserve"> (WEQ-006,</w:t>
      </w:r>
      <w:r w:rsidRPr="006A07A9">
        <w:rPr>
          <w:szCs w:val="24"/>
        </w:rPr>
        <w:t xml:space="preserve"> </w:t>
      </w:r>
      <w:r w:rsidRPr="006A07A9">
        <w:t>Version 003</w:t>
      </w:r>
      <w:r>
        <w:t>, July 31</w:t>
      </w:r>
      <w:r w:rsidRPr="00226B06">
        <w:t>,</w:t>
      </w:r>
      <w:r>
        <w:t> </w:t>
      </w:r>
      <w:r w:rsidRPr="00226B06">
        <w:t>2012</w:t>
      </w:r>
      <w:r>
        <w:t>);</w:t>
      </w:r>
    </w:p>
    <w:p w:rsidR="007E42E9" w:rsidRPr="00DB7D96" w:rsidRDefault="007E42E9" w:rsidP="007C0C74">
      <w:pPr>
        <w:pStyle w:val="RegText"/>
        <w:numPr>
          <w:ilvl w:val="0"/>
          <w:numId w:val="0"/>
        </w:numPr>
        <w:spacing w:line="480" w:lineRule="auto"/>
        <w:ind w:firstLine="720"/>
      </w:pPr>
      <w:r>
        <w:t>(8)</w:t>
      </w:r>
      <w:r>
        <w:tab/>
      </w:r>
      <w:r w:rsidRPr="00605E08">
        <w:t>Inadvertent Interchange Payback</w:t>
      </w:r>
      <w:r>
        <w:t xml:space="preserve"> (WEQ-007,</w:t>
      </w:r>
      <w:r w:rsidRPr="006A07A9">
        <w:rPr>
          <w:szCs w:val="24"/>
        </w:rPr>
        <w:t xml:space="preserve"> </w:t>
      </w:r>
      <w:r w:rsidRPr="006A07A9">
        <w:t>Version 003,</w:t>
      </w:r>
      <w:r>
        <w:t xml:space="preserve"> July 31</w:t>
      </w:r>
      <w:r w:rsidRPr="00226B06">
        <w:t>,</w:t>
      </w:r>
      <w:r>
        <w:t> </w:t>
      </w:r>
      <w:r w:rsidRPr="00226B06">
        <w:t>2012</w:t>
      </w:r>
      <w:r>
        <w:t>);</w:t>
      </w:r>
    </w:p>
    <w:p w:rsidR="007E42E9" w:rsidRDefault="007E42E9" w:rsidP="007C0C74">
      <w:pPr>
        <w:pStyle w:val="RegText"/>
        <w:numPr>
          <w:ilvl w:val="0"/>
          <w:numId w:val="0"/>
        </w:numPr>
        <w:spacing w:line="480" w:lineRule="auto"/>
        <w:ind w:firstLine="720"/>
      </w:pPr>
      <w:r>
        <w:t>(9)</w:t>
      </w:r>
      <w:r>
        <w:tab/>
      </w:r>
      <w:r w:rsidRPr="00605E08">
        <w:t>Transmission Loading Relief</w:t>
      </w:r>
      <w:r>
        <w:t xml:space="preserve"> (TLR) – Eastern Interconnection</w:t>
      </w:r>
    </w:p>
    <w:p w:rsidR="007E42E9" w:rsidRPr="00605E08" w:rsidRDefault="007E42E9" w:rsidP="005D6F3B">
      <w:pPr>
        <w:pStyle w:val="RegText"/>
        <w:numPr>
          <w:ilvl w:val="0"/>
          <w:numId w:val="0"/>
        </w:numPr>
        <w:spacing w:line="480" w:lineRule="auto"/>
      </w:pPr>
      <w:r>
        <w:t>(WEQ-008,</w:t>
      </w:r>
      <w:r w:rsidRPr="006A07A9">
        <w:rPr>
          <w:szCs w:val="24"/>
        </w:rPr>
        <w:t xml:space="preserve"> </w:t>
      </w:r>
      <w:r w:rsidRPr="006A07A9">
        <w:t>Version 003,</w:t>
      </w:r>
      <w:r>
        <w:t xml:space="preserve"> July 31</w:t>
      </w:r>
      <w:r w:rsidRPr="00226B06">
        <w:t>,</w:t>
      </w:r>
      <w:r>
        <w:t> </w:t>
      </w:r>
      <w:r w:rsidRPr="00226B06">
        <w:t>2012</w:t>
      </w:r>
      <w:r>
        <w:t>);</w:t>
      </w:r>
    </w:p>
    <w:p w:rsidR="007E42E9" w:rsidRPr="00DB7D96" w:rsidRDefault="007E42E9" w:rsidP="007C0C74">
      <w:pPr>
        <w:pStyle w:val="RegText"/>
        <w:numPr>
          <w:ilvl w:val="0"/>
          <w:numId w:val="0"/>
        </w:numPr>
        <w:spacing w:line="480" w:lineRule="auto"/>
        <w:ind w:firstLine="720"/>
      </w:pPr>
      <w:r>
        <w:t>(10)</w:t>
      </w:r>
      <w:r w:rsidRPr="003D2B12">
        <w:tab/>
        <w:t>Gas / Electric Coordination</w:t>
      </w:r>
      <w:r>
        <w:t xml:space="preserve"> (WEQ-011, </w:t>
      </w:r>
      <w:r w:rsidRPr="006A07A9">
        <w:t>Version 003,</w:t>
      </w:r>
      <w:r>
        <w:t xml:space="preserve"> July 31</w:t>
      </w:r>
      <w:r w:rsidRPr="00226B06">
        <w:t>, 2012</w:t>
      </w:r>
      <w:r>
        <w:t>);</w:t>
      </w:r>
    </w:p>
    <w:p w:rsidR="007E42E9" w:rsidRPr="00DB7D96" w:rsidRDefault="007E42E9" w:rsidP="007C0C74">
      <w:pPr>
        <w:pStyle w:val="RegText"/>
        <w:numPr>
          <w:ilvl w:val="0"/>
          <w:numId w:val="0"/>
        </w:numPr>
        <w:spacing w:line="480" w:lineRule="auto"/>
        <w:ind w:firstLine="720"/>
      </w:pPr>
      <w:r>
        <w:t>(</w:t>
      </w:r>
      <w:r w:rsidRPr="003D2B12">
        <w:t>1</w:t>
      </w:r>
      <w:r>
        <w:t>1)</w:t>
      </w:r>
      <w:r w:rsidRPr="003D2B12">
        <w:tab/>
        <w:t>Public Key Infrastructure (PKI)</w:t>
      </w:r>
      <w:r>
        <w:t xml:space="preserve"> (WEQ-012,</w:t>
      </w:r>
      <w:r w:rsidRPr="006A07A9">
        <w:rPr>
          <w:szCs w:val="24"/>
        </w:rPr>
        <w:t xml:space="preserve"> </w:t>
      </w:r>
      <w:r w:rsidRPr="006A07A9">
        <w:t>Version 003,</w:t>
      </w:r>
      <w:r>
        <w:t xml:space="preserve"> July 31</w:t>
      </w:r>
      <w:r w:rsidRPr="00226B06">
        <w:t>,</w:t>
      </w:r>
      <w:r>
        <w:t> </w:t>
      </w:r>
      <w:r w:rsidRPr="00226B06">
        <w:t>2012</w:t>
      </w:r>
      <w:r>
        <w:t>, as modified by NAESB final actions ratified on Oct. 4, 2012);</w:t>
      </w:r>
    </w:p>
    <w:p w:rsidR="007E42E9" w:rsidRPr="00DB7D96" w:rsidRDefault="007E42E9" w:rsidP="007C0C74">
      <w:pPr>
        <w:pStyle w:val="RegText"/>
        <w:numPr>
          <w:ilvl w:val="0"/>
          <w:numId w:val="0"/>
        </w:numPr>
        <w:spacing w:line="480" w:lineRule="auto"/>
        <w:ind w:firstLine="720"/>
      </w:pPr>
      <w:r>
        <w:t>(</w:t>
      </w:r>
      <w:r w:rsidRPr="003D2B12">
        <w:t>1</w:t>
      </w:r>
      <w:r>
        <w:t>2)</w:t>
      </w:r>
      <w:r w:rsidRPr="003D2B12">
        <w:tab/>
      </w:r>
      <w:r w:rsidRPr="009B6DE6">
        <w:t xml:space="preserve">Open Access Same-Time Information System </w:t>
      </w:r>
      <w:r>
        <w:t>(</w:t>
      </w:r>
      <w:r w:rsidRPr="003D2B12">
        <w:t>OASIS</w:t>
      </w:r>
      <w:r>
        <w:t>)</w:t>
      </w:r>
      <w:r w:rsidRPr="003D2B12">
        <w:t xml:space="preserve"> Implementation Guide</w:t>
      </w:r>
      <w:r>
        <w:t>, Version 2.0 (WEQ-013,</w:t>
      </w:r>
      <w:r w:rsidRPr="006A07A9">
        <w:rPr>
          <w:szCs w:val="24"/>
        </w:rPr>
        <w:t xml:space="preserve"> </w:t>
      </w:r>
      <w:r w:rsidRPr="006A07A9">
        <w:t>Version 003</w:t>
      </w:r>
      <w:r>
        <w:t>, July 31</w:t>
      </w:r>
      <w:r w:rsidRPr="00226B06">
        <w:t>,</w:t>
      </w:r>
      <w:r>
        <w:t> </w:t>
      </w:r>
      <w:r w:rsidRPr="00226B06">
        <w:t>2012</w:t>
      </w:r>
      <w:r>
        <w:t>,</w:t>
      </w:r>
      <w:r w:rsidRPr="00DD12EA">
        <w:t xml:space="preserve"> </w:t>
      </w:r>
      <w:r>
        <w:t>as modified by NAESB final actions ratified on Dec. 28, 2012);</w:t>
      </w:r>
    </w:p>
    <w:p w:rsidR="007E42E9" w:rsidRDefault="007E42E9" w:rsidP="007C0C74">
      <w:pPr>
        <w:pStyle w:val="RegText"/>
        <w:numPr>
          <w:ilvl w:val="0"/>
          <w:numId w:val="0"/>
        </w:numPr>
        <w:spacing w:line="480" w:lineRule="auto"/>
        <w:ind w:firstLine="720"/>
      </w:pPr>
      <w:r>
        <w:t>(</w:t>
      </w:r>
      <w:r w:rsidRPr="003D2B12">
        <w:t>1</w:t>
      </w:r>
      <w:r>
        <w:t>3)</w:t>
      </w:r>
      <w:r w:rsidRPr="003D2B12">
        <w:tab/>
      </w:r>
      <w:r w:rsidRPr="00B562AE">
        <w:t>Measurement and Verification of Wholesale Electricity Demand Response</w:t>
      </w:r>
      <w:r>
        <w:t xml:space="preserve"> (WEQ-015, </w:t>
      </w:r>
      <w:r w:rsidRPr="006A07A9">
        <w:t>Version 003,</w:t>
      </w:r>
      <w:r>
        <w:t xml:space="preserve"> July 31</w:t>
      </w:r>
      <w:r w:rsidRPr="00226B06">
        <w:t>, 2012</w:t>
      </w:r>
      <w:r>
        <w:t>);</w:t>
      </w:r>
    </w:p>
    <w:p w:rsidR="007E42E9" w:rsidRDefault="007E42E9" w:rsidP="00CF679E">
      <w:pPr>
        <w:pStyle w:val="RegText"/>
        <w:numPr>
          <w:ilvl w:val="0"/>
          <w:numId w:val="0"/>
        </w:numPr>
        <w:spacing w:line="480" w:lineRule="auto"/>
        <w:ind w:firstLine="720"/>
        <w:rPr>
          <w:b/>
        </w:rPr>
      </w:pPr>
      <w:r>
        <w:t>(</w:t>
      </w:r>
      <w:r w:rsidRPr="00B562AE">
        <w:t>1</w:t>
      </w:r>
      <w:r>
        <w:t>4)</w:t>
      </w:r>
      <w:r w:rsidRPr="00B562AE">
        <w:tab/>
      </w:r>
      <w:r>
        <w:t xml:space="preserve">NAESB </w:t>
      </w:r>
      <w:r w:rsidRPr="00B562AE">
        <w:t>Specifications for Common Electricity Product and Pricing Definition</w:t>
      </w:r>
      <w:r>
        <w:t xml:space="preserve"> (WEQ-016, </w:t>
      </w:r>
      <w:r w:rsidRPr="006A07A9">
        <w:t>Version 003,</w:t>
      </w:r>
      <w:r>
        <w:t xml:space="preserve"> July 31</w:t>
      </w:r>
      <w:r w:rsidRPr="00226B06">
        <w:t>, 2012</w:t>
      </w:r>
      <w:r>
        <w:t>);</w:t>
      </w:r>
    </w:p>
    <w:p w:rsidR="007E42E9" w:rsidRDefault="007E42E9" w:rsidP="00081740">
      <w:pPr>
        <w:pStyle w:val="RegText"/>
        <w:numPr>
          <w:ilvl w:val="0"/>
          <w:numId w:val="0"/>
        </w:numPr>
        <w:spacing w:line="480" w:lineRule="auto"/>
        <w:ind w:firstLine="720"/>
      </w:pPr>
      <w:r>
        <w:t>(</w:t>
      </w:r>
      <w:r w:rsidRPr="00B562AE">
        <w:t>1</w:t>
      </w:r>
      <w:r>
        <w:t>5)</w:t>
      </w:r>
      <w:r w:rsidRPr="00B562AE">
        <w:tab/>
      </w:r>
      <w:r w:rsidRPr="002A4F39">
        <w:t>Specifications for Common Schedule Communication Mechanism for Energy</w:t>
      </w:r>
      <w:r>
        <w:t> </w:t>
      </w:r>
      <w:r w:rsidRPr="002A4F39">
        <w:t>Transactions</w:t>
      </w:r>
      <w:r>
        <w:t xml:space="preserve"> </w:t>
      </w:r>
      <w:r w:rsidRPr="002A4F39">
        <w:t xml:space="preserve">(WEQ-017, </w:t>
      </w:r>
      <w:r w:rsidRPr="006A07A9">
        <w:t>Version 003,</w:t>
      </w:r>
      <w:r>
        <w:t xml:space="preserve"> July 31</w:t>
      </w:r>
      <w:r w:rsidRPr="002A4F39">
        <w:t>, 2012);</w:t>
      </w:r>
    </w:p>
    <w:p w:rsidR="007E42E9" w:rsidRDefault="007E42E9">
      <w:pPr>
        <w:widowControl/>
        <w:autoSpaceDE/>
        <w:autoSpaceDN/>
        <w:adjustRightInd/>
        <w:rPr>
          <w:szCs w:val="26"/>
        </w:rPr>
      </w:pPr>
      <w:r>
        <w:br w:type="page"/>
      </w:r>
    </w:p>
    <w:p w:rsidR="007E42E9" w:rsidRDefault="007E42E9" w:rsidP="00BC53B9">
      <w:pPr>
        <w:pStyle w:val="RegText"/>
        <w:numPr>
          <w:ilvl w:val="0"/>
          <w:numId w:val="0"/>
        </w:numPr>
        <w:spacing w:line="480" w:lineRule="auto"/>
        <w:ind w:firstLine="720"/>
      </w:pPr>
      <w:r>
        <w:t>(16)</w:t>
      </w:r>
      <w:r>
        <w:tab/>
      </w:r>
      <w:r w:rsidRPr="002A4F39">
        <w:t>Specifications for Wholesale Standard Demand Response Signals</w:t>
      </w:r>
      <w:r>
        <w:t xml:space="preserve"> </w:t>
      </w:r>
    </w:p>
    <w:p w:rsidR="007E42E9" w:rsidRPr="00081740" w:rsidRDefault="007E42E9" w:rsidP="005D6F3B">
      <w:pPr>
        <w:pStyle w:val="RegText"/>
        <w:numPr>
          <w:ilvl w:val="0"/>
          <w:numId w:val="0"/>
        </w:numPr>
        <w:spacing w:line="480" w:lineRule="auto"/>
      </w:pPr>
      <w:r>
        <w:t xml:space="preserve">(WEQ-018, </w:t>
      </w:r>
      <w:r w:rsidRPr="006A07A9">
        <w:t>Version 003,</w:t>
      </w:r>
      <w:r>
        <w:t xml:space="preserve"> July 31</w:t>
      </w:r>
      <w:r w:rsidRPr="00226B06">
        <w:t>, 2012</w:t>
      </w:r>
      <w:r>
        <w:t>);</w:t>
      </w:r>
    </w:p>
    <w:p w:rsidR="007E42E9" w:rsidRDefault="007E42E9" w:rsidP="00BC53B9">
      <w:pPr>
        <w:pStyle w:val="RegText"/>
        <w:numPr>
          <w:ilvl w:val="0"/>
          <w:numId w:val="0"/>
        </w:numPr>
        <w:spacing w:line="480" w:lineRule="auto"/>
        <w:ind w:firstLine="720"/>
      </w:pPr>
      <w:r>
        <w:t>(17)</w:t>
      </w:r>
      <w:r>
        <w:tab/>
        <w:t xml:space="preserve">NAESB </w:t>
      </w:r>
      <w:r w:rsidRPr="002A4F39">
        <w:t>Customer Energy Usage Information Communication</w:t>
      </w:r>
    </w:p>
    <w:p w:rsidR="007E42E9" w:rsidRDefault="007E42E9" w:rsidP="005D6F3B">
      <w:pPr>
        <w:pStyle w:val="RegText"/>
        <w:numPr>
          <w:ilvl w:val="0"/>
          <w:numId w:val="0"/>
        </w:numPr>
        <w:spacing w:line="480" w:lineRule="auto"/>
        <w:rPr>
          <w:b/>
        </w:rPr>
      </w:pPr>
      <w:r>
        <w:t xml:space="preserve">(WEQ-019, </w:t>
      </w:r>
      <w:r w:rsidRPr="006A07A9">
        <w:t>Version 003,</w:t>
      </w:r>
      <w:r>
        <w:t xml:space="preserve"> July 31</w:t>
      </w:r>
      <w:r w:rsidRPr="00226B06">
        <w:t>, 2012</w:t>
      </w:r>
      <w:r>
        <w:t>);</w:t>
      </w:r>
    </w:p>
    <w:p w:rsidR="007E42E9" w:rsidRDefault="007E42E9" w:rsidP="007C0C74">
      <w:pPr>
        <w:pStyle w:val="RegText"/>
        <w:numPr>
          <w:ilvl w:val="0"/>
          <w:numId w:val="0"/>
        </w:numPr>
        <w:spacing w:line="480" w:lineRule="auto"/>
        <w:ind w:firstLine="720"/>
      </w:pPr>
      <w:r>
        <w:t>(18)</w:t>
      </w:r>
      <w:r>
        <w:tab/>
      </w:r>
      <w:r w:rsidRPr="002A4F39">
        <w:t>Smart Grid Standards Data Element Table</w:t>
      </w:r>
    </w:p>
    <w:p w:rsidR="007E42E9" w:rsidRDefault="007E42E9" w:rsidP="005D6F3B">
      <w:pPr>
        <w:pStyle w:val="RegText"/>
        <w:numPr>
          <w:ilvl w:val="0"/>
          <w:numId w:val="0"/>
        </w:numPr>
        <w:spacing w:line="480" w:lineRule="auto"/>
      </w:pPr>
      <w:r>
        <w:t xml:space="preserve">(WEQ-020, </w:t>
      </w:r>
      <w:r w:rsidRPr="006A07A9">
        <w:t>Version 003,</w:t>
      </w:r>
      <w:r>
        <w:t xml:space="preserve"> July 31</w:t>
      </w:r>
      <w:r w:rsidRPr="00226B06">
        <w:t>, 2012</w:t>
      </w:r>
      <w:r>
        <w:t>); and</w:t>
      </w:r>
    </w:p>
    <w:p w:rsidR="007E42E9" w:rsidRDefault="007E42E9" w:rsidP="007C0C74">
      <w:pPr>
        <w:pStyle w:val="RegText"/>
        <w:numPr>
          <w:ilvl w:val="0"/>
          <w:numId w:val="0"/>
        </w:numPr>
        <w:spacing w:line="480" w:lineRule="auto"/>
        <w:ind w:firstLine="720"/>
      </w:pPr>
      <w:r>
        <w:t>(19)</w:t>
      </w:r>
      <w:r>
        <w:tab/>
      </w:r>
      <w:r w:rsidRPr="002A4F39">
        <w:t>Measurement and Verification of Energy Efficiency Products</w:t>
      </w:r>
    </w:p>
    <w:p w:rsidR="007E42E9" w:rsidRDefault="007E42E9" w:rsidP="005D6F3B">
      <w:pPr>
        <w:pStyle w:val="RegText"/>
        <w:numPr>
          <w:ilvl w:val="0"/>
          <w:numId w:val="0"/>
        </w:numPr>
        <w:spacing w:line="480" w:lineRule="auto"/>
        <w:rPr>
          <w:b/>
        </w:rPr>
      </w:pPr>
      <w:r>
        <w:t xml:space="preserve">(WEQ-021, </w:t>
      </w:r>
      <w:r w:rsidRPr="006A07A9">
        <w:t>Version 003,</w:t>
      </w:r>
      <w:r>
        <w:t xml:space="preserve"> July 31</w:t>
      </w:r>
      <w:r w:rsidRPr="00226B06">
        <w:t>, 2012</w:t>
      </w:r>
      <w:r>
        <w:t>).</w:t>
      </w:r>
    </w:p>
    <w:p w:rsidR="007E42E9" w:rsidRPr="00D00F8F" w:rsidRDefault="007E42E9" w:rsidP="007C0C74">
      <w:pPr>
        <w:ind w:left="720" w:firstLine="720"/>
      </w:pPr>
      <w:r>
        <w:t>*</w:t>
      </w:r>
      <w:r>
        <w:tab/>
      </w:r>
      <w:r>
        <w:tab/>
        <w:t>*</w:t>
      </w:r>
      <w:r>
        <w:tab/>
      </w:r>
      <w:r>
        <w:tab/>
        <w:t>*</w:t>
      </w:r>
      <w:r>
        <w:tab/>
      </w:r>
      <w:r>
        <w:tab/>
        <w:t>*</w:t>
      </w:r>
      <w:r>
        <w:tab/>
      </w:r>
      <w:r>
        <w:tab/>
        <w:t>*</w:t>
      </w:r>
    </w:p>
    <w:p w:rsidR="007E42E9" w:rsidRPr="007D4408" w:rsidRDefault="007E42E9" w:rsidP="00F362BB">
      <w:pPr>
        <w:pStyle w:val="FERCparanumber"/>
        <w:numPr>
          <w:ilvl w:val="0"/>
          <w:numId w:val="0"/>
        </w:numPr>
      </w:pPr>
    </w:p>
    <w:sectPr w:rsidR="007E42E9" w:rsidRPr="007D4408" w:rsidSect="00286331">
      <w:pgSz w:w="12240" w:h="15840"/>
      <w:pgMar w:top="1440" w:right="1440" w:bottom="135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E9" w:rsidRDefault="007E42E9">
      <w:r>
        <w:separator/>
      </w:r>
    </w:p>
  </w:endnote>
  <w:endnote w:type="continuationSeparator" w:id="0">
    <w:p w:rsidR="007E42E9" w:rsidRDefault="007E42E9">
      <w:r>
        <w:continuationSeparator/>
      </w:r>
    </w:p>
  </w:endnote>
  <w:endnote w:type="continuationNotice" w:id="1">
    <w:p w:rsidR="007E42E9" w:rsidRDefault="007E42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E9" w:rsidRDefault="007E42E9">
      <w:r>
        <w:separator/>
      </w:r>
    </w:p>
  </w:footnote>
  <w:footnote w:type="continuationSeparator" w:id="0">
    <w:p w:rsidR="007E42E9" w:rsidRDefault="007E42E9">
      <w:r>
        <w:continuationSeparator/>
      </w:r>
    </w:p>
  </w:footnote>
  <w:footnote w:type="continuationNotice" w:id="1">
    <w:p w:rsidR="007E42E9" w:rsidRDefault="007E42E9"/>
    <w:p w:rsidR="007E42E9" w:rsidRDefault="007E42E9" w:rsidP="00565C2A">
      <w:pPr>
        <w:jc w:val="right"/>
      </w:pPr>
      <w:r>
        <w:t>(continued…)</w:t>
      </w:r>
    </w:p>
  </w:footnote>
  <w:footnote w:id="2">
    <w:p w:rsidR="007E42E9" w:rsidRDefault="007E42E9" w:rsidP="007C0C74">
      <w:pPr>
        <w:pStyle w:val="FootnoteText"/>
      </w:pPr>
      <w:r>
        <w:rPr>
          <w:rStyle w:val="FootnoteReference"/>
        </w:rPr>
        <w:footnoteRef/>
      </w:r>
      <w:r>
        <w:t xml:space="preserve"> </w:t>
      </w:r>
      <w:r w:rsidRPr="0056378F">
        <w:t>1</w:t>
      </w:r>
      <w:r>
        <w:t>6</w:t>
      </w:r>
      <w:r w:rsidRPr="0056378F">
        <w:t xml:space="preserve"> U.S.C. </w:t>
      </w:r>
      <w:r>
        <w:t>791a</w:t>
      </w:r>
      <w:r w:rsidRPr="00333C22">
        <w:t xml:space="preserve">, </w:t>
      </w:r>
      <w:r w:rsidRPr="00333C22">
        <w:rPr>
          <w:i/>
        </w:rPr>
        <w:t>et seq.</w:t>
      </w:r>
    </w:p>
  </w:footnote>
  <w:footnote w:id="3">
    <w:p w:rsidR="007E42E9" w:rsidRDefault="007E42E9" w:rsidP="008B3D0D">
      <w:pPr>
        <w:pStyle w:val="FERCparanumber"/>
        <w:numPr>
          <w:ilvl w:val="0"/>
          <w:numId w:val="0"/>
        </w:numPr>
        <w:spacing w:after="120" w:line="240" w:lineRule="auto"/>
        <w:ind w:firstLine="720"/>
      </w:pPr>
      <w:r>
        <w:rPr>
          <w:rStyle w:val="FootnoteReference"/>
        </w:rPr>
        <w:footnoteRef/>
      </w:r>
      <w:r>
        <w:t xml:space="preserve"> </w:t>
      </w:r>
      <w:r w:rsidRPr="0041009D">
        <w:rPr>
          <w:i/>
        </w:rPr>
        <w:t>Preventing Undue Discrimination and Preference in Transmission Service</w:t>
      </w:r>
      <w:r w:rsidRPr="0041009D">
        <w:t xml:space="preserve">, Order No. 890, </w:t>
      </w:r>
      <w:r>
        <w:t>FERC Stats. &amp; R</w:t>
      </w:r>
      <w:r w:rsidRPr="0041009D">
        <w:t>egs. ¶</w:t>
      </w:r>
      <w:r>
        <w:t> 31,</w:t>
      </w:r>
      <w:r w:rsidRPr="0041009D">
        <w:t>241</w:t>
      </w:r>
      <w:r>
        <w:t xml:space="preserve"> (2007)</w:t>
      </w:r>
      <w:r w:rsidRPr="0041009D">
        <w:t xml:space="preserve">, </w:t>
      </w:r>
      <w:r w:rsidRPr="0041009D">
        <w:rPr>
          <w:i/>
        </w:rPr>
        <w:t>order on reh’g</w:t>
      </w:r>
      <w:r w:rsidRPr="0041009D">
        <w:t xml:space="preserve">, Order No. 890-A, FERC Stats. &amp; Regs. ¶ 31,261 (2007), </w:t>
      </w:r>
      <w:r w:rsidRPr="0041009D">
        <w:rPr>
          <w:i/>
        </w:rPr>
        <w:t>order on reh’g</w:t>
      </w:r>
      <w:r w:rsidRPr="0041009D">
        <w:t>, Order</w:t>
      </w:r>
      <w:r>
        <w:t xml:space="preserve"> </w:t>
      </w:r>
      <w:r w:rsidRPr="0041009D">
        <w:t>No. 890-B, 123 FERC ¶</w:t>
      </w:r>
      <w:r>
        <w:t> </w:t>
      </w:r>
      <w:r w:rsidRPr="0041009D">
        <w:t xml:space="preserve">61,299 (2008), </w:t>
      </w:r>
      <w:r w:rsidRPr="0041009D">
        <w:rPr>
          <w:i/>
        </w:rPr>
        <w:t>order on reh’g and clarification</w:t>
      </w:r>
      <w:r w:rsidRPr="0041009D">
        <w:t>, Order No. 890-C, 126 FERC ¶</w:t>
      </w:r>
      <w:r>
        <w:t> </w:t>
      </w:r>
      <w:r w:rsidRPr="0041009D">
        <w:t>61,228 (2009) (Order No. 890-C).</w:t>
      </w:r>
      <w:r>
        <w:t xml:space="preserve">  The Version 002 standards also included revisions made in response to Order No. 890 (</w:t>
      </w:r>
      <w:r w:rsidRPr="00B043FB">
        <w:rPr>
          <w:i/>
        </w:rPr>
        <w:t xml:space="preserve">see </w:t>
      </w:r>
      <w:r>
        <w:rPr>
          <w:i/>
        </w:rPr>
        <w:t>infra</w:t>
      </w:r>
      <w:r>
        <w:t xml:space="preserve"> P 11).</w:t>
      </w:r>
    </w:p>
  </w:footnote>
  <w:footnote w:id="4">
    <w:p w:rsidR="007E42E9" w:rsidRDefault="007E42E9" w:rsidP="00565C2A">
      <w:pPr>
        <w:widowControl/>
        <w:ind w:firstLine="720"/>
      </w:pPr>
      <w:r>
        <w:rPr>
          <w:rStyle w:val="FootnoteReference"/>
        </w:rPr>
        <w:footnoteRef/>
      </w:r>
      <w:r>
        <w:t xml:space="preserve"> </w:t>
      </w:r>
      <w:r w:rsidRPr="00F421E3">
        <w:rPr>
          <w:i/>
        </w:rPr>
        <w:t>Standards for Business Practices and Communication Protocols for Public Utilities</w:t>
      </w:r>
      <w:r w:rsidRPr="00F421E3">
        <w:t>, Order No. 676, FERC Stats. &amp; Regs. ¶</w:t>
      </w:r>
      <w:r>
        <w:t> </w:t>
      </w:r>
      <w:r w:rsidRPr="00F421E3">
        <w:t xml:space="preserve">31,216, (2006), </w:t>
      </w:r>
      <w:r w:rsidRPr="00E9726F">
        <w:rPr>
          <w:i/>
        </w:rPr>
        <w:t>reh’g</w:t>
      </w:r>
      <w:r>
        <w:rPr>
          <w:i/>
        </w:rPr>
        <w:t xml:space="preserve"> </w:t>
      </w:r>
      <w:r w:rsidRPr="00E9726F">
        <w:rPr>
          <w:i/>
        </w:rPr>
        <w:t>denied</w:t>
      </w:r>
      <w:r w:rsidRPr="00F421E3">
        <w:t>, Order No. 676-A, 116 FERC ¶</w:t>
      </w:r>
      <w:r>
        <w:t> </w:t>
      </w:r>
      <w:r w:rsidRPr="00F421E3">
        <w:t xml:space="preserve">61,255 (2006), </w:t>
      </w:r>
      <w:r w:rsidRPr="00E9726F">
        <w:rPr>
          <w:i/>
        </w:rPr>
        <w:t>Final Rule</w:t>
      </w:r>
      <w:r w:rsidRPr="00F421E3">
        <w:t>, Order No. 676-B,</w:t>
      </w:r>
      <w:r>
        <w:t xml:space="preserve"> </w:t>
      </w:r>
      <w:r w:rsidRPr="00F421E3">
        <w:t>FERC Stats. &amp; Regs. ¶</w:t>
      </w:r>
      <w:r>
        <w:t> </w:t>
      </w:r>
      <w:r w:rsidRPr="00F421E3">
        <w:t xml:space="preserve">31,246 (2007), </w:t>
      </w:r>
      <w:r w:rsidRPr="00E9726F">
        <w:rPr>
          <w:i/>
        </w:rPr>
        <w:t>Final Rule</w:t>
      </w:r>
      <w:r w:rsidRPr="00F421E3">
        <w:t>, Order No. 676-C,</w:t>
      </w:r>
      <w:r>
        <w:t xml:space="preserve"> </w:t>
      </w:r>
      <w:r w:rsidRPr="00F421E3">
        <w:t>FERC Stats. &amp; Regs. ¶</w:t>
      </w:r>
      <w:r>
        <w:t> </w:t>
      </w:r>
      <w:r w:rsidRPr="00F421E3">
        <w:t xml:space="preserve">31,274 (2008), </w:t>
      </w:r>
      <w:r w:rsidRPr="00E9726F">
        <w:rPr>
          <w:i/>
        </w:rPr>
        <w:t>order granting clarification and denying reh’g</w:t>
      </w:r>
      <w:r w:rsidRPr="00F421E3">
        <w:t>, Order No. 676-D,</w:t>
      </w:r>
      <w:r>
        <w:t xml:space="preserve"> </w:t>
      </w:r>
      <w:r w:rsidRPr="00F421E3">
        <w:t>124 FERC ¶</w:t>
      </w:r>
      <w:r>
        <w:t> </w:t>
      </w:r>
      <w:r w:rsidRPr="00F421E3">
        <w:t>61,317 (2008),</w:t>
      </w:r>
      <w:r>
        <w:t xml:space="preserve"> </w:t>
      </w:r>
      <w:r w:rsidRPr="00E9726F">
        <w:rPr>
          <w:i/>
        </w:rPr>
        <w:t>Final Rule</w:t>
      </w:r>
      <w:r w:rsidRPr="00F421E3">
        <w:t>, Order No. 676-E,</w:t>
      </w:r>
      <w:r>
        <w:t xml:space="preserve"> </w:t>
      </w:r>
      <w:r w:rsidRPr="00F421E3">
        <w:t>FERC Stats. &amp; Regs. ¶</w:t>
      </w:r>
      <w:r>
        <w:t> </w:t>
      </w:r>
      <w:r w:rsidRPr="00F421E3">
        <w:t>31,299 (2009) (Order No. 676-E)</w:t>
      </w:r>
      <w:r>
        <w:t xml:space="preserve">; </w:t>
      </w:r>
      <w:r w:rsidRPr="00E9726F">
        <w:rPr>
          <w:i/>
        </w:rPr>
        <w:t>Standards of Conduct for Transmission Providers</w:t>
      </w:r>
      <w:r w:rsidRPr="00F421E3">
        <w:t>, Order No. 717, FERC Stats. &amp; Regs. ¶</w:t>
      </w:r>
      <w:r>
        <w:t> </w:t>
      </w:r>
      <w:r w:rsidRPr="00F421E3">
        <w:t>31,280 (2008) (Order</w:t>
      </w:r>
      <w:r>
        <w:t xml:space="preserve"> </w:t>
      </w:r>
      <w:r w:rsidRPr="00F421E3">
        <w:t>No. 717).</w:t>
      </w:r>
    </w:p>
    <w:p w:rsidR="007E42E9" w:rsidRDefault="007E42E9" w:rsidP="00565C2A">
      <w:pPr>
        <w:widowControl/>
        <w:ind w:firstLine="720"/>
      </w:pPr>
    </w:p>
  </w:footnote>
  <w:footnote w:id="5">
    <w:p w:rsidR="007E42E9" w:rsidRDefault="007E42E9">
      <w:pPr>
        <w:pStyle w:val="FootnoteText"/>
      </w:pPr>
      <w:r>
        <w:rPr>
          <w:rStyle w:val="FootnoteReference"/>
        </w:rPr>
        <w:footnoteRef/>
      </w:r>
      <w:r>
        <w:t xml:space="preserve"> </w:t>
      </w:r>
      <w:r>
        <w:rPr>
          <w:szCs w:val="26"/>
        </w:rPr>
        <w:t xml:space="preserve">September 18 Filing, transmittal at 2 (citing </w:t>
      </w:r>
      <w:r w:rsidRPr="00C1168A">
        <w:rPr>
          <w:szCs w:val="26"/>
        </w:rPr>
        <w:t>NAESB WEQ Electronic Tagging – Functional Specifications, Version 1.8.1</w:t>
      </w:r>
      <w:r>
        <w:rPr>
          <w:szCs w:val="26"/>
        </w:rPr>
        <w:t>).</w:t>
      </w:r>
    </w:p>
  </w:footnote>
  <w:footnote w:id="6">
    <w:p w:rsidR="007E42E9" w:rsidRDefault="007E42E9">
      <w:pPr>
        <w:pStyle w:val="FootnoteText"/>
      </w:pPr>
      <w:r>
        <w:rPr>
          <w:rStyle w:val="FootnoteReference"/>
        </w:rPr>
        <w:footnoteRef/>
      </w:r>
      <w:r>
        <w:t xml:space="preserve"> </w:t>
      </w:r>
      <w:r>
        <w:rPr>
          <w:i/>
        </w:rPr>
        <w:t>Id.</w:t>
      </w:r>
    </w:p>
  </w:footnote>
  <w:footnote w:id="7">
    <w:p w:rsidR="007E42E9" w:rsidRDefault="007E42E9">
      <w:pPr>
        <w:pStyle w:val="FootnoteText"/>
      </w:pPr>
      <w:r>
        <w:rPr>
          <w:rStyle w:val="FootnoteReference"/>
        </w:rPr>
        <w:footnoteRef/>
      </w:r>
      <w:r>
        <w:t xml:space="preserve"> </w:t>
      </w:r>
      <w:r>
        <w:rPr>
          <w:i/>
        </w:rPr>
        <w:t>Id.</w:t>
      </w:r>
    </w:p>
  </w:footnote>
  <w:footnote w:id="8">
    <w:p w:rsidR="007E42E9" w:rsidRDefault="007E42E9">
      <w:pPr>
        <w:pStyle w:val="FootnoteText"/>
      </w:pPr>
      <w:r>
        <w:rPr>
          <w:rStyle w:val="FootnoteReference"/>
        </w:rPr>
        <w:footnoteRef/>
      </w:r>
      <w:r>
        <w:t xml:space="preserve"> </w:t>
      </w:r>
      <w:r>
        <w:rPr>
          <w:i/>
        </w:rPr>
        <w:t>Id.</w:t>
      </w:r>
    </w:p>
  </w:footnote>
  <w:footnote w:id="9">
    <w:p w:rsidR="007E42E9" w:rsidRDefault="007E42E9" w:rsidP="007C0C74">
      <w:pPr>
        <w:pStyle w:val="FootnoteText"/>
      </w:pPr>
      <w:r>
        <w:rPr>
          <w:rStyle w:val="FootnoteReference"/>
        </w:rPr>
        <w:footnoteRef/>
      </w:r>
      <w:r>
        <w:t xml:space="preserve"> </w:t>
      </w:r>
      <w:r w:rsidRPr="00277458">
        <w:rPr>
          <w:i/>
        </w:rPr>
        <w:t>Standards for Business Practices and Communication Protocols for Public Utilities</w:t>
      </w:r>
      <w:r>
        <w:t>, Order No. 676-G, 78 FR 14654 (Mar. 7, 2013), FERC Stats. &amp; Regs. ¶ 31,343 (Feb. 21, 2013).  In this rule, the Commission incorporated by reference into its regulations updated business practice standards adopted by NAESB’s WEQ to categorize various products and services for demand response and energy efficiency and to support the measurement and verification of these products and services in organized wholesale electric markets.  These same standards are included without revision in the Version 003 standards.</w:t>
      </w:r>
    </w:p>
  </w:footnote>
  <w:footnote w:id="10">
    <w:p w:rsidR="007E42E9" w:rsidRDefault="007E42E9">
      <w:pPr>
        <w:pStyle w:val="FootnoteText"/>
      </w:pPr>
      <w:r>
        <w:rPr>
          <w:rStyle w:val="FootnoteReference"/>
        </w:rPr>
        <w:footnoteRef/>
      </w:r>
      <w:r>
        <w:t xml:space="preserve"> </w:t>
      </w:r>
      <w:r w:rsidRPr="00514C3B">
        <w:t xml:space="preserve">These standards were originally cited in a NAESB July 2011 report filed with the Commission and were resubmitted as part of WEQ Version 003.  </w:t>
      </w:r>
      <w:r w:rsidRPr="00514C3B">
        <w:rPr>
          <w:i/>
        </w:rPr>
        <w:t>See</w:t>
      </w:r>
      <w:r w:rsidRPr="00514C3B">
        <w:t xml:space="preserve"> Report of the North American Energy Standards Board on Smart Grid Related Standards, Docket No. RM05-5-021 (filed July 7, 2011); NAESB Sept</w:t>
      </w:r>
      <w:r>
        <w:t>ember</w:t>
      </w:r>
      <w:r w:rsidRPr="00514C3B">
        <w:t xml:space="preserve"> 18 Filing at 2</w:t>
      </w:r>
      <w:r>
        <w:t>.</w:t>
      </w:r>
    </w:p>
  </w:footnote>
  <w:footnote w:id="11">
    <w:p w:rsidR="007E42E9" w:rsidRDefault="007E42E9" w:rsidP="007C0C74">
      <w:pPr>
        <w:pStyle w:val="FootnoteText"/>
      </w:pPr>
      <w:r>
        <w:rPr>
          <w:rStyle w:val="FootnoteReference"/>
        </w:rPr>
        <w:footnoteRef/>
      </w:r>
      <w:r>
        <w:t xml:space="preserve"> </w:t>
      </w:r>
      <w:r w:rsidRPr="00277458">
        <w:rPr>
          <w:i/>
        </w:rPr>
        <w:t>Standards for Business Practices and Communication Protocols for Public Utilities</w:t>
      </w:r>
      <w:r>
        <w:t xml:space="preserve">, Order No. 676-C, FERC Stats. &amp; Regs. ¶ 31,274, </w:t>
      </w:r>
      <w:r w:rsidRPr="00864DC9">
        <w:rPr>
          <w:i/>
        </w:rPr>
        <w:t>reh’g denied</w:t>
      </w:r>
      <w:r>
        <w:t>, Order No. 676-D, 124 FERC ¶ 61,317 (2008).</w:t>
      </w:r>
    </w:p>
  </w:footnote>
  <w:footnote w:id="12">
    <w:p w:rsidR="007E42E9" w:rsidRDefault="007E42E9" w:rsidP="007C0C74">
      <w:pPr>
        <w:pStyle w:val="FootnoteText"/>
      </w:pPr>
      <w:r>
        <w:rPr>
          <w:rStyle w:val="FootnoteReference"/>
        </w:rPr>
        <w:footnoteRef/>
      </w:r>
      <w:r>
        <w:t xml:space="preserve"> </w:t>
      </w:r>
      <w:r w:rsidRPr="00277458">
        <w:rPr>
          <w:i/>
        </w:rPr>
        <w:t>Standards for Business Practices and Communication Protocols for Public Utilities</w:t>
      </w:r>
      <w:r>
        <w:t>, Order No. 676-E, FERC Stats. &amp; Regs. ¶ 31,299 (2009).  This order also incorporated revisions made in response to Order Nos. 890, 890-A, and 890-B.</w:t>
      </w:r>
    </w:p>
  </w:footnote>
  <w:footnote w:id="13">
    <w:p w:rsidR="007E42E9" w:rsidRDefault="007E42E9">
      <w:pPr>
        <w:pStyle w:val="FootnoteText"/>
      </w:pPr>
      <w:r>
        <w:rPr>
          <w:rStyle w:val="FootnoteReference"/>
        </w:rPr>
        <w:footnoteRef/>
      </w:r>
      <w:r>
        <w:t xml:space="preserve"> </w:t>
      </w:r>
      <w:r w:rsidRPr="00277458">
        <w:rPr>
          <w:i/>
        </w:rPr>
        <w:t>Standards for Business Practices and Communication Protocols for Public Utilities</w:t>
      </w:r>
      <w:r>
        <w:t>, Order No. 676-F, FERC Stats. &amp; Regs. ¶ 31,309 (2010).</w:t>
      </w:r>
    </w:p>
  </w:footnote>
  <w:footnote w:id="14">
    <w:p w:rsidR="007E42E9" w:rsidRDefault="007E42E9">
      <w:pPr>
        <w:pStyle w:val="FootnoteText"/>
      </w:pPr>
      <w:r>
        <w:rPr>
          <w:rStyle w:val="FootnoteReference"/>
        </w:rPr>
        <w:footnoteRef/>
      </w:r>
      <w:r>
        <w:t xml:space="preserve"> Order No. 676-G, </w:t>
      </w:r>
      <w:r w:rsidRPr="00CD588F">
        <w:rPr>
          <w:i/>
        </w:rPr>
        <w:t xml:space="preserve">see </w:t>
      </w:r>
      <w:r>
        <w:rPr>
          <w:i/>
        </w:rPr>
        <w:t>supra</w:t>
      </w:r>
      <w:r>
        <w:t xml:space="preserve"> n.8.</w:t>
      </w:r>
    </w:p>
  </w:footnote>
  <w:footnote w:id="15">
    <w:p w:rsidR="007E42E9" w:rsidRDefault="007E42E9" w:rsidP="007C0C74">
      <w:pPr>
        <w:pStyle w:val="FootnoteText"/>
      </w:pPr>
      <w:r>
        <w:rPr>
          <w:rStyle w:val="FootnoteReference"/>
        </w:rPr>
        <w:footnoteRef/>
      </w:r>
      <w:r>
        <w:t xml:space="preserve"> </w:t>
      </w:r>
      <w:r w:rsidRPr="00891233">
        <w:rPr>
          <w:rFonts w:cs="Courier New"/>
          <w:i/>
        </w:rPr>
        <w:t>Promoting Wholesale Competition Through Open Access</w:t>
      </w:r>
      <w:r>
        <w:rPr>
          <w:rFonts w:cs="Courier New"/>
        </w:rPr>
        <w:t xml:space="preserve"> </w:t>
      </w:r>
      <w:r w:rsidRPr="00891233">
        <w:rPr>
          <w:rFonts w:cs="Courier New"/>
          <w:i/>
        </w:rPr>
        <w:t>Non-</w:t>
      </w:r>
      <w:r>
        <w:rPr>
          <w:rFonts w:cs="Courier New"/>
          <w:i/>
        </w:rPr>
        <w:t>D</w:t>
      </w:r>
      <w:r w:rsidRPr="00891233">
        <w:rPr>
          <w:rFonts w:cs="Courier New"/>
          <w:i/>
        </w:rPr>
        <w:t>iscriminatory Transmission Services by Public Utilities</w:t>
      </w:r>
      <w:r>
        <w:rPr>
          <w:rFonts w:cs="Courier New"/>
          <w:i/>
        </w:rPr>
        <w:t xml:space="preserve">; </w:t>
      </w:r>
      <w:r w:rsidRPr="00891233">
        <w:rPr>
          <w:rFonts w:cs="Courier New"/>
          <w:i/>
        </w:rPr>
        <w:t>Recovery of Stranded Costs by Public Utilities and Transmitting Utilities</w:t>
      </w:r>
      <w:r>
        <w:rPr>
          <w:rFonts w:cs="Courier New"/>
        </w:rPr>
        <w:t xml:space="preserve">, </w:t>
      </w:r>
      <w:r>
        <w:t xml:space="preserve">Order No. 888, </w:t>
      </w:r>
      <w:r>
        <w:rPr>
          <w:rFonts w:cs="Courier New"/>
        </w:rPr>
        <w:t xml:space="preserve">FERC Stats. &amp; Regs. ¶ 31,036 (1996), </w:t>
      </w:r>
      <w:r w:rsidRPr="00834ED4">
        <w:rPr>
          <w:i/>
        </w:rPr>
        <w:t>order on reh'g</w:t>
      </w:r>
      <w:r w:rsidRPr="005A2C3B">
        <w:t>, Order No. 888-A, FERC Stats. &amp; Regs</w:t>
      </w:r>
      <w:r>
        <w:t>.</w:t>
      </w:r>
      <w:r w:rsidRPr="005A2C3B">
        <w:t xml:space="preserve"> ¶ 31</w:t>
      </w:r>
      <w:r>
        <w:t>,</w:t>
      </w:r>
      <w:r w:rsidRPr="005A2C3B">
        <w:t xml:space="preserve">048 (1997), </w:t>
      </w:r>
      <w:r w:rsidRPr="00834ED4">
        <w:rPr>
          <w:i/>
        </w:rPr>
        <w:t>order on reh'g</w:t>
      </w:r>
      <w:r w:rsidRPr="005A2C3B">
        <w:t xml:space="preserve">, Order No. 888-B, 81 FERC ¶ 61,248 (1997), </w:t>
      </w:r>
      <w:r w:rsidRPr="00834ED4">
        <w:rPr>
          <w:i/>
        </w:rPr>
        <w:t>order on reh'g</w:t>
      </w:r>
      <w:r w:rsidRPr="005A2C3B">
        <w:t xml:space="preserve">, Order No. 888-C, 82 FERC ¶ 61,046 (1998), </w:t>
      </w:r>
      <w:r w:rsidRPr="00834ED4">
        <w:rPr>
          <w:i/>
        </w:rPr>
        <w:t xml:space="preserve">aff'd in relevant part sub nom. </w:t>
      </w:r>
      <w:r w:rsidRPr="00834ED4">
        <w:rPr>
          <w:i/>
          <w:u w:val="single"/>
        </w:rPr>
        <w:t>Transmission Access Policy Study Group v. FERC</w:t>
      </w:r>
      <w:r w:rsidRPr="005A2C3B">
        <w:t xml:space="preserve">, 225 F.3d 667 (D.C. Cir. 2002), </w:t>
      </w:r>
      <w:r w:rsidRPr="00834ED4">
        <w:rPr>
          <w:i/>
        </w:rPr>
        <w:t>aff'd sub nom. New</w:t>
      </w:r>
      <w:r w:rsidRPr="00834ED4">
        <w:rPr>
          <w:i/>
          <w:color w:val="000000"/>
        </w:rPr>
        <w:t xml:space="preserve"> York v. FERC</w:t>
      </w:r>
      <w:r w:rsidRPr="00933BA5">
        <w:rPr>
          <w:color w:val="000000"/>
        </w:rPr>
        <w:t>, 535 U.S. 1 (2002)</w:t>
      </w:r>
      <w:r>
        <w:t>.</w:t>
      </w:r>
    </w:p>
  </w:footnote>
  <w:footnote w:id="16">
    <w:p w:rsidR="007E42E9" w:rsidRDefault="007E42E9" w:rsidP="00FB5F4A">
      <w:pPr>
        <w:pStyle w:val="FootnoteText"/>
      </w:pPr>
      <w:r>
        <w:rPr>
          <w:rStyle w:val="FootnoteReference"/>
        </w:rPr>
        <w:footnoteRef/>
      </w:r>
      <w:r>
        <w:t xml:space="preserve"> All of the standards were filed with the Commission as a package on September 18, 2012 </w:t>
      </w:r>
      <w:r w:rsidRPr="00F653D4">
        <w:t xml:space="preserve">and </w:t>
      </w:r>
      <w:r>
        <w:t xml:space="preserve">were </w:t>
      </w:r>
      <w:r w:rsidRPr="00F653D4">
        <w:t>modified on January 30, 2013</w:t>
      </w:r>
      <w:r>
        <w:t>.</w:t>
      </w:r>
    </w:p>
  </w:footnote>
  <w:footnote w:id="17">
    <w:p w:rsidR="007E42E9" w:rsidRDefault="007E42E9" w:rsidP="00FB5F4A">
      <w:pPr>
        <w:pStyle w:val="FootnoteText"/>
      </w:pPr>
      <w:r>
        <w:rPr>
          <w:rStyle w:val="FootnoteReference"/>
        </w:rPr>
        <w:footnoteRef/>
      </w:r>
      <w:r>
        <w:t xml:space="preserve"> With the exception of standards WEQ 009 and 010, which are unchanged from Versions 002 and 002.1, NAESB’s Version 003 Report adopts revisions to multiple subsections of each of the WEQ standards listed.</w:t>
      </w:r>
    </w:p>
  </w:footnote>
  <w:footnote w:id="18">
    <w:p w:rsidR="007E42E9" w:rsidRDefault="007E42E9" w:rsidP="003E03F3">
      <w:pPr>
        <w:pStyle w:val="FootnoteText"/>
      </w:pPr>
      <w:r>
        <w:rPr>
          <w:rStyle w:val="FootnoteReference"/>
        </w:rPr>
        <w:footnoteRef/>
      </w:r>
      <w:r>
        <w:t xml:space="preserve"> </w:t>
      </w:r>
      <w:r w:rsidRPr="00C1168A">
        <w:rPr>
          <w:i/>
          <w:szCs w:val="26"/>
        </w:rPr>
        <w:t>See</w:t>
      </w:r>
      <w:r>
        <w:rPr>
          <w:szCs w:val="26"/>
        </w:rPr>
        <w:t xml:space="preserve"> September 18 Filing at 3 &amp; n.13 (citing s</w:t>
      </w:r>
      <w:r w:rsidRPr="00C1168A">
        <w:rPr>
          <w:szCs w:val="26"/>
        </w:rPr>
        <w:t>ubmittal of NAESB Standards Development to Support Coordination of Requests for Transmission</w:t>
      </w:r>
      <w:r>
        <w:rPr>
          <w:szCs w:val="26"/>
        </w:rPr>
        <w:t xml:space="preserve"> </w:t>
      </w:r>
      <w:r w:rsidRPr="00C1168A">
        <w:rPr>
          <w:szCs w:val="26"/>
        </w:rPr>
        <w:t>Service Across Multiple Transmission</w:t>
      </w:r>
      <w:r>
        <w:rPr>
          <w:szCs w:val="26"/>
        </w:rPr>
        <w:t xml:space="preserve"> </w:t>
      </w:r>
      <w:r w:rsidRPr="00C1168A">
        <w:rPr>
          <w:szCs w:val="26"/>
        </w:rPr>
        <w:t>Systems (Docket No. RM05-5-013</w:t>
      </w:r>
      <w:r>
        <w:rPr>
          <w:szCs w:val="26"/>
        </w:rPr>
        <w:t>) on October 7, 2011, with minor corrections on January 25, 2012).</w:t>
      </w:r>
    </w:p>
  </w:footnote>
  <w:footnote w:id="19">
    <w:p w:rsidR="007E42E9" w:rsidRDefault="007E42E9">
      <w:pPr>
        <w:pStyle w:val="FootnoteText"/>
      </w:pPr>
      <w:r>
        <w:rPr>
          <w:rStyle w:val="FootnoteReference"/>
        </w:rPr>
        <w:footnoteRef/>
      </w:r>
      <w:r>
        <w:t xml:space="preserve"> </w:t>
      </w:r>
      <w:r w:rsidRPr="00C1168A">
        <w:rPr>
          <w:i/>
          <w:szCs w:val="26"/>
        </w:rPr>
        <w:t>See</w:t>
      </w:r>
      <w:r>
        <w:rPr>
          <w:szCs w:val="26"/>
        </w:rPr>
        <w:t xml:space="preserve"> September 18 Filing at 3 (citing </w:t>
      </w:r>
      <w:r w:rsidRPr="00C1168A">
        <w:rPr>
          <w:szCs w:val="26"/>
        </w:rPr>
        <w:t>NAESB WEQ Business Practices Standards Crediting Redirect Requests with the Capacity of the Parent Reservation</w:t>
      </w:r>
      <w:r>
        <w:rPr>
          <w:szCs w:val="26"/>
        </w:rPr>
        <w:t>).</w:t>
      </w:r>
    </w:p>
  </w:footnote>
  <w:footnote w:id="20">
    <w:p w:rsidR="007E42E9" w:rsidRDefault="007E42E9">
      <w:pPr>
        <w:pStyle w:val="FootnoteText"/>
      </w:pPr>
      <w:r>
        <w:rPr>
          <w:rStyle w:val="FootnoteReference"/>
        </w:rPr>
        <w:footnoteRef/>
      </w:r>
      <w:r>
        <w:t xml:space="preserve"> </w:t>
      </w:r>
      <w:r>
        <w:rPr>
          <w:i/>
        </w:rPr>
        <w:t>Id.</w:t>
      </w:r>
      <w:r>
        <w:t xml:space="preserve"> at 3.</w:t>
      </w:r>
    </w:p>
  </w:footnote>
  <w:footnote w:id="21">
    <w:p w:rsidR="007E42E9" w:rsidRDefault="007E42E9">
      <w:pPr>
        <w:pStyle w:val="FootnoteText"/>
      </w:pPr>
      <w:r>
        <w:rPr>
          <w:rStyle w:val="FootnoteReference"/>
        </w:rPr>
        <w:footnoteRef/>
      </w:r>
      <w:r>
        <w:t xml:space="preserve"> </w:t>
      </w:r>
      <w:r>
        <w:rPr>
          <w:i/>
        </w:rPr>
        <w:t>Id.</w:t>
      </w:r>
    </w:p>
  </w:footnote>
  <w:footnote w:id="22">
    <w:p w:rsidR="007E42E9" w:rsidRDefault="007E42E9">
      <w:pPr>
        <w:pStyle w:val="FootnoteText"/>
      </w:pPr>
      <w:r>
        <w:rPr>
          <w:rStyle w:val="FootnoteReference"/>
        </w:rPr>
        <w:footnoteRef/>
      </w:r>
      <w:r>
        <w:t xml:space="preserve"> </w:t>
      </w:r>
      <w:r w:rsidRPr="00F653D4">
        <w:rPr>
          <w:i/>
        </w:rPr>
        <w:t>Id.</w:t>
      </w:r>
    </w:p>
  </w:footnote>
  <w:footnote w:id="23">
    <w:p w:rsidR="007E42E9" w:rsidRDefault="007E42E9">
      <w:pPr>
        <w:pStyle w:val="FootnoteText"/>
      </w:pPr>
      <w:r>
        <w:rPr>
          <w:rStyle w:val="FootnoteReference"/>
        </w:rPr>
        <w:footnoteRef/>
      </w:r>
      <w:r>
        <w:t xml:space="preserve"> </w:t>
      </w:r>
      <w:r w:rsidRPr="008B0600">
        <w:rPr>
          <w:szCs w:val="26"/>
        </w:rPr>
        <w:t>Order No. 717</w:t>
      </w:r>
      <w:r>
        <w:rPr>
          <w:szCs w:val="26"/>
        </w:rPr>
        <w:t>, FERC Stats. &amp; Regs. ¶ 31,280</w:t>
      </w:r>
      <w:r w:rsidRPr="008B0600">
        <w:rPr>
          <w:szCs w:val="26"/>
        </w:rPr>
        <w:t xml:space="preserve"> at </w:t>
      </w:r>
      <w:r>
        <w:rPr>
          <w:szCs w:val="26"/>
        </w:rPr>
        <w:t>PP 213</w:t>
      </w:r>
      <w:r w:rsidRPr="008B0600">
        <w:rPr>
          <w:szCs w:val="26"/>
        </w:rPr>
        <w:t xml:space="preserve">–218 and </w:t>
      </w:r>
      <w:r>
        <w:rPr>
          <w:szCs w:val="26"/>
        </w:rPr>
        <w:t xml:space="preserve">PP </w:t>
      </w:r>
      <w:r w:rsidRPr="008B0600">
        <w:rPr>
          <w:szCs w:val="26"/>
        </w:rPr>
        <w:t>235–239.</w:t>
      </w:r>
    </w:p>
  </w:footnote>
  <w:footnote w:id="24">
    <w:p w:rsidR="007E42E9" w:rsidRDefault="007E42E9">
      <w:pPr>
        <w:pStyle w:val="FootnoteText"/>
      </w:pPr>
      <w:r>
        <w:rPr>
          <w:rStyle w:val="FootnoteReference"/>
        </w:rPr>
        <w:footnoteRef/>
      </w:r>
      <w:r>
        <w:t xml:space="preserve"> </w:t>
      </w:r>
      <w:r w:rsidRPr="00277458">
        <w:rPr>
          <w:i/>
        </w:rPr>
        <w:t>Standards for Business Practices and Communication Protocols for Public Utilities</w:t>
      </w:r>
      <w:r>
        <w:t>, Order No. 676-G, 78 FR 14654 (Mar. 7, 2013), FERC Stats. &amp; Regs. ¶ 31,343 (Feb. 21, 2013).</w:t>
      </w:r>
    </w:p>
  </w:footnote>
  <w:footnote w:id="25">
    <w:p w:rsidR="007E42E9" w:rsidRDefault="007E42E9" w:rsidP="007C0C74">
      <w:pPr>
        <w:pStyle w:val="FootnoteText"/>
      </w:pPr>
      <w:r>
        <w:rPr>
          <w:rStyle w:val="FootnoteReference"/>
        </w:rPr>
        <w:footnoteRef/>
      </w:r>
      <w:r>
        <w:t xml:space="preserve"> Consistent with our past practice, </w:t>
      </w:r>
      <w:r>
        <w:rPr>
          <w:szCs w:val="26"/>
        </w:rPr>
        <w:t>w</w:t>
      </w:r>
      <w:r w:rsidRPr="00DB7D96">
        <w:rPr>
          <w:szCs w:val="26"/>
        </w:rPr>
        <w:t>e do not propose to incorporate by reference in</w:t>
      </w:r>
      <w:r>
        <w:rPr>
          <w:szCs w:val="26"/>
        </w:rPr>
        <w:t>to</w:t>
      </w:r>
      <w:r w:rsidRPr="00DB7D96">
        <w:rPr>
          <w:szCs w:val="26"/>
        </w:rPr>
        <w:t xml:space="preserve"> the Commission’s regulations the following standards: </w:t>
      </w:r>
      <w:r>
        <w:rPr>
          <w:szCs w:val="26"/>
        </w:rPr>
        <w:t xml:space="preserve"> </w:t>
      </w:r>
      <w:r w:rsidRPr="00DB7D96">
        <w:rPr>
          <w:szCs w:val="26"/>
        </w:rPr>
        <w:t xml:space="preserve">Standards of Conduct for Electric Transmission Providers (WEQ-009); Contracts Related Standards (WEQ-010); and WEQ/WGQ eTariff Related Standards (WEQ-014).  We do not propose to incorporate </w:t>
      </w:r>
      <w:r>
        <w:rPr>
          <w:szCs w:val="26"/>
        </w:rPr>
        <w:t xml:space="preserve">by reference standard </w:t>
      </w:r>
      <w:r w:rsidRPr="00DB7D96">
        <w:rPr>
          <w:szCs w:val="26"/>
        </w:rPr>
        <w:t>WEQ-009 because it contains no substantive standards and merely serves as a placeholder for future standards.</w:t>
      </w:r>
      <w:r>
        <w:rPr>
          <w:szCs w:val="26"/>
        </w:rPr>
        <w:t xml:space="preserve"> </w:t>
      </w:r>
      <w:r w:rsidRPr="00DB7D96">
        <w:rPr>
          <w:szCs w:val="26"/>
        </w:rPr>
        <w:t xml:space="preserve"> We do not propose to incorporate </w:t>
      </w:r>
      <w:r>
        <w:rPr>
          <w:szCs w:val="26"/>
        </w:rPr>
        <w:t xml:space="preserve">by reference standard </w:t>
      </w:r>
      <w:r w:rsidRPr="00DB7D96">
        <w:rPr>
          <w:szCs w:val="26"/>
        </w:rPr>
        <w:t xml:space="preserve">WEQ-010 because this standard contains an optional NAESB contract regarding funds transfers and the Commission does not require utilities to use such contracts. </w:t>
      </w:r>
      <w:r>
        <w:rPr>
          <w:szCs w:val="26"/>
        </w:rPr>
        <w:t xml:space="preserve"> </w:t>
      </w:r>
      <w:r w:rsidRPr="00DB7D96">
        <w:rPr>
          <w:szCs w:val="26"/>
        </w:rPr>
        <w:t xml:space="preserve">In addition, we do not propose to incorporate </w:t>
      </w:r>
      <w:r>
        <w:rPr>
          <w:szCs w:val="26"/>
        </w:rPr>
        <w:t xml:space="preserve">by reference standard </w:t>
      </w:r>
      <w:r w:rsidRPr="00DB7D96">
        <w:rPr>
          <w:szCs w:val="26"/>
        </w:rPr>
        <w:t xml:space="preserve">WEQ-014, eTariff Related Standards, because the Commission already has adopted standards and protocols for electronic tariff filing based on the NAESB standards.  </w:t>
      </w:r>
      <w:r w:rsidRPr="00834158">
        <w:rPr>
          <w:i/>
          <w:szCs w:val="26"/>
        </w:rPr>
        <w:t>See Electronic Tariff Filings</w:t>
      </w:r>
      <w:r w:rsidRPr="00DB7D96">
        <w:rPr>
          <w:szCs w:val="26"/>
        </w:rPr>
        <w:t xml:space="preserve">, </w:t>
      </w:r>
      <w:r>
        <w:rPr>
          <w:szCs w:val="26"/>
        </w:rPr>
        <w:t xml:space="preserve">Order No. 714, </w:t>
      </w:r>
      <w:r w:rsidRPr="00DB7D96">
        <w:rPr>
          <w:szCs w:val="26"/>
        </w:rPr>
        <w:t>FERC Stats. &amp; Regs. ¶</w:t>
      </w:r>
      <w:r>
        <w:rPr>
          <w:szCs w:val="26"/>
        </w:rPr>
        <w:t> </w:t>
      </w:r>
      <w:r w:rsidRPr="00DB7D96">
        <w:rPr>
          <w:szCs w:val="26"/>
        </w:rPr>
        <w:t xml:space="preserve">31,276 (2008). </w:t>
      </w:r>
      <w:r>
        <w:rPr>
          <w:szCs w:val="26"/>
        </w:rPr>
        <w:t xml:space="preserve"> </w:t>
      </w:r>
      <w:r w:rsidRPr="00DB7D96">
        <w:rPr>
          <w:szCs w:val="26"/>
        </w:rPr>
        <w:t xml:space="preserve">Also, we do not propose to incorporate </w:t>
      </w:r>
      <w:r>
        <w:rPr>
          <w:szCs w:val="26"/>
        </w:rPr>
        <w:t xml:space="preserve">by reference </w:t>
      </w:r>
      <w:r w:rsidRPr="00DB7D96">
        <w:rPr>
          <w:szCs w:val="26"/>
        </w:rPr>
        <w:t xml:space="preserve">NAESB’s interpretation of its standards on Gas/Electric Coordination (WEQ-011). </w:t>
      </w:r>
      <w:r>
        <w:rPr>
          <w:szCs w:val="26"/>
        </w:rPr>
        <w:t xml:space="preserve"> </w:t>
      </w:r>
      <w:r w:rsidRPr="00DB7D96">
        <w:rPr>
          <w:szCs w:val="26"/>
        </w:rPr>
        <w:t xml:space="preserve">While interpretations may provide useful guidance, </w:t>
      </w:r>
      <w:r>
        <w:rPr>
          <w:szCs w:val="26"/>
        </w:rPr>
        <w:t xml:space="preserve">NAESB’s interpretations </w:t>
      </w:r>
      <w:r w:rsidRPr="00DB7D96">
        <w:rPr>
          <w:szCs w:val="26"/>
        </w:rPr>
        <w:t xml:space="preserve">are not </w:t>
      </w:r>
      <w:r>
        <w:rPr>
          <w:szCs w:val="26"/>
        </w:rPr>
        <w:t>binding on the Commission</w:t>
      </w:r>
      <w:r w:rsidRPr="00DB7D96">
        <w:rPr>
          <w:szCs w:val="26"/>
        </w:rPr>
        <w:t xml:space="preserve"> and we will not require utilities to comply with </w:t>
      </w:r>
      <w:r>
        <w:rPr>
          <w:szCs w:val="26"/>
        </w:rPr>
        <w:t xml:space="preserve">those </w:t>
      </w:r>
      <w:r w:rsidRPr="00DB7D96">
        <w:rPr>
          <w:szCs w:val="26"/>
        </w:rPr>
        <w:t>interpretations</w:t>
      </w:r>
      <w:r>
        <w:rPr>
          <w:szCs w:val="26"/>
        </w:rPr>
        <w:t xml:space="preserve"> (although we will require compliance with all the standards that we incorporate by reference into the Commission’s regulations)</w:t>
      </w:r>
      <w:r w:rsidRPr="00DB7D96">
        <w:rPr>
          <w:szCs w:val="26"/>
        </w:rPr>
        <w:t xml:space="preserve">. </w:t>
      </w:r>
      <w:r>
        <w:rPr>
          <w:szCs w:val="26"/>
        </w:rPr>
        <w:t xml:space="preserve"> Additionally</w:t>
      </w:r>
      <w:r w:rsidRPr="00DB7D96">
        <w:rPr>
          <w:szCs w:val="26"/>
        </w:rPr>
        <w:t xml:space="preserve">, as discussed more specifically </w:t>
      </w:r>
      <w:r>
        <w:rPr>
          <w:szCs w:val="26"/>
        </w:rPr>
        <w:t>the NITS section below</w:t>
      </w:r>
      <w:r w:rsidRPr="00DB7D96">
        <w:rPr>
          <w:szCs w:val="26"/>
        </w:rPr>
        <w:t>, we do not propose to incorporate by reference certain portions of WEQ-001.</w:t>
      </w:r>
    </w:p>
  </w:footnote>
  <w:footnote w:id="26">
    <w:p w:rsidR="007E42E9" w:rsidRDefault="007E42E9" w:rsidP="007C0C74">
      <w:pPr>
        <w:pStyle w:val="FootnoteText"/>
      </w:pPr>
      <w:r>
        <w:rPr>
          <w:rStyle w:val="FootnoteReference"/>
        </w:rPr>
        <w:footnoteRef/>
      </w:r>
      <w:r>
        <w:t xml:space="preserve"> </w:t>
      </w:r>
      <w:r w:rsidRPr="002A4F39">
        <w:rPr>
          <w:i/>
        </w:rPr>
        <w:t>See supra</w:t>
      </w:r>
      <w:r>
        <w:t xml:space="preserve"> n.11.</w:t>
      </w:r>
    </w:p>
  </w:footnote>
  <w:footnote w:id="27">
    <w:p w:rsidR="007E42E9" w:rsidRDefault="007E42E9" w:rsidP="007C0C74">
      <w:pPr>
        <w:pStyle w:val="FootnoteText"/>
      </w:pPr>
      <w:r>
        <w:rPr>
          <w:rStyle w:val="FootnoteReference"/>
        </w:rPr>
        <w:footnoteRef/>
      </w:r>
      <w:r>
        <w:t xml:space="preserve"> Order No. 890, FERC Stats. &amp; Regs. ¶ 31,241 at P 1377.</w:t>
      </w:r>
    </w:p>
  </w:footnote>
  <w:footnote w:id="28">
    <w:p w:rsidR="007E42E9" w:rsidRDefault="007E42E9" w:rsidP="007C0C74">
      <w:pPr>
        <w:pStyle w:val="FootnoteText"/>
      </w:pPr>
      <w:r>
        <w:rPr>
          <w:rStyle w:val="FootnoteReference"/>
        </w:rPr>
        <w:footnoteRef/>
      </w:r>
      <w:r>
        <w:t xml:space="preserve"> Order No. 890, </w:t>
      </w:r>
      <w:r w:rsidRPr="003757DB">
        <w:rPr>
          <w:i/>
        </w:rPr>
        <w:t>Pro Forma</w:t>
      </w:r>
      <w:r>
        <w:t xml:space="preserve"> OATT, Section III (Network Integration Transmission Service) Preamble.</w:t>
      </w:r>
    </w:p>
  </w:footnote>
  <w:footnote w:id="29">
    <w:p w:rsidR="007E42E9" w:rsidRDefault="007E42E9" w:rsidP="007C0C74">
      <w:pPr>
        <w:pStyle w:val="FootnoteText"/>
      </w:pPr>
      <w:r>
        <w:rPr>
          <w:rStyle w:val="FootnoteReference"/>
        </w:rPr>
        <w:footnoteRef/>
      </w:r>
      <w:r>
        <w:t xml:space="preserve"> Order No. 890, FERC Stats. &amp; Regs. ¶ 31,241 at P 385.</w:t>
      </w:r>
    </w:p>
  </w:footnote>
  <w:footnote w:id="30">
    <w:p w:rsidR="007E42E9" w:rsidRDefault="007E42E9" w:rsidP="007C0C74">
      <w:pPr>
        <w:pStyle w:val="FootnoteText"/>
      </w:pPr>
      <w:r>
        <w:rPr>
          <w:rStyle w:val="FootnoteReference"/>
        </w:rPr>
        <w:footnoteRef/>
      </w:r>
      <w:r>
        <w:t xml:space="preserve"> </w:t>
      </w:r>
      <w:r w:rsidRPr="005D6F3B">
        <w:rPr>
          <w:i/>
        </w:rPr>
        <w:t>Id.</w:t>
      </w:r>
      <w:r>
        <w:t>, PP 1477, 1504, 1532, and 1541.</w:t>
      </w:r>
    </w:p>
  </w:footnote>
  <w:footnote w:id="31">
    <w:p w:rsidR="007E42E9" w:rsidRDefault="007E42E9" w:rsidP="007C0C74">
      <w:pPr>
        <w:pStyle w:val="FootnoteText"/>
      </w:pPr>
      <w:r>
        <w:rPr>
          <w:rStyle w:val="FootnoteReference"/>
        </w:rPr>
        <w:footnoteRef/>
      </w:r>
      <w:r>
        <w:t xml:space="preserve"> Order No. 890-A, FERC Stats. &amp; Regs. ¶ 31,261 at P 919; Order No. 890-B, 123 FERC ¶ 61,299 at P 188; Order No. 890-C, 126 FERC ¶ 61,228 at P 17.</w:t>
      </w:r>
    </w:p>
  </w:footnote>
  <w:footnote w:id="32">
    <w:p w:rsidR="007E42E9" w:rsidRDefault="007E42E9">
      <w:pPr>
        <w:pStyle w:val="FootnoteText"/>
      </w:pPr>
      <w:r>
        <w:rPr>
          <w:rStyle w:val="FootnoteReference"/>
        </w:rPr>
        <w:footnoteRef/>
      </w:r>
      <w:r>
        <w:t xml:space="preserve"> </w:t>
      </w:r>
      <w:r w:rsidRPr="005D6F3B">
        <w:rPr>
          <w:i/>
        </w:rPr>
        <w:t>Id.</w:t>
      </w:r>
      <w:r>
        <w:t xml:space="preserve"> P 950.</w:t>
      </w:r>
    </w:p>
  </w:footnote>
  <w:footnote w:id="33">
    <w:p w:rsidR="007E42E9" w:rsidRDefault="007E42E9" w:rsidP="007C0C74">
      <w:pPr>
        <w:pStyle w:val="FootnoteText"/>
      </w:pPr>
      <w:r>
        <w:rPr>
          <w:rStyle w:val="FootnoteReference"/>
        </w:rPr>
        <w:footnoteRef/>
      </w:r>
      <w:r>
        <w:t xml:space="preserve"> Order No. 676, FERC Stats. &amp; Regs. ¶ 31,216 at P 52.</w:t>
      </w:r>
    </w:p>
  </w:footnote>
  <w:footnote w:id="34">
    <w:p w:rsidR="007E42E9" w:rsidRDefault="007E42E9" w:rsidP="007C0C74">
      <w:pPr>
        <w:pStyle w:val="FootnoteText"/>
      </w:pPr>
      <w:r>
        <w:rPr>
          <w:rStyle w:val="FootnoteReference"/>
        </w:rPr>
        <w:footnoteRef/>
      </w:r>
      <w:r>
        <w:t xml:space="preserve"> Order No. 890, FERC Stats. &amp; Regs. ¶ 31,241 at PP 1231-1239; Order No. 890-A, FERC Stats. &amp; Regs. ¶ 31,261 at PP 644-651; Order No. 676-E, FERC Stats. &amp; Regs. ¶ 31,299 at P 94.</w:t>
      </w:r>
    </w:p>
  </w:footnote>
  <w:footnote w:id="35">
    <w:p w:rsidR="007E42E9" w:rsidRDefault="007E42E9" w:rsidP="007C0C74">
      <w:pPr>
        <w:pStyle w:val="FootnoteText"/>
      </w:pPr>
      <w:r>
        <w:rPr>
          <w:rStyle w:val="FootnoteReference"/>
        </w:rPr>
        <w:footnoteRef/>
      </w:r>
      <w:r>
        <w:t xml:space="preserve"> </w:t>
      </w:r>
      <w:r w:rsidRPr="005D6F3B">
        <w:t>Order N</w:t>
      </w:r>
      <w:r>
        <w:t>o</w:t>
      </w:r>
      <w:r w:rsidRPr="005D6F3B">
        <w:t xml:space="preserve">. </w:t>
      </w:r>
      <w:r>
        <w:t>676-E, FERC Stats. &amp; Regs. ¶ 31,299 at P 7 &amp; n.12</w:t>
      </w:r>
      <w:r w:rsidRPr="00514C3B">
        <w:t xml:space="preserve"> </w:t>
      </w:r>
      <w:r>
        <w:t>(citing NAESB Version 002.1 filing letter dated Feb. 19, 2009).</w:t>
      </w:r>
    </w:p>
  </w:footnote>
  <w:footnote w:id="36">
    <w:p w:rsidR="007E42E9" w:rsidRDefault="007E42E9">
      <w:pPr>
        <w:pStyle w:val="FootnoteText"/>
      </w:pPr>
      <w:r>
        <w:rPr>
          <w:rStyle w:val="FootnoteReference"/>
        </w:rPr>
        <w:footnoteRef/>
      </w:r>
      <w:r>
        <w:t xml:space="preserve"> As we stated in </w:t>
      </w:r>
      <w:r w:rsidRPr="005D6F3B">
        <w:rPr>
          <w:i/>
        </w:rPr>
        <w:t>Entergy Services, Inc.</w:t>
      </w:r>
      <w:r>
        <w:t xml:space="preserve">, 143 FERC ¶ 61,143, at P 25 &amp; n.68 (2013), our guiding precedent on the issue of when a customer requesting redirect loses rights on the original path was set in </w:t>
      </w:r>
      <w:r w:rsidRPr="005D6F3B">
        <w:rPr>
          <w:i/>
        </w:rPr>
        <w:t>Dynegy Power Marketing, Inc.</w:t>
      </w:r>
      <w:r>
        <w:t xml:space="preserve">, 99 FERC </w:t>
      </w:r>
      <w:r w:rsidRPr="00AC0D83">
        <w:t>¶</w:t>
      </w:r>
      <w:r>
        <w:t> </w:t>
      </w:r>
      <w:r w:rsidRPr="00AC0D83">
        <w:t>61,</w:t>
      </w:r>
      <w:r>
        <w:t>054, at P 9 (2002)</w:t>
      </w:r>
      <w:r w:rsidRPr="00AC0D83">
        <w:t>,</w:t>
      </w:r>
      <w:r>
        <w:t xml:space="preserve"> where we </w:t>
      </w:r>
      <w:r w:rsidRPr="00AC0D83">
        <w:t>held that a transmission customer receiving firm transmission service does not lose its rights to its original path until the redirect request satisfies all of the following criteria:  (1) it is accepted by the transmission provider; (2) it is confirmed by the transmission customer; and (3) it passes the conditional reservation deadline under OATT section 13.2.</w:t>
      </w:r>
    </w:p>
  </w:footnote>
  <w:footnote w:id="37">
    <w:p w:rsidR="007E42E9" w:rsidRDefault="007E42E9" w:rsidP="007C0C74">
      <w:pPr>
        <w:pStyle w:val="FootnoteText"/>
      </w:pPr>
      <w:r>
        <w:rPr>
          <w:rStyle w:val="FootnoteReference"/>
        </w:rPr>
        <w:footnoteRef/>
      </w:r>
      <w:r>
        <w:t xml:space="preserve"> Order No. 717, FERC Stats. &amp; Regs. ¶ 31,280 at PP 213–218; </w:t>
      </w:r>
      <w:r w:rsidRPr="00B23CC3">
        <w:t>P</w:t>
      </w:r>
      <w:r>
        <w:t>P</w:t>
      </w:r>
      <w:r w:rsidRPr="002A4F39">
        <w:t xml:space="preserve"> 235–</w:t>
      </w:r>
      <w:r w:rsidRPr="00B23CC3">
        <w:t>249</w:t>
      </w:r>
      <w:r>
        <w:t>.</w:t>
      </w:r>
    </w:p>
  </w:footnote>
  <w:footnote w:id="38">
    <w:p w:rsidR="007E42E9" w:rsidRDefault="007E42E9" w:rsidP="007C0C74">
      <w:pPr>
        <w:pStyle w:val="FootnoteText"/>
      </w:pPr>
      <w:r>
        <w:rPr>
          <w:rStyle w:val="FootnoteReference"/>
        </w:rPr>
        <w:footnoteRef/>
      </w:r>
      <w:r>
        <w:t xml:space="preserve"> Order No. 717, FERC Stats. &amp; Regs. ¶ 31,280 at P 247.</w:t>
      </w:r>
    </w:p>
  </w:footnote>
  <w:footnote w:id="39">
    <w:p w:rsidR="007E42E9" w:rsidRDefault="007E42E9" w:rsidP="007C0C74">
      <w:pPr>
        <w:pStyle w:val="FootnoteText"/>
      </w:pPr>
      <w:r>
        <w:rPr>
          <w:rStyle w:val="FootnoteReference"/>
        </w:rPr>
        <w:footnoteRef/>
      </w:r>
      <w:r>
        <w:t xml:space="preserve"> Order No. 676-E, FERC Stats. &amp; Regs. ¶ 31,299 at P 39.</w:t>
      </w:r>
    </w:p>
  </w:footnote>
  <w:footnote w:id="40">
    <w:p w:rsidR="007E42E9" w:rsidRDefault="007E42E9">
      <w:pPr>
        <w:pStyle w:val="FootnoteText"/>
      </w:pPr>
      <w:r>
        <w:rPr>
          <w:rStyle w:val="FootnoteReference"/>
        </w:rPr>
        <w:footnoteRef/>
      </w:r>
      <w:r>
        <w:t xml:space="preserve"> </w:t>
      </w:r>
      <w:r w:rsidRPr="007501C2">
        <w:rPr>
          <w:i/>
        </w:rPr>
        <w:t>See</w:t>
      </w:r>
      <w:r>
        <w:t xml:space="preserve"> NAESB Version 003 Report at 9.</w:t>
      </w:r>
    </w:p>
  </w:footnote>
  <w:footnote w:id="41">
    <w:p w:rsidR="007E42E9" w:rsidRDefault="007E42E9">
      <w:pPr>
        <w:pStyle w:val="FootnoteText"/>
      </w:pPr>
      <w:r>
        <w:rPr>
          <w:rStyle w:val="FootnoteReference"/>
        </w:rPr>
        <w:footnoteRef/>
      </w:r>
      <w:r>
        <w:t xml:space="preserve"> </w:t>
      </w:r>
      <w:r w:rsidRPr="00165B69">
        <w:rPr>
          <w:i/>
        </w:rPr>
        <w:t>Id.</w:t>
      </w:r>
    </w:p>
  </w:footnote>
  <w:footnote w:id="42">
    <w:p w:rsidR="007E42E9" w:rsidRDefault="007E42E9">
      <w:pPr>
        <w:pStyle w:val="FootnoteText"/>
      </w:pPr>
      <w:r>
        <w:rPr>
          <w:rStyle w:val="FootnoteReference"/>
        </w:rPr>
        <w:footnoteRef/>
      </w:r>
      <w:r>
        <w:t xml:space="preserve"> </w:t>
      </w:r>
      <w:r w:rsidRPr="00165B69">
        <w:rPr>
          <w:i/>
        </w:rPr>
        <w:t>Id.</w:t>
      </w:r>
    </w:p>
  </w:footnote>
  <w:footnote w:id="43">
    <w:p w:rsidR="007E42E9" w:rsidRDefault="007E42E9">
      <w:pPr>
        <w:pStyle w:val="FootnoteText"/>
      </w:pPr>
      <w:r>
        <w:rPr>
          <w:rStyle w:val="FootnoteReference"/>
        </w:rPr>
        <w:footnoteRef/>
      </w:r>
      <w:r>
        <w:t xml:space="preserve"> </w:t>
      </w:r>
      <w:r w:rsidRPr="000B41CE">
        <w:rPr>
          <w:i/>
        </w:rPr>
        <w:t>Id.</w:t>
      </w:r>
    </w:p>
  </w:footnote>
  <w:footnote w:id="44">
    <w:p w:rsidR="007E42E9" w:rsidRDefault="007E42E9">
      <w:pPr>
        <w:pStyle w:val="FootnoteText"/>
      </w:pPr>
      <w:r>
        <w:rPr>
          <w:rStyle w:val="FootnoteReference"/>
        </w:rPr>
        <w:footnoteRef/>
      </w:r>
      <w:r>
        <w:t xml:space="preserve"> </w:t>
      </w:r>
      <w:r w:rsidRPr="00066A63">
        <w:rPr>
          <w:i/>
        </w:rPr>
        <w:t>See</w:t>
      </w:r>
      <w:r>
        <w:t xml:space="preserve"> Order No. 676-C, FERC Stats. &amp; Regs. ¶ 31,274 at P 75.</w:t>
      </w:r>
    </w:p>
  </w:footnote>
  <w:footnote w:id="45">
    <w:p w:rsidR="007E42E9" w:rsidRDefault="007E42E9" w:rsidP="007C0C74">
      <w:pPr>
        <w:pStyle w:val="FootnoteText"/>
      </w:pPr>
      <w:r>
        <w:rPr>
          <w:rStyle w:val="FootnoteReference"/>
        </w:rPr>
        <w:footnoteRef/>
      </w:r>
      <w:r>
        <w:t xml:space="preserve"> </w:t>
      </w:r>
      <w:r w:rsidRPr="00D85CC8">
        <w:rPr>
          <w:i/>
        </w:rPr>
        <w:t>Id.</w:t>
      </w:r>
    </w:p>
  </w:footnote>
  <w:footnote w:id="46">
    <w:p w:rsidR="007E42E9" w:rsidRDefault="007E42E9">
      <w:pPr>
        <w:pStyle w:val="FootnoteText"/>
      </w:pPr>
      <w:r>
        <w:rPr>
          <w:rStyle w:val="FootnoteReference"/>
        </w:rPr>
        <w:footnoteRef/>
      </w:r>
      <w:r>
        <w:t xml:space="preserve"> Order No. 676-D, 124 FERC ¶ 61,317 at P 7.</w:t>
      </w:r>
    </w:p>
  </w:footnote>
  <w:footnote w:id="47">
    <w:p w:rsidR="007E42E9" w:rsidRDefault="007E42E9">
      <w:pPr>
        <w:pStyle w:val="FootnoteText"/>
      </w:pPr>
      <w:r>
        <w:rPr>
          <w:rStyle w:val="FootnoteReference"/>
        </w:rPr>
        <w:footnoteRef/>
      </w:r>
      <w:r>
        <w:t xml:space="preserve"> </w:t>
      </w:r>
      <w:r>
        <w:rPr>
          <w:i/>
        </w:rPr>
        <w:t>Id</w:t>
      </w:r>
      <w:r>
        <w:t>. P 9.</w:t>
      </w:r>
    </w:p>
  </w:footnote>
  <w:footnote w:id="48">
    <w:p w:rsidR="007E42E9" w:rsidRDefault="007E42E9">
      <w:pPr>
        <w:pStyle w:val="FootnoteText"/>
      </w:pPr>
      <w:r>
        <w:rPr>
          <w:rStyle w:val="FootnoteReference"/>
        </w:rPr>
        <w:footnoteRef/>
      </w:r>
      <w:r>
        <w:t xml:space="preserve"> NAESB defines “end entities” as including utilities and other independent grid operators.</w:t>
      </w:r>
    </w:p>
  </w:footnote>
  <w:footnote w:id="49">
    <w:p w:rsidR="007E42E9" w:rsidRDefault="007E42E9">
      <w:pPr>
        <w:pStyle w:val="FootnoteText"/>
      </w:pPr>
      <w:r>
        <w:rPr>
          <w:rStyle w:val="FootnoteReference"/>
        </w:rPr>
        <w:footnoteRef/>
      </w:r>
      <w:r>
        <w:t xml:space="preserve"> NAESB has replaced NERC in supporting the </w:t>
      </w:r>
      <w:r w:rsidRPr="009021A6">
        <w:t>Electric Industry Registry (EIR</w:t>
      </w:r>
      <w:r>
        <w:t>) as these data relate to business transactions rather than reliability.  Under NERC, the registry was referred to as the Transmission System Information Network (TSIN).</w:t>
      </w:r>
    </w:p>
  </w:footnote>
  <w:footnote w:id="50">
    <w:p w:rsidR="007E42E9" w:rsidRDefault="007E42E9">
      <w:pPr>
        <w:pStyle w:val="FootnoteText"/>
      </w:pPr>
      <w:r>
        <w:rPr>
          <w:rStyle w:val="FootnoteReference"/>
        </w:rPr>
        <w:footnoteRef/>
      </w:r>
      <w:r>
        <w:t xml:space="preserve"> January 30, 2013 Filing.</w:t>
      </w:r>
    </w:p>
  </w:footnote>
  <w:footnote w:id="51">
    <w:p w:rsidR="007E42E9" w:rsidRDefault="007E42E9">
      <w:pPr>
        <w:pStyle w:val="FootnoteText"/>
      </w:pPr>
      <w:r>
        <w:rPr>
          <w:rStyle w:val="FootnoteReference"/>
        </w:rPr>
        <w:footnoteRef/>
      </w:r>
      <w:r>
        <w:t xml:space="preserve"> In proposing to incorporate by reference Standard WEQ-012, we recognize that while the electric industry is not insubstantial, it may represent only a small portion of an ACA’s clientele, and that NAESB has a legitimate concern in setting certification standards that provide potential customers with sufficient competitive alternatives in choosing suppliers to provide price competition in PKI services.</w:t>
      </w:r>
    </w:p>
  </w:footnote>
  <w:footnote w:id="52">
    <w:p w:rsidR="007E42E9" w:rsidRDefault="007E42E9" w:rsidP="00123A7B">
      <w:pPr>
        <w:pStyle w:val="FootnoteText"/>
      </w:pPr>
      <w:r>
        <w:rPr>
          <w:rStyle w:val="FootnoteReference"/>
        </w:rPr>
        <w:footnoteRef/>
      </w:r>
      <w:r>
        <w:t xml:space="preserve"> </w:t>
      </w:r>
      <w:r>
        <w:rPr>
          <w:i/>
        </w:rPr>
        <w:t xml:space="preserve">See </w:t>
      </w:r>
      <w:r w:rsidRPr="00B96AAF">
        <w:rPr>
          <w:i/>
        </w:rPr>
        <w:t>Reporting on North American Energy Standards Board Public Key Infrastructure Standards,</w:t>
      </w:r>
      <w:r w:rsidRPr="00123A7B">
        <w:t>140 FERC ¶ 61,149</w:t>
      </w:r>
      <w:r>
        <w:t xml:space="preserve">, at P 13 (2012) (where </w:t>
      </w:r>
      <w:r w:rsidRPr="00123A7B">
        <w:t xml:space="preserve">the Commission </w:t>
      </w:r>
      <w:r>
        <w:t xml:space="preserve">stated it </w:t>
      </w:r>
      <w:r w:rsidRPr="00123A7B">
        <w:t xml:space="preserve">does </w:t>
      </w:r>
      <w:r>
        <w:t xml:space="preserve">not have </w:t>
      </w:r>
      <w:r w:rsidRPr="00123A7B">
        <w:t>jurisdiction over NAESB or the Certification Authorities</w:t>
      </w:r>
      <w:r>
        <w:t xml:space="preserve"> as public utilities).  </w:t>
      </w:r>
      <w:r w:rsidRPr="00CA48EE">
        <w:t>Since the ACA Accreditation Requirements and ACA Process apply to non-jurisdictional entities, and we are not proposing to incorporate these standards as federal regulations, we will not opine upon these requirements, including the lifetime of the root keys.</w:t>
      </w:r>
    </w:p>
  </w:footnote>
  <w:footnote w:id="53">
    <w:p w:rsidR="007E42E9" w:rsidRDefault="007E42E9" w:rsidP="00CF679E">
      <w:pPr>
        <w:pStyle w:val="FootnoteText"/>
      </w:pPr>
      <w:r>
        <w:rPr>
          <w:rStyle w:val="FootnoteReference"/>
        </w:rPr>
        <w:footnoteRef/>
      </w:r>
      <w:r>
        <w:rPr>
          <w:szCs w:val="26"/>
        </w:rPr>
        <w:t xml:space="preserve"> </w:t>
      </w:r>
      <w:r w:rsidRPr="005D6F3B">
        <w:rPr>
          <w:i/>
          <w:szCs w:val="26"/>
        </w:rPr>
        <w:t>See supra</w:t>
      </w:r>
      <w:r>
        <w:rPr>
          <w:szCs w:val="26"/>
        </w:rPr>
        <w:t xml:space="preserve"> n.9.</w:t>
      </w:r>
    </w:p>
  </w:footnote>
  <w:footnote w:id="54">
    <w:p w:rsidR="007E42E9" w:rsidRDefault="007E42E9" w:rsidP="001877A3">
      <w:pPr>
        <w:pStyle w:val="FootnoteText"/>
      </w:pPr>
      <w:r>
        <w:rPr>
          <w:rStyle w:val="FootnoteReference"/>
        </w:rPr>
        <w:footnoteRef/>
      </w:r>
      <w:r>
        <w:t xml:space="preserve"> </w:t>
      </w:r>
      <w:r w:rsidRPr="001877A3">
        <w:rPr>
          <w:i/>
        </w:rPr>
        <w:t xml:space="preserve">See </w:t>
      </w:r>
      <w:hyperlink r:id="rId1" w:history="1">
        <w:r w:rsidRPr="00286331">
          <w:rPr>
            <w:rStyle w:val="Hyperlink"/>
            <w:u w:val="none"/>
          </w:rPr>
          <w:t>http://www.whitehouse.gov/blog/2012/01/18/green-button-providing-consumers-access-their-energy-data</w:t>
        </w:r>
      </w:hyperlink>
      <w:r w:rsidRPr="00286331">
        <w:t xml:space="preserve"> .</w:t>
      </w:r>
    </w:p>
  </w:footnote>
  <w:footnote w:id="55">
    <w:p w:rsidR="007E42E9" w:rsidRDefault="007E42E9" w:rsidP="007C0C74">
      <w:pPr>
        <w:pStyle w:val="FootnoteText"/>
      </w:pPr>
      <w:r>
        <w:rPr>
          <w:rStyle w:val="FootnoteReference"/>
        </w:rPr>
        <w:footnoteRef/>
      </w:r>
      <w:r>
        <w:t xml:space="preserve"> NAESB’s efforts in this regard are in accordance with the Commission’s findings in Order No. 676, FERC Stats. &amp; Regs. ¶ 31,241 at P 40 and </w:t>
      </w:r>
      <w:r w:rsidRPr="002A4F39">
        <w:t xml:space="preserve">Order No. 676-C, </w:t>
      </w:r>
      <w:r>
        <w:t xml:space="preserve">126 FERC ¶ 61,228 at </w:t>
      </w:r>
      <w:r w:rsidRPr="002A4F39">
        <w:t>P 8.</w:t>
      </w:r>
    </w:p>
  </w:footnote>
  <w:footnote w:id="56">
    <w:p w:rsidR="007E42E9" w:rsidRDefault="007E42E9" w:rsidP="007C0C74">
      <w:pPr>
        <w:pStyle w:val="FootnoteText"/>
      </w:pPr>
      <w:r>
        <w:rPr>
          <w:rStyle w:val="FootnoteReference"/>
        </w:rPr>
        <w:footnoteRef/>
      </w:r>
      <w:r>
        <w:t xml:space="preserve"> </w:t>
      </w:r>
      <w:r w:rsidRPr="002A4F39">
        <w:rPr>
          <w:i/>
        </w:rPr>
        <w:t>See</w:t>
      </w:r>
      <w:r>
        <w:t xml:space="preserve"> Order No. 676, FERC Stats. &amp; Regs. ¶ 31,216 at P 100.</w:t>
      </w:r>
    </w:p>
  </w:footnote>
  <w:footnote w:id="57">
    <w:p w:rsidR="007E42E9" w:rsidRDefault="007E42E9" w:rsidP="007C0C74">
      <w:pPr>
        <w:pStyle w:val="FootnoteText"/>
      </w:pPr>
      <w:r w:rsidRPr="00CD025D">
        <w:rPr>
          <w:rStyle w:val="FootnoteReference"/>
        </w:rPr>
        <w:footnoteRef/>
      </w:r>
      <w:r>
        <w:t xml:space="preserve"> </w:t>
      </w:r>
      <w:r w:rsidRPr="00800381">
        <w:t>Under this process, to be approved a standard must receive a super-majority vote of 67 percent of the members of the WEQ's Executive Committee with support from at least 40 percent from each of the five industry segments--transmission, generation, marketer/brokers, distribution/load serving entities, and end users.</w:t>
      </w:r>
      <w:r>
        <w:t xml:space="preserve"> </w:t>
      </w:r>
      <w:r w:rsidRPr="00800381">
        <w:t xml:space="preserve"> For final approval, 67 percent of the WEQ's general membership must ratify the standards.</w:t>
      </w:r>
    </w:p>
  </w:footnote>
  <w:footnote w:id="58">
    <w:p w:rsidR="007E42E9" w:rsidRDefault="007E42E9" w:rsidP="007C0C74">
      <w:pPr>
        <w:pStyle w:val="FootnoteText"/>
      </w:pPr>
      <w:r w:rsidRPr="00CD025D">
        <w:rPr>
          <w:rStyle w:val="FootnoteReference"/>
        </w:rPr>
        <w:footnoteRef/>
      </w:r>
      <w:r>
        <w:t xml:space="preserve"> </w:t>
      </w:r>
      <w:r w:rsidRPr="003752CC">
        <w:t>Pub</w:t>
      </w:r>
      <w:r>
        <w:t>.</w:t>
      </w:r>
      <w:r w:rsidRPr="003752CC">
        <w:t xml:space="preserve"> L. No. 104</w:t>
      </w:r>
      <w:r w:rsidRPr="003752CC">
        <w:noBreakHyphen/>
        <w:t xml:space="preserve">113, 12(d), 110 </w:t>
      </w:r>
      <w:r>
        <w:t xml:space="preserve">Stat. 775 (1996), 15 U.S.C. </w:t>
      </w:r>
      <w:r w:rsidRPr="003752CC">
        <w:t>272 note (1997).</w:t>
      </w:r>
    </w:p>
  </w:footnote>
  <w:footnote w:id="59">
    <w:p w:rsidR="007E42E9" w:rsidRDefault="007E42E9" w:rsidP="007C0C74">
      <w:pPr>
        <w:pStyle w:val="FootnoteText"/>
        <w:spacing w:before="120" w:after="120"/>
      </w:pPr>
      <w:r w:rsidRPr="00335A9B">
        <w:rPr>
          <w:rStyle w:val="FootnoteReference"/>
        </w:rPr>
        <w:footnoteRef/>
      </w:r>
      <w:r w:rsidRPr="00335A9B">
        <w:rPr>
          <w:szCs w:val="26"/>
        </w:rPr>
        <w:t xml:space="preserve"> 5 CFR 1320.11 (201</w:t>
      </w:r>
      <w:r>
        <w:rPr>
          <w:szCs w:val="26"/>
        </w:rPr>
        <w:t>2</w:t>
      </w:r>
      <w:r w:rsidRPr="00335A9B">
        <w:rPr>
          <w:szCs w:val="26"/>
        </w:rPr>
        <w:t>).</w:t>
      </w:r>
    </w:p>
  </w:footnote>
  <w:footnote w:id="60">
    <w:p w:rsidR="007E42E9" w:rsidRDefault="007E42E9">
      <w:pPr>
        <w:pStyle w:val="FootnoteText"/>
      </w:pPr>
      <w:r>
        <w:rPr>
          <w:rStyle w:val="FootnoteReference"/>
        </w:rPr>
        <w:footnoteRef/>
      </w:r>
      <w:r>
        <w:t xml:space="preserve"> “FERC-516” is the Commission’s identifier that corresponds to OMB control no. 1902-0096 which identifies the information collection associated with Electric Rate Schedules and Tariff Filings.</w:t>
      </w:r>
    </w:p>
  </w:footnote>
  <w:footnote w:id="61">
    <w:p w:rsidR="007E42E9" w:rsidRDefault="007E42E9" w:rsidP="002A4F39">
      <w:pPr>
        <w:pStyle w:val="FootnoteText"/>
      </w:pPr>
      <w:r>
        <w:rPr>
          <w:rStyle w:val="FootnoteReference"/>
        </w:rPr>
        <w:footnoteRef/>
      </w:r>
      <w:r>
        <w:t xml:space="preserve"> “FERC-717” is the Commission’s identifier that corresponds to OMB control no. 1902-0173 which identifies the information collection associated with Standards for </w:t>
      </w:r>
      <w:r>
        <w:rPr>
          <w:szCs w:val="26"/>
        </w:rPr>
        <w:t>Business Practices and Communication Protocols for Public Utilities.</w:t>
      </w:r>
    </w:p>
  </w:footnote>
  <w:footnote w:id="62">
    <w:p w:rsidR="007E42E9" w:rsidRDefault="007E42E9">
      <w:pPr>
        <w:pStyle w:val="FootnoteText"/>
      </w:pPr>
      <w:r>
        <w:rPr>
          <w:rStyle w:val="FootnoteReference"/>
        </w:rPr>
        <w:footnoteRef/>
      </w:r>
      <w:r>
        <w:t xml:space="preserve"> The 30-hour estimate was developed in Docket No. RM05-5-013, when the Commission prepared its estimate of the scope of work involved in transitioning to the NAESB Version 002.1 Business Practice Standards.  </w:t>
      </w:r>
      <w:r w:rsidRPr="002A4F39">
        <w:rPr>
          <w:i/>
        </w:rPr>
        <w:t>See</w:t>
      </w:r>
      <w:r>
        <w:t xml:space="preserve"> Order No. 676-E, FERC Stats. &amp; Regs. ¶ 31,299 at P 134.  We have retained the same estimate here, because the scope of the tasks involved in the transition to Version 003 of the Business Practice Standards is very similar to that for the transition to the Version 002.1 Standards. </w:t>
      </w:r>
    </w:p>
  </w:footnote>
  <w:footnote w:id="63">
    <w:p w:rsidR="007E42E9" w:rsidRDefault="007E42E9" w:rsidP="00AD3F3C">
      <w:pPr>
        <w:pStyle w:val="FERCparanumber"/>
        <w:numPr>
          <w:ilvl w:val="0"/>
          <w:numId w:val="0"/>
        </w:numPr>
        <w:spacing w:after="120" w:line="240" w:lineRule="auto"/>
        <w:ind w:firstLine="720"/>
      </w:pPr>
      <w:r w:rsidRPr="00F61437">
        <w:rPr>
          <w:rStyle w:val="FootnoteReference"/>
        </w:rPr>
        <w:footnoteRef/>
      </w:r>
      <w:r w:rsidRPr="00F61437">
        <w:t xml:space="preserve"> </w:t>
      </w:r>
      <w:r>
        <w:t>T</w:t>
      </w:r>
      <w:r w:rsidRPr="00F61437">
        <w:t xml:space="preserve">he estimated hourly loaded cost (salary plus benefits) is a composite estimate that includes legal, technical, and support staff rates, based on data from the Bureau of Labor Statistics at </w:t>
      </w:r>
      <w:r w:rsidRPr="00F61437">
        <w:rPr>
          <w:u w:val="single"/>
        </w:rPr>
        <w:t>http://bls.gov/oes/current/naics3_221000.htm</w:t>
      </w:r>
      <w:r w:rsidRPr="00F61437">
        <w:t>.  Loaded costs are BLS rates divided by 0.703 and rounded to the nearest dollar (</w:t>
      </w:r>
      <w:hyperlink r:id="rId2" w:history="1">
        <w:r w:rsidRPr="002A4F39">
          <w:rPr>
            <w:rStyle w:val="Hyperlink"/>
          </w:rPr>
          <w:t>http://www.bls.gov/news.release/ecec.nr0.htm</w:t>
        </w:r>
      </w:hyperlink>
      <w:r>
        <w:rPr>
          <w:rStyle w:val="Hyperlink"/>
        </w:rPr>
        <w:t>)</w:t>
      </w:r>
      <w:r w:rsidRPr="00F61437">
        <w:t>.</w:t>
      </w:r>
    </w:p>
  </w:footnote>
  <w:footnote w:id="64">
    <w:p w:rsidR="007E42E9" w:rsidRDefault="007E42E9">
      <w:pPr>
        <w:pStyle w:val="FootnoteText"/>
      </w:pPr>
      <w:r>
        <w:rPr>
          <w:rStyle w:val="FootnoteReference"/>
        </w:rPr>
        <w:footnoteRef/>
      </w:r>
      <w:r>
        <w:t xml:space="preserve"> </w:t>
      </w:r>
      <w:r w:rsidRPr="00CA689F">
        <w:rPr>
          <w:i/>
        </w:rPr>
        <w:t xml:space="preserve">See </w:t>
      </w:r>
      <w:r>
        <w:rPr>
          <w:i/>
        </w:rPr>
        <w:t>infra</w:t>
      </w:r>
      <w:r>
        <w:t xml:space="preserve"> P 56.</w:t>
      </w:r>
    </w:p>
  </w:footnote>
  <w:footnote w:id="65">
    <w:p w:rsidR="007E42E9" w:rsidRDefault="007E42E9" w:rsidP="007C0C74">
      <w:pPr>
        <w:pStyle w:val="FootnoteText"/>
      </w:pPr>
      <w:r>
        <w:rPr>
          <w:rStyle w:val="FootnoteReference"/>
        </w:rPr>
        <w:footnoteRef/>
      </w:r>
      <w:r>
        <w:t xml:space="preserve"> </w:t>
      </w:r>
      <w:r w:rsidRPr="003E0C77">
        <w:rPr>
          <w:i/>
        </w:rPr>
        <w:t>Regulations Implementing the National Environmental Policy Act of 1969</w:t>
      </w:r>
      <w:r>
        <w:t>, Order No. 486, 52 FR 47897 (Dec. 17, 1987), FERC Stats. &amp; Regs., Regulations Preambles 1986-1990 ¶ 30,783 (1987).</w:t>
      </w:r>
    </w:p>
  </w:footnote>
  <w:footnote w:id="66">
    <w:p w:rsidR="007E42E9" w:rsidRDefault="007E42E9" w:rsidP="007C0C74">
      <w:pPr>
        <w:pStyle w:val="FootnoteText"/>
      </w:pPr>
      <w:r w:rsidRPr="001D4BBD">
        <w:rPr>
          <w:rStyle w:val="FootnoteReference"/>
        </w:rPr>
        <w:footnoteRef/>
      </w:r>
      <w:r>
        <w:t xml:space="preserve"> 18 CFR 380.4.</w:t>
      </w:r>
    </w:p>
  </w:footnote>
  <w:footnote w:id="67">
    <w:p w:rsidR="007E42E9" w:rsidRDefault="007E42E9" w:rsidP="007C0C74">
      <w:pPr>
        <w:pStyle w:val="FootnoteText"/>
      </w:pPr>
      <w:r w:rsidRPr="001D4BBD">
        <w:rPr>
          <w:rStyle w:val="FootnoteReference"/>
        </w:rPr>
        <w:footnoteRef/>
      </w:r>
      <w:r w:rsidRPr="00930758">
        <w:t xml:space="preserve"> </w:t>
      </w:r>
      <w:r w:rsidRPr="002A4F39">
        <w:rPr>
          <w:i/>
        </w:rPr>
        <w:t>See</w:t>
      </w:r>
      <w:r w:rsidRPr="0007160F">
        <w:t xml:space="preserve"> </w:t>
      </w:r>
      <w:r>
        <w:t>18 CFR 380.4(a)(2)(ii), 380.4(a)(5), 380.4(a)(27).</w:t>
      </w:r>
    </w:p>
  </w:footnote>
  <w:footnote w:id="68">
    <w:p w:rsidR="007E42E9" w:rsidRDefault="007E42E9" w:rsidP="007C0C74">
      <w:pPr>
        <w:pStyle w:val="FootnoteText"/>
      </w:pPr>
      <w:r>
        <w:rPr>
          <w:rStyle w:val="FootnoteReference"/>
        </w:rPr>
        <w:footnoteRef/>
      </w:r>
      <w:r>
        <w:t xml:space="preserve"> 5 U.S.C. 601-612.</w:t>
      </w:r>
    </w:p>
  </w:footnote>
  <w:footnote w:id="69">
    <w:p w:rsidR="007E42E9" w:rsidRDefault="007E42E9" w:rsidP="00CF679E">
      <w:pPr>
        <w:pStyle w:val="FootnoteText"/>
      </w:pPr>
      <w:r>
        <w:rPr>
          <w:rStyle w:val="FootnoteReference"/>
        </w:rPr>
        <w:footnoteRef/>
      </w:r>
      <w:r>
        <w:t xml:space="preserve"> 13 CFR 121.101 (2012).</w:t>
      </w:r>
    </w:p>
  </w:footnote>
  <w:footnote w:id="70">
    <w:p w:rsidR="007E42E9" w:rsidRDefault="007E42E9" w:rsidP="00CF679E">
      <w:pPr>
        <w:pStyle w:val="FootnoteText"/>
      </w:pPr>
      <w:r>
        <w:rPr>
          <w:rStyle w:val="FootnoteReference"/>
        </w:rPr>
        <w:footnoteRef/>
      </w:r>
      <w:r>
        <w:t xml:space="preserve"> 13 CFR 121.201, Sector 22, Utilities &amp; n.1.  </w:t>
      </w:r>
    </w:p>
  </w:footnote>
  <w:footnote w:id="71">
    <w:p w:rsidR="007E42E9" w:rsidRDefault="007E42E9" w:rsidP="00CF679E">
      <w:pPr>
        <w:pStyle w:val="FootnoteText"/>
      </w:pPr>
      <w:r>
        <w:rPr>
          <w:rStyle w:val="FootnoteReference"/>
        </w:rPr>
        <w:footnoteRef/>
      </w:r>
      <w:r>
        <w:t xml:space="preserve"> 36 hours at $72/hour = $2,592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E9" w:rsidRDefault="007E42E9" w:rsidP="007C0C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E42E9" w:rsidRDefault="007E42E9" w:rsidP="007C0C7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E9" w:rsidRDefault="007E42E9">
    <w:pPr>
      <w:pStyle w:val="Header"/>
    </w:pPr>
    <w:r>
      <w:t xml:space="preserve">Docket No. RM05-5-022 </w:t>
    </w:r>
    <w:r>
      <w:tab/>
      <w:t>-ii-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E9" w:rsidRDefault="007E42E9" w:rsidP="007C0C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2E9" w:rsidRDefault="007E42E9" w:rsidP="007C0C7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E9" w:rsidRPr="00E349E6" w:rsidRDefault="007E42E9" w:rsidP="007C0C74">
    <w:pPr>
      <w:pStyle w:val="Header"/>
      <w:ind w:right="360"/>
    </w:pPr>
    <w:r>
      <w:t xml:space="preserve">Docket No. RM05-5-022 </w:t>
    </w:r>
    <w:r>
      <w:tab/>
    </w:r>
    <w:fldSimple w:instr=" PAGE  \* MERGEFORMAT ">
      <w:r>
        <w:rPr>
          <w:noProof/>
        </w:rPr>
        <w:t>- 37 -</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E9" w:rsidRDefault="007E42E9">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98C4F0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9F61F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93A648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B003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1">
    <w:nsid w:val="1C214EA8"/>
    <w:multiLevelType w:val="hybridMultilevel"/>
    <w:tmpl w:val="AD6C8408"/>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E6759CE"/>
    <w:multiLevelType w:val="hybridMultilevel"/>
    <w:tmpl w:val="D826AB7E"/>
    <w:lvl w:ilvl="0" w:tplc="F6A24E1C">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ABF6D98"/>
    <w:multiLevelType w:val="hybridMultilevel"/>
    <w:tmpl w:val="AA84149A"/>
    <w:lvl w:ilvl="0" w:tplc="C41C0030">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2A22E6"/>
    <w:multiLevelType w:val="multilevel"/>
    <w:tmpl w:val="DA823502"/>
    <w:lvl w:ilvl="0">
      <w:start w:val="1"/>
      <w:numFmt w:val="decimal"/>
      <w:lvlText w:val="%1."/>
      <w:lvlJc w:val="left"/>
      <w:pPr>
        <w:tabs>
          <w:tab w:val="num" w:pos="720"/>
        </w:tabs>
      </w:pPr>
      <w:rPr>
        <w:rFonts w:cs="Times New Roman" w:hint="default"/>
        <w:b w:val="0"/>
      </w:rPr>
    </w:lvl>
    <w:lvl w:ilvl="1">
      <w:start w:val="1"/>
      <w:numFmt w:val="lowerLetter"/>
      <w:lvlText w:val="(%2)"/>
      <w:lvlJc w:val="left"/>
      <w:pPr>
        <w:tabs>
          <w:tab w:val="num" w:pos="1500"/>
        </w:tabs>
        <w:ind w:left="60" w:firstLine="720"/>
      </w:pPr>
      <w:rPr>
        <w:rFonts w:cs="Times New Roman" w:hint="default"/>
      </w:rPr>
    </w:lvl>
    <w:lvl w:ilvl="2">
      <w:start w:val="1"/>
      <w:numFmt w:val="decimal"/>
      <w:lvlText w:val="(%3)"/>
      <w:lvlJc w:val="left"/>
      <w:pPr>
        <w:tabs>
          <w:tab w:val="num" w:pos="1440"/>
        </w:tabs>
        <w:ind w:firstLine="720"/>
      </w:pPr>
      <w:rPr>
        <w:rFonts w:cs="Times New Roman" w:hint="default"/>
      </w:rPr>
    </w:lvl>
    <w:lvl w:ilvl="3">
      <w:start w:val="1"/>
      <w:numFmt w:val="lowerRoman"/>
      <w:lvlText w:val="(%4)"/>
      <w:lvlJc w:val="left"/>
      <w:pPr>
        <w:tabs>
          <w:tab w:val="num" w:pos="1440"/>
        </w:tabs>
        <w:ind w:firstLine="720"/>
      </w:pPr>
      <w:rPr>
        <w:rFonts w:cs="Times New Roman" w:hint="default"/>
      </w:rPr>
    </w:lvl>
    <w:lvl w:ilvl="4">
      <w:start w:val="1"/>
      <w:numFmt w:val="upperLetter"/>
      <w:lvlText w:val="%5."/>
      <w:lvlJc w:val="left"/>
      <w:pPr>
        <w:tabs>
          <w:tab w:val="num" w:pos="1440"/>
        </w:tabs>
        <w:ind w:firstLine="720"/>
      </w:pPr>
      <w:rPr>
        <w:rFonts w:cs="Times New Roman" w:hint="default"/>
      </w:rPr>
    </w:lvl>
    <w:lvl w:ilvl="5">
      <w:start w:val="1"/>
      <w:numFmt w:val="decimal"/>
      <w:lvlText w:val="(%6)"/>
      <w:lvlJc w:val="left"/>
      <w:pPr>
        <w:tabs>
          <w:tab w:val="num" w:pos="1440"/>
        </w:tabs>
        <w:ind w:firstLine="720"/>
      </w:pPr>
      <w:rPr>
        <w:rFonts w:cs="Times New Roman" w:hint="default"/>
        <w:b w:val="0"/>
        <w:i/>
      </w:rPr>
    </w:lvl>
    <w:lvl w:ilvl="6">
      <w:start w:val="1"/>
      <w:numFmt w:val="lowerRoman"/>
      <w:lvlText w:val="(%7)"/>
      <w:lvlJc w:val="left"/>
      <w:pPr>
        <w:tabs>
          <w:tab w:val="num" w:pos="1440"/>
        </w:tabs>
        <w:ind w:firstLine="720"/>
      </w:pPr>
      <w:rPr>
        <w:rFonts w:cs="Times New Roman" w:hint="default"/>
        <w:b w:val="0"/>
        <w:i/>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BEF59D1"/>
    <w:multiLevelType w:val="hybridMultilevel"/>
    <w:tmpl w:val="8F10E850"/>
    <w:lvl w:ilvl="0" w:tplc="3C32BE6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E654A5A"/>
    <w:multiLevelType w:val="hybridMultilevel"/>
    <w:tmpl w:val="301E5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EB399C"/>
    <w:multiLevelType w:val="multilevel"/>
    <w:tmpl w:val="0B4CA4AA"/>
    <w:lvl w:ilvl="0">
      <w:start w:val="1"/>
      <w:numFmt w:val="upperRoman"/>
      <w:lvlRestart w:val="0"/>
      <w:lvlText w:val="%1."/>
      <w:lvlJc w:val="left"/>
      <w:pPr>
        <w:tabs>
          <w:tab w:val="num" w:pos="720"/>
        </w:tabs>
        <w:ind w:left="720" w:hanging="72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440"/>
        </w:tabs>
        <w:ind w:left="1440" w:hanging="720"/>
      </w:pPr>
      <w:rPr>
        <w:rFonts w:cs="Times New Roman"/>
      </w:rPr>
    </w:lvl>
    <w:lvl w:ilvl="3">
      <w:start w:val="1"/>
      <w:numFmt w:val="lowerLetter"/>
      <w:lvlText w:val="%4."/>
      <w:lvlJc w:val="left"/>
      <w:pPr>
        <w:tabs>
          <w:tab w:val="num" w:pos="1800"/>
        </w:tabs>
        <w:ind w:left="180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2520"/>
        </w:tabs>
        <w:ind w:left="2520" w:hanging="720"/>
      </w:pPr>
      <w:rPr>
        <w:rFonts w:cs="Times New Roman"/>
      </w:rPr>
    </w:lvl>
    <w:lvl w:ilvl="6">
      <w:start w:val="1"/>
      <w:numFmt w:val="decimal"/>
      <w:lvlText w:val="(%7)"/>
      <w:lvlJc w:val="left"/>
      <w:pPr>
        <w:tabs>
          <w:tab w:val="num" w:pos="2880"/>
        </w:tabs>
        <w:ind w:left="2880" w:hanging="720"/>
      </w:pPr>
      <w:rPr>
        <w:rFonts w:cs="Times New Roman"/>
      </w:rPr>
    </w:lvl>
    <w:lvl w:ilvl="7">
      <w:start w:val="1"/>
      <w:numFmt w:val="lowerRoman"/>
      <w:lvlText w:val="(%8)"/>
      <w:lvlJc w:val="left"/>
      <w:pPr>
        <w:tabs>
          <w:tab w:val="num" w:pos="3240"/>
        </w:tabs>
        <w:ind w:left="3240" w:hanging="720"/>
      </w:pPr>
      <w:rPr>
        <w:rFonts w:cs="Times New Roman"/>
      </w:rPr>
    </w:lvl>
    <w:lvl w:ilvl="8">
      <w:start w:val="1"/>
      <w:numFmt w:val="decimalZero"/>
      <w:lvlText w:val="(%9)"/>
      <w:lvlJc w:val="left"/>
      <w:pPr>
        <w:tabs>
          <w:tab w:val="num" w:pos="3600"/>
        </w:tabs>
        <w:ind w:left="3600" w:hanging="720"/>
      </w:pPr>
      <w:rPr>
        <w:rFonts w:cs="Times New Roman"/>
      </w:rPr>
    </w:lvl>
  </w:abstractNum>
  <w:abstractNum w:abstractNumId="18">
    <w:nsid w:val="5F674FD5"/>
    <w:multiLevelType w:val="hybridMultilevel"/>
    <w:tmpl w:val="D5A6E014"/>
    <w:lvl w:ilvl="0" w:tplc="84FE6ADC">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1D25A0E"/>
    <w:multiLevelType w:val="hybridMultilevel"/>
    <w:tmpl w:val="40F2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820AC"/>
    <w:multiLevelType w:val="hybridMultilevel"/>
    <w:tmpl w:val="45B8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B1B6B"/>
    <w:multiLevelType w:val="hybridMultilevel"/>
    <w:tmpl w:val="38465C78"/>
    <w:lvl w:ilvl="0" w:tplc="E4FAF83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E4E4DD3"/>
    <w:multiLevelType w:val="hybridMultilevel"/>
    <w:tmpl w:val="50CAE678"/>
    <w:lvl w:ilvl="0" w:tplc="D4323D40">
      <w:start w:val="1"/>
      <w:numFmt w:val="decima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5"/>
  </w:num>
  <w:num w:numId="23">
    <w:abstractNumId w:val="18"/>
  </w:num>
  <w:num w:numId="24">
    <w:abstractNumId w:val="12"/>
  </w:num>
  <w:num w:numId="25">
    <w:abstractNumId w:val="23"/>
  </w:num>
  <w:num w:numId="26">
    <w:abstractNumId w:val="9"/>
  </w:num>
  <w:num w:numId="27">
    <w:abstractNumId w:val="9"/>
  </w:num>
  <w:num w:numId="28">
    <w:abstractNumId w:val="7"/>
  </w:num>
  <w:num w:numId="29">
    <w:abstractNumId w:val="7"/>
  </w:num>
  <w:num w:numId="30">
    <w:abstractNumId w:val="6"/>
  </w:num>
  <w:num w:numId="31">
    <w:abstractNumId w:val="6"/>
  </w:num>
  <w:num w:numId="32">
    <w:abstractNumId w:val="5"/>
  </w:num>
  <w:num w:numId="33">
    <w:abstractNumId w:val="5"/>
  </w:num>
  <w:num w:numId="34">
    <w:abstractNumId w:val="4"/>
  </w:num>
  <w:num w:numId="35">
    <w:abstractNumId w:val="4"/>
  </w:num>
  <w:num w:numId="36">
    <w:abstractNumId w:val="8"/>
  </w:num>
  <w:num w:numId="37">
    <w:abstractNumId w:val="8"/>
  </w:num>
  <w:num w:numId="38">
    <w:abstractNumId w:val="3"/>
  </w:num>
  <w:num w:numId="39">
    <w:abstractNumId w:val="3"/>
  </w:num>
  <w:num w:numId="40">
    <w:abstractNumId w:val="2"/>
  </w:num>
  <w:num w:numId="41">
    <w:abstractNumId w:val="2"/>
  </w:num>
  <w:num w:numId="42">
    <w:abstractNumId w:val="1"/>
  </w:num>
  <w:num w:numId="43">
    <w:abstractNumId w:val="1"/>
  </w:num>
  <w:num w:numId="44">
    <w:abstractNumId w:val="0"/>
  </w:num>
  <w:num w:numId="45">
    <w:abstractNumId w:val="0"/>
  </w:num>
  <w:num w:numId="46">
    <w:abstractNumId w:val="19"/>
  </w:num>
  <w:num w:numId="47">
    <w:abstractNumId w:val="17"/>
  </w:num>
  <w:num w:numId="48">
    <w:abstractNumId w:val="22"/>
  </w:num>
  <w:num w:numId="49">
    <w:abstractNumId w:val="14"/>
  </w:num>
  <w:num w:numId="50">
    <w:abstractNumId w:val="14"/>
    <w:lvlOverride w:ilvl="0">
      <w:startOverride w:val="1"/>
    </w:lvlOverride>
    <w:lvlOverride w:ilvl="1">
      <w:startOverride w:val="1"/>
    </w:lvlOverride>
    <w:lvlOverride w:ilvl="2">
      <w:startOverride w:val="5"/>
    </w:lvlOverride>
  </w:num>
  <w:num w:numId="51">
    <w:abstractNumId w:val="14"/>
    <w:lvlOverride w:ilvl="0">
      <w:startOverride w:val="1"/>
    </w:lvlOverride>
    <w:lvlOverride w:ilvl="1">
      <w:startOverride w:val="1"/>
    </w:lvlOverride>
    <w:lvlOverride w:ilvl="2">
      <w:startOverride w:val="7"/>
    </w:lvlOverride>
  </w:num>
  <w:num w:numId="52">
    <w:abstractNumId w:val="20"/>
  </w:num>
  <w:num w:numId="53">
    <w:abstractNumId w:val="16"/>
  </w:num>
  <w:num w:numId="54">
    <w:abstractNumId w:val="11"/>
  </w:num>
  <w:num w:numId="55">
    <w:abstractNumId w:val="21"/>
  </w:num>
  <w:num w:numId="56">
    <w:abstractNumId w:val="23"/>
  </w:num>
  <w:num w:numId="57">
    <w:abstractNumId w:val="23"/>
  </w:num>
  <w:num w:numId="58">
    <w:abstractNumId w:val="23"/>
  </w:num>
  <w:num w:numId="59">
    <w:abstractNumId w:val="23"/>
  </w:num>
  <w:num w:numId="6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3E5"/>
    <w:rsid w:val="000008DC"/>
    <w:rsid w:val="000010A2"/>
    <w:rsid w:val="00001846"/>
    <w:rsid w:val="00001E0B"/>
    <w:rsid w:val="000029E3"/>
    <w:rsid w:val="00003548"/>
    <w:rsid w:val="000039F0"/>
    <w:rsid w:val="00004346"/>
    <w:rsid w:val="00004950"/>
    <w:rsid w:val="00004A11"/>
    <w:rsid w:val="00004AEC"/>
    <w:rsid w:val="00005ACF"/>
    <w:rsid w:val="000060FC"/>
    <w:rsid w:val="0000615A"/>
    <w:rsid w:val="00006AE5"/>
    <w:rsid w:val="00006E79"/>
    <w:rsid w:val="00010CA8"/>
    <w:rsid w:val="0001111E"/>
    <w:rsid w:val="00011A24"/>
    <w:rsid w:val="00011AE3"/>
    <w:rsid w:val="000129B6"/>
    <w:rsid w:val="00012FEF"/>
    <w:rsid w:val="000133FB"/>
    <w:rsid w:val="000136F4"/>
    <w:rsid w:val="00014B7D"/>
    <w:rsid w:val="00014CD3"/>
    <w:rsid w:val="00014FDC"/>
    <w:rsid w:val="00016DEE"/>
    <w:rsid w:val="000174D7"/>
    <w:rsid w:val="00017DB6"/>
    <w:rsid w:val="00020368"/>
    <w:rsid w:val="00020927"/>
    <w:rsid w:val="00020B33"/>
    <w:rsid w:val="00021448"/>
    <w:rsid w:val="00021B4E"/>
    <w:rsid w:val="00021C38"/>
    <w:rsid w:val="00021F71"/>
    <w:rsid w:val="000221B9"/>
    <w:rsid w:val="0002233B"/>
    <w:rsid w:val="000223E4"/>
    <w:rsid w:val="000234C9"/>
    <w:rsid w:val="00023C15"/>
    <w:rsid w:val="000241CE"/>
    <w:rsid w:val="00024FAD"/>
    <w:rsid w:val="00025374"/>
    <w:rsid w:val="00025EB0"/>
    <w:rsid w:val="00027D5A"/>
    <w:rsid w:val="00027FC1"/>
    <w:rsid w:val="000300EA"/>
    <w:rsid w:val="00030452"/>
    <w:rsid w:val="000306AF"/>
    <w:rsid w:val="000316FC"/>
    <w:rsid w:val="00032E9E"/>
    <w:rsid w:val="00035AC0"/>
    <w:rsid w:val="00035B57"/>
    <w:rsid w:val="00035D07"/>
    <w:rsid w:val="00036021"/>
    <w:rsid w:val="00036AAA"/>
    <w:rsid w:val="00036CB0"/>
    <w:rsid w:val="00037102"/>
    <w:rsid w:val="00037F7E"/>
    <w:rsid w:val="00040148"/>
    <w:rsid w:val="000410B8"/>
    <w:rsid w:val="000411AB"/>
    <w:rsid w:val="00042097"/>
    <w:rsid w:val="0004211A"/>
    <w:rsid w:val="000438F0"/>
    <w:rsid w:val="00043FB1"/>
    <w:rsid w:val="00044310"/>
    <w:rsid w:val="000443F6"/>
    <w:rsid w:val="00044CB4"/>
    <w:rsid w:val="00045168"/>
    <w:rsid w:val="00046A52"/>
    <w:rsid w:val="000473E9"/>
    <w:rsid w:val="000504C7"/>
    <w:rsid w:val="00051FB1"/>
    <w:rsid w:val="00053843"/>
    <w:rsid w:val="00053C78"/>
    <w:rsid w:val="00054007"/>
    <w:rsid w:val="0005406C"/>
    <w:rsid w:val="0005418B"/>
    <w:rsid w:val="0005531C"/>
    <w:rsid w:val="0005596E"/>
    <w:rsid w:val="00055C3B"/>
    <w:rsid w:val="00057383"/>
    <w:rsid w:val="00057A3B"/>
    <w:rsid w:val="00057EC0"/>
    <w:rsid w:val="00060378"/>
    <w:rsid w:val="00060573"/>
    <w:rsid w:val="00060A04"/>
    <w:rsid w:val="00060AEC"/>
    <w:rsid w:val="00061322"/>
    <w:rsid w:val="00061BF3"/>
    <w:rsid w:val="00062A6A"/>
    <w:rsid w:val="000632CE"/>
    <w:rsid w:val="00063363"/>
    <w:rsid w:val="00063754"/>
    <w:rsid w:val="00063C60"/>
    <w:rsid w:val="0006403B"/>
    <w:rsid w:val="00064D88"/>
    <w:rsid w:val="0006505F"/>
    <w:rsid w:val="00065633"/>
    <w:rsid w:val="000656C0"/>
    <w:rsid w:val="000660B6"/>
    <w:rsid w:val="00066527"/>
    <w:rsid w:val="00066A63"/>
    <w:rsid w:val="00066F4B"/>
    <w:rsid w:val="00066FCB"/>
    <w:rsid w:val="0006768F"/>
    <w:rsid w:val="00067E42"/>
    <w:rsid w:val="0007160F"/>
    <w:rsid w:val="00071AAC"/>
    <w:rsid w:val="0007321F"/>
    <w:rsid w:val="00074A14"/>
    <w:rsid w:val="00074CE9"/>
    <w:rsid w:val="000758C7"/>
    <w:rsid w:val="00076F34"/>
    <w:rsid w:val="0007717A"/>
    <w:rsid w:val="0007725C"/>
    <w:rsid w:val="000808C0"/>
    <w:rsid w:val="00080B5B"/>
    <w:rsid w:val="00081326"/>
    <w:rsid w:val="00081740"/>
    <w:rsid w:val="000822CA"/>
    <w:rsid w:val="00082312"/>
    <w:rsid w:val="00082E46"/>
    <w:rsid w:val="00083DBE"/>
    <w:rsid w:val="00083E5A"/>
    <w:rsid w:val="000846AB"/>
    <w:rsid w:val="00084C53"/>
    <w:rsid w:val="000867CB"/>
    <w:rsid w:val="00087051"/>
    <w:rsid w:val="0008718D"/>
    <w:rsid w:val="00087FCE"/>
    <w:rsid w:val="00091746"/>
    <w:rsid w:val="000929B2"/>
    <w:rsid w:val="000931A3"/>
    <w:rsid w:val="00094059"/>
    <w:rsid w:val="00094AA1"/>
    <w:rsid w:val="00094CF6"/>
    <w:rsid w:val="00095BFF"/>
    <w:rsid w:val="00096B2E"/>
    <w:rsid w:val="000970A8"/>
    <w:rsid w:val="000972B5"/>
    <w:rsid w:val="000973D0"/>
    <w:rsid w:val="00097A85"/>
    <w:rsid w:val="00097C85"/>
    <w:rsid w:val="000A0D5B"/>
    <w:rsid w:val="000A0DDB"/>
    <w:rsid w:val="000A158F"/>
    <w:rsid w:val="000A1BF3"/>
    <w:rsid w:val="000A1DAA"/>
    <w:rsid w:val="000A2655"/>
    <w:rsid w:val="000A26E8"/>
    <w:rsid w:val="000A2D91"/>
    <w:rsid w:val="000A409A"/>
    <w:rsid w:val="000A586E"/>
    <w:rsid w:val="000A593E"/>
    <w:rsid w:val="000A67E4"/>
    <w:rsid w:val="000B32DC"/>
    <w:rsid w:val="000B350D"/>
    <w:rsid w:val="000B3933"/>
    <w:rsid w:val="000B41CE"/>
    <w:rsid w:val="000B46E1"/>
    <w:rsid w:val="000B5551"/>
    <w:rsid w:val="000B6C6A"/>
    <w:rsid w:val="000B6C86"/>
    <w:rsid w:val="000B7201"/>
    <w:rsid w:val="000B7B33"/>
    <w:rsid w:val="000C1D1E"/>
    <w:rsid w:val="000C1F55"/>
    <w:rsid w:val="000C2F61"/>
    <w:rsid w:val="000C2FE7"/>
    <w:rsid w:val="000C4897"/>
    <w:rsid w:val="000C7616"/>
    <w:rsid w:val="000C7D12"/>
    <w:rsid w:val="000C7E65"/>
    <w:rsid w:val="000D0097"/>
    <w:rsid w:val="000D0A72"/>
    <w:rsid w:val="000D1581"/>
    <w:rsid w:val="000D19F2"/>
    <w:rsid w:val="000D22B0"/>
    <w:rsid w:val="000D2B7E"/>
    <w:rsid w:val="000D2DFC"/>
    <w:rsid w:val="000D3880"/>
    <w:rsid w:val="000D4A71"/>
    <w:rsid w:val="000D527E"/>
    <w:rsid w:val="000D597F"/>
    <w:rsid w:val="000D6175"/>
    <w:rsid w:val="000D670E"/>
    <w:rsid w:val="000D6AA4"/>
    <w:rsid w:val="000D6AC1"/>
    <w:rsid w:val="000D6BAA"/>
    <w:rsid w:val="000D709F"/>
    <w:rsid w:val="000D7830"/>
    <w:rsid w:val="000E0AAC"/>
    <w:rsid w:val="000E14BB"/>
    <w:rsid w:val="000E19FF"/>
    <w:rsid w:val="000E1EF6"/>
    <w:rsid w:val="000E314D"/>
    <w:rsid w:val="000E41CC"/>
    <w:rsid w:val="000E51F4"/>
    <w:rsid w:val="000E639E"/>
    <w:rsid w:val="000E66D9"/>
    <w:rsid w:val="000E7522"/>
    <w:rsid w:val="000E7DE0"/>
    <w:rsid w:val="000F013C"/>
    <w:rsid w:val="000F0A91"/>
    <w:rsid w:val="000F0E52"/>
    <w:rsid w:val="000F0F09"/>
    <w:rsid w:val="000F130C"/>
    <w:rsid w:val="000F1A65"/>
    <w:rsid w:val="000F28E3"/>
    <w:rsid w:val="000F37A6"/>
    <w:rsid w:val="000F40DE"/>
    <w:rsid w:val="000F42ED"/>
    <w:rsid w:val="000F438A"/>
    <w:rsid w:val="000F4DC4"/>
    <w:rsid w:val="000F4E91"/>
    <w:rsid w:val="000F6044"/>
    <w:rsid w:val="000F63AB"/>
    <w:rsid w:val="000F6557"/>
    <w:rsid w:val="000F68E5"/>
    <w:rsid w:val="000F7238"/>
    <w:rsid w:val="0010085C"/>
    <w:rsid w:val="00101152"/>
    <w:rsid w:val="001012C8"/>
    <w:rsid w:val="001013CC"/>
    <w:rsid w:val="00101558"/>
    <w:rsid w:val="00101ECB"/>
    <w:rsid w:val="001023A2"/>
    <w:rsid w:val="00102993"/>
    <w:rsid w:val="00102AF0"/>
    <w:rsid w:val="00102B4E"/>
    <w:rsid w:val="00103251"/>
    <w:rsid w:val="0010352E"/>
    <w:rsid w:val="00103B23"/>
    <w:rsid w:val="00103BFD"/>
    <w:rsid w:val="00103E0B"/>
    <w:rsid w:val="00104B5E"/>
    <w:rsid w:val="001054AB"/>
    <w:rsid w:val="00106417"/>
    <w:rsid w:val="001064AC"/>
    <w:rsid w:val="00107D5A"/>
    <w:rsid w:val="0011005F"/>
    <w:rsid w:val="001106ED"/>
    <w:rsid w:val="00111034"/>
    <w:rsid w:val="001124EB"/>
    <w:rsid w:val="00112870"/>
    <w:rsid w:val="001128A5"/>
    <w:rsid w:val="00112FC1"/>
    <w:rsid w:val="00113B8A"/>
    <w:rsid w:val="00114197"/>
    <w:rsid w:val="00114673"/>
    <w:rsid w:val="0011511B"/>
    <w:rsid w:val="001170A8"/>
    <w:rsid w:val="00117586"/>
    <w:rsid w:val="001179D0"/>
    <w:rsid w:val="0012245F"/>
    <w:rsid w:val="00123043"/>
    <w:rsid w:val="00123A7B"/>
    <w:rsid w:val="00124616"/>
    <w:rsid w:val="00125319"/>
    <w:rsid w:val="001270D8"/>
    <w:rsid w:val="00127B80"/>
    <w:rsid w:val="00130236"/>
    <w:rsid w:val="00130A27"/>
    <w:rsid w:val="0013176F"/>
    <w:rsid w:val="00131961"/>
    <w:rsid w:val="0013267D"/>
    <w:rsid w:val="00132958"/>
    <w:rsid w:val="001329CD"/>
    <w:rsid w:val="00134E66"/>
    <w:rsid w:val="00135D17"/>
    <w:rsid w:val="00135E46"/>
    <w:rsid w:val="001406B0"/>
    <w:rsid w:val="00140F26"/>
    <w:rsid w:val="001428F4"/>
    <w:rsid w:val="00143B54"/>
    <w:rsid w:val="0014436C"/>
    <w:rsid w:val="00144766"/>
    <w:rsid w:val="001450B0"/>
    <w:rsid w:val="001453AE"/>
    <w:rsid w:val="00145BF3"/>
    <w:rsid w:val="001460E5"/>
    <w:rsid w:val="001466C3"/>
    <w:rsid w:val="00146A35"/>
    <w:rsid w:val="00147246"/>
    <w:rsid w:val="001472D9"/>
    <w:rsid w:val="001502BD"/>
    <w:rsid w:val="00150AD2"/>
    <w:rsid w:val="00151132"/>
    <w:rsid w:val="00151827"/>
    <w:rsid w:val="00152079"/>
    <w:rsid w:val="00152154"/>
    <w:rsid w:val="00152CCD"/>
    <w:rsid w:val="001539A2"/>
    <w:rsid w:val="001541A7"/>
    <w:rsid w:val="001546BF"/>
    <w:rsid w:val="00154746"/>
    <w:rsid w:val="00154BD4"/>
    <w:rsid w:val="00155F3D"/>
    <w:rsid w:val="0016238D"/>
    <w:rsid w:val="0016268A"/>
    <w:rsid w:val="00163663"/>
    <w:rsid w:val="00163C4E"/>
    <w:rsid w:val="001640EA"/>
    <w:rsid w:val="00164D28"/>
    <w:rsid w:val="00165B69"/>
    <w:rsid w:val="00166084"/>
    <w:rsid w:val="00166289"/>
    <w:rsid w:val="00166B9D"/>
    <w:rsid w:val="00166EBA"/>
    <w:rsid w:val="001677E0"/>
    <w:rsid w:val="001701EA"/>
    <w:rsid w:val="001704B9"/>
    <w:rsid w:val="00171ECB"/>
    <w:rsid w:val="001728C4"/>
    <w:rsid w:val="00173A73"/>
    <w:rsid w:val="00174282"/>
    <w:rsid w:val="001755A8"/>
    <w:rsid w:val="00176821"/>
    <w:rsid w:val="00177390"/>
    <w:rsid w:val="00177BDE"/>
    <w:rsid w:val="00180B2F"/>
    <w:rsid w:val="00180FE8"/>
    <w:rsid w:val="00181808"/>
    <w:rsid w:val="00183FD6"/>
    <w:rsid w:val="00184913"/>
    <w:rsid w:val="00184B94"/>
    <w:rsid w:val="001853F5"/>
    <w:rsid w:val="001855BE"/>
    <w:rsid w:val="00185749"/>
    <w:rsid w:val="00186BDB"/>
    <w:rsid w:val="00186DE6"/>
    <w:rsid w:val="001877A3"/>
    <w:rsid w:val="00187B25"/>
    <w:rsid w:val="00187F71"/>
    <w:rsid w:val="00190610"/>
    <w:rsid w:val="0019063F"/>
    <w:rsid w:val="00190686"/>
    <w:rsid w:val="00191218"/>
    <w:rsid w:val="00191A93"/>
    <w:rsid w:val="00192218"/>
    <w:rsid w:val="00193046"/>
    <w:rsid w:val="00194484"/>
    <w:rsid w:val="0019467C"/>
    <w:rsid w:val="00196824"/>
    <w:rsid w:val="00196908"/>
    <w:rsid w:val="00197A21"/>
    <w:rsid w:val="001A0094"/>
    <w:rsid w:val="001A1070"/>
    <w:rsid w:val="001A1159"/>
    <w:rsid w:val="001A18E2"/>
    <w:rsid w:val="001A1E8E"/>
    <w:rsid w:val="001A20B4"/>
    <w:rsid w:val="001A2AE7"/>
    <w:rsid w:val="001A3237"/>
    <w:rsid w:val="001A336D"/>
    <w:rsid w:val="001A3527"/>
    <w:rsid w:val="001A404D"/>
    <w:rsid w:val="001A4C5E"/>
    <w:rsid w:val="001A52C9"/>
    <w:rsid w:val="001A5A53"/>
    <w:rsid w:val="001A5CEE"/>
    <w:rsid w:val="001A5D72"/>
    <w:rsid w:val="001A62DB"/>
    <w:rsid w:val="001A686F"/>
    <w:rsid w:val="001A68C8"/>
    <w:rsid w:val="001A6E13"/>
    <w:rsid w:val="001A7913"/>
    <w:rsid w:val="001A7ECB"/>
    <w:rsid w:val="001B086F"/>
    <w:rsid w:val="001B0D8F"/>
    <w:rsid w:val="001B2807"/>
    <w:rsid w:val="001B3571"/>
    <w:rsid w:val="001B4D9E"/>
    <w:rsid w:val="001B512A"/>
    <w:rsid w:val="001B5990"/>
    <w:rsid w:val="001B6475"/>
    <w:rsid w:val="001B6FF3"/>
    <w:rsid w:val="001B730B"/>
    <w:rsid w:val="001C0AC6"/>
    <w:rsid w:val="001C139A"/>
    <w:rsid w:val="001C1613"/>
    <w:rsid w:val="001C17A3"/>
    <w:rsid w:val="001C217B"/>
    <w:rsid w:val="001C237E"/>
    <w:rsid w:val="001C26EF"/>
    <w:rsid w:val="001C313F"/>
    <w:rsid w:val="001C3488"/>
    <w:rsid w:val="001C4A92"/>
    <w:rsid w:val="001C54E7"/>
    <w:rsid w:val="001C5818"/>
    <w:rsid w:val="001C5BB6"/>
    <w:rsid w:val="001C5E36"/>
    <w:rsid w:val="001C6A0D"/>
    <w:rsid w:val="001C74D9"/>
    <w:rsid w:val="001C77CE"/>
    <w:rsid w:val="001D005E"/>
    <w:rsid w:val="001D0604"/>
    <w:rsid w:val="001D09BC"/>
    <w:rsid w:val="001D0F9B"/>
    <w:rsid w:val="001D1ADB"/>
    <w:rsid w:val="001D243C"/>
    <w:rsid w:val="001D3568"/>
    <w:rsid w:val="001D4217"/>
    <w:rsid w:val="001D4A0A"/>
    <w:rsid w:val="001D4BBD"/>
    <w:rsid w:val="001D6113"/>
    <w:rsid w:val="001D6505"/>
    <w:rsid w:val="001D6BC9"/>
    <w:rsid w:val="001D75C1"/>
    <w:rsid w:val="001D7BBA"/>
    <w:rsid w:val="001D7F9B"/>
    <w:rsid w:val="001E0031"/>
    <w:rsid w:val="001E00D3"/>
    <w:rsid w:val="001E02C4"/>
    <w:rsid w:val="001E0670"/>
    <w:rsid w:val="001E0B01"/>
    <w:rsid w:val="001E1429"/>
    <w:rsid w:val="001E1B1A"/>
    <w:rsid w:val="001E3E20"/>
    <w:rsid w:val="001E4958"/>
    <w:rsid w:val="001E5173"/>
    <w:rsid w:val="001E6DB2"/>
    <w:rsid w:val="001E751A"/>
    <w:rsid w:val="001E7A0A"/>
    <w:rsid w:val="001F027A"/>
    <w:rsid w:val="001F169D"/>
    <w:rsid w:val="001F18FC"/>
    <w:rsid w:val="001F1C2E"/>
    <w:rsid w:val="001F20CE"/>
    <w:rsid w:val="001F2C0B"/>
    <w:rsid w:val="001F2D8A"/>
    <w:rsid w:val="001F3006"/>
    <w:rsid w:val="001F37A3"/>
    <w:rsid w:val="001F390F"/>
    <w:rsid w:val="001F4C6A"/>
    <w:rsid w:val="001F5A2C"/>
    <w:rsid w:val="001F5AEB"/>
    <w:rsid w:val="001F6C13"/>
    <w:rsid w:val="001F6F4B"/>
    <w:rsid w:val="001F7231"/>
    <w:rsid w:val="001F75CB"/>
    <w:rsid w:val="001F7FC3"/>
    <w:rsid w:val="002008B3"/>
    <w:rsid w:val="00200B82"/>
    <w:rsid w:val="002018F1"/>
    <w:rsid w:val="0020254F"/>
    <w:rsid w:val="00202AE4"/>
    <w:rsid w:val="00202CE2"/>
    <w:rsid w:val="00202F86"/>
    <w:rsid w:val="00203936"/>
    <w:rsid w:val="00204E98"/>
    <w:rsid w:val="00205829"/>
    <w:rsid w:val="00205F9E"/>
    <w:rsid w:val="00206066"/>
    <w:rsid w:val="00207D0D"/>
    <w:rsid w:val="00207F04"/>
    <w:rsid w:val="00210185"/>
    <w:rsid w:val="002106C9"/>
    <w:rsid w:val="0021146C"/>
    <w:rsid w:val="00211E11"/>
    <w:rsid w:val="0021230A"/>
    <w:rsid w:val="00212F24"/>
    <w:rsid w:val="002135B3"/>
    <w:rsid w:val="00213E34"/>
    <w:rsid w:val="00214D32"/>
    <w:rsid w:val="002156DF"/>
    <w:rsid w:val="00215AC5"/>
    <w:rsid w:val="00215DF5"/>
    <w:rsid w:val="00216028"/>
    <w:rsid w:val="00216EA0"/>
    <w:rsid w:val="00217B51"/>
    <w:rsid w:val="00217BD2"/>
    <w:rsid w:val="00220692"/>
    <w:rsid w:val="00221CA6"/>
    <w:rsid w:val="002220AF"/>
    <w:rsid w:val="00222955"/>
    <w:rsid w:val="00222A1B"/>
    <w:rsid w:val="002246EF"/>
    <w:rsid w:val="00225092"/>
    <w:rsid w:val="00225F94"/>
    <w:rsid w:val="00226210"/>
    <w:rsid w:val="00226B06"/>
    <w:rsid w:val="00226D38"/>
    <w:rsid w:val="00226F71"/>
    <w:rsid w:val="002302F3"/>
    <w:rsid w:val="00230ADA"/>
    <w:rsid w:val="00230DB9"/>
    <w:rsid w:val="00230DDF"/>
    <w:rsid w:val="002315BF"/>
    <w:rsid w:val="00231AC8"/>
    <w:rsid w:val="00231C91"/>
    <w:rsid w:val="00232DAF"/>
    <w:rsid w:val="00233789"/>
    <w:rsid w:val="00233FB7"/>
    <w:rsid w:val="0023594F"/>
    <w:rsid w:val="00235C3A"/>
    <w:rsid w:val="00235D9D"/>
    <w:rsid w:val="00236CFC"/>
    <w:rsid w:val="00236CFE"/>
    <w:rsid w:val="00236F51"/>
    <w:rsid w:val="002375D3"/>
    <w:rsid w:val="002376DD"/>
    <w:rsid w:val="00240066"/>
    <w:rsid w:val="00240251"/>
    <w:rsid w:val="002440C1"/>
    <w:rsid w:val="00244219"/>
    <w:rsid w:val="00244E62"/>
    <w:rsid w:val="0024668B"/>
    <w:rsid w:val="0024674C"/>
    <w:rsid w:val="00247E5E"/>
    <w:rsid w:val="00250C90"/>
    <w:rsid w:val="00251576"/>
    <w:rsid w:val="00251A37"/>
    <w:rsid w:val="00252A93"/>
    <w:rsid w:val="00252E6F"/>
    <w:rsid w:val="0025396A"/>
    <w:rsid w:val="00253BD8"/>
    <w:rsid w:val="00253ED2"/>
    <w:rsid w:val="002546D4"/>
    <w:rsid w:val="002553AC"/>
    <w:rsid w:val="0025691F"/>
    <w:rsid w:val="002569FE"/>
    <w:rsid w:val="00257C38"/>
    <w:rsid w:val="00257E52"/>
    <w:rsid w:val="002603E3"/>
    <w:rsid w:val="00260DB1"/>
    <w:rsid w:val="00261308"/>
    <w:rsid w:val="00261946"/>
    <w:rsid w:val="00262168"/>
    <w:rsid w:val="00262251"/>
    <w:rsid w:val="0026243F"/>
    <w:rsid w:val="00262CA3"/>
    <w:rsid w:val="00262F85"/>
    <w:rsid w:val="0026352C"/>
    <w:rsid w:val="00263962"/>
    <w:rsid w:val="00263B0D"/>
    <w:rsid w:val="0026424F"/>
    <w:rsid w:val="00264564"/>
    <w:rsid w:val="00265359"/>
    <w:rsid w:val="002656DF"/>
    <w:rsid w:val="00266276"/>
    <w:rsid w:val="0026640C"/>
    <w:rsid w:val="00266808"/>
    <w:rsid w:val="002668CD"/>
    <w:rsid w:val="00267529"/>
    <w:rsid w:val="0026774F"/>
    <w:rsid w:val="0027005B"/>
    <w:rsid w:val="0027056A"/>
    <w:rsid w:val="002707D2"/>
    <w:rsid w:val="00270858"/>
    <w:rsid w:val="00273420"/>
    <w:rsid w:val="0027386D"/>
    <w:rsid w:val="00273AE8"/>
    <w:rsid w:val="00273D00"/>
    <w:rsid w:val="002747B3"/>
    <w:rsid w:val="00274BCB"/>
    <w:rsid w:val="00275287"/>
    <w:rsid w:val="00275319"/>
    <w:rsid w:val="002756B8"/>
    <w:rsid w:val="0027628E"/>
    <w:rsid w:val="00276FF0"/>
    <w:rsid w:val="00277458"/>
    <w:rsid w:val="00277881"/>
    <w:rsid w:val="00277D1A"/>
    <w:rsid w:val="00280B4B"/>
    <w:rsid w:val="00280C6D"/>
    <w:rsid w:val="00281095"/>
    <w:rsid w:val="00281978"/>
    <w:rsid w:val="00281B3C"/>
    <w:rsid w:val="00282D15"/>
    <w:rsid w:val="00283996"/>
    <w:rsid w:val="00283B64"/>
    <w:rsid w:val="002844D0"/>
    <w:rsid w:val="0028473A"/>
    <w:rsid w:val="0028559D"/>
    <w:rsid w:val="00286331"/>
    <w:rsid w:val="0028697E"/>
    <w:rsid w:val="00286D97"/>
    <w:rsid w:val="002873CF"/>
    <w:rsid w:val="00287D99"/>
    <w:rsid w:val="00290CDA"/>
    <w:rsid w:val="002910FA"/>
    <w:rsid w:val="00291254"/>
    <w:rsid w:val="0029152E"/>
    <w:rsid w:val="002916F6"/>
    <w:rsid w:val="00291752"/>
    <w:rsid w:val="0029287D"/>
    <w:rsid w:val="00292C42"/>
    <w:rsid w:val="00292DE4"/>
    <w:rsid w:val="002931BC"/>
    <w:rsid w:val="00293F45"/>
    <w:rsid w:val="00294E28"/>
    <w:rsid w:val="002954A6"/>
    <w:rsid w:val="0029694E"/>
    <w:rsid w:val="00297122"/>
    <w:rsid w:val="002A1274"/>
    <w:rsid w:val="002A15B5"/>
    <w:rsid w:val="002A1B83"/>
    <w:rsid w:val="002A2B97"/>
    <w:rsid w:val="002A3661"/>
    <w:rsid w:val="002A4576"/>
    <w:rsid w:val="002A48BB"/>
    <w:rsid w:val="002A4F39"/>
    <w:rsid w:val="002A5520"/>
    <w:rsid w:val="002A692E"/>
    <w:rsid w:val="002A6B96"/>
    <w:rsid w:val="002A6FF9"/>
    <w:rsid w:val="002A76CA"/>
    <w:rsid w:val="002A7722"/>
    <w:rsid w:val="002A786C"/>
    <w:rsid w:val="002A79F7"/>
    <w:rsid w:val="002B0C7A"/>
    <w:rsid w:val="002B2621"/>
    <w:rsid w:val="002B2641"/>
    <w:rsid w:val="002B2991"/>
    <w:rsid w:val="002B62A9"/>
    <w:rsid w:val="002B6FAF"/>
    <w:rsid w:val="002B75D7"/>
    <w:rsid w:val="002B77F8"/>
    <w:rsid w:val="002B7936"/>
    <w:rsid w:val="002C1603"/>
    <w:rsid w:val="002C1977"/>
    <w:rsid w:val="002C1FC6"/>
    <w:rsid w:val="002C293F"/>
    <w:rsid w:val="002C2BC3"/>
    <w:rsid w:val="002C3700"/>
    <w:rsid w:val="002C3B05"/>
    <w:rsid w:val="002C4EF3"/>
    <w:rsid w:val="002C5382"/>
    <w:rsid w:val="002C59B5"/>
    <w:rsid w:val="002C643A"/>
    <w:rsid w:val="002D00BA"/>
    <w:rsid w:val="002D0171"/>
    <w:rsid w:val="002D01D7"/>
    <w:rsid w:val="002D042D"/>
    <w:rsid w:val="002D145D"/>
    <w:rsid w:val="002D14FC"/>
    <w:rsid w:val="002D1906"/>
    <w:rsid w:val="002D3678"/>
    <w:rsid w:val="002D3C91"/>
    <w:rsid w:val="002D3E94"/>
    <w:rsid w:val="002D52AE"/>
    <w:rsid w:val="002D66E9"/>
    <w:rsid w:val="002D6AD0"/>
    <w:rsid w:val="002D769B"/>
    <w:rsid w:val="002D7AE0"/>
    <w:rsid w:val="002D7D08"/>
    <w:rsid w:val="002E14CC"/>
    <w:rsid w:val="002E1E26"/>
    <w:rsid w:val="002E1F47"/>
    <w:rsid w:val="002E4290"/>
    <w:rsid w:val="002E4586"/>
    <w:rsid w:val="002E4D15"/>
    <w:rsid w:val="002E529F"/>
    <w:rsid w:val="002E52F2"/>
    <w:rsid w:val="002E5999"/>
    <w:rsid w:val="002E680A"/>
    <w:rsid w:val="002E6C23"/>
    <w:rsid w:val="002E7602"/>
    <w:rsid w:val="002E770C"/>
    <w:rsid w:val="002F079D"/>
    <w:rsid w:val="002F0876"/>
    <w:rsid w:val="002F22DD"/>
    <w:rsid w:val="002F2492"/>
    <w:rsid w:val="002F254D"/>
    <w:rsid w:val="002F2D0A"/>
    <w:rsid w:val="002F3254"/>
    <w:rsid w:val="002F358A"/>
    <w:rsid w:val="002F366B"/>
    <w:rsid w:val="002F38AC"/>
    <w:rsid w:val="002F40BB"/>
    <w:rsid w:val="002F50A2"/>
    <w:rsid w:val="002F50B4"/>
    <w:rsid w:val="002F54A3"/>
    <w:rsid w:val="002F6463"/>
    <w:rsid w:val="002F74A9"/>
    <w:rsid w:val="002F79E7"/>
    <w:rsid w:val="002F7A47"/>
    <w:rsid w:val="00300652"/>
    <w:rsid w:val="00301152"/>
    <w:rsid w:val="00301427"/>
    <w:rsid w:val="00301E0A"/>
    <w:rsid w:val="00302266"/>
    <w:rsid w:val="003022AA"/>
    <w:rsid w:val="003023C7"/>
    <w:rsid w:val="00303164"/>
    <w:rsid w:val="00303191"/>
    <w:rsid w:val="00303483"/>
    <w:rsid w:val="003039E1"/>
    <w:rsid w:val="00304021"/>
    <w:rsid w:val="003042AD"/>
    <w:rsid w:val="00304B46"/>
    <w:rsid w:val="00304B80"/>
    <w:rsid w:val="0030571D"/>
    <w:rsid w:val="0030589B"/>
    <w:rsid w:val="0030750E"/>
    <w:rsid w:val="0030798D"/>
    <w:rsid w:val="003100E0"/>
    <w:rsid w:val="00310CEB"/>
    <w:rsid w:val="003118C2"/>
    <w:rsid w:val="0031291F"/>
    <w:rsid w:val="00312E09"/>
    <w:rsid w:val="003130AE"/>
    <w:rsid w:val="00313138"/>
    <w:rsid w:val="003134C2"/>
    <w:rsid w:val="00313C13"/>
    <w:rsid w:val="003140D7"/>
    <w:rsid w:val="003149ED"/>
    <w:rsid w:val="00316636"/>
    <w:rsid w:val="00317B3E"/>
    <w:rsid w:val="00320128"/>
    <w:rsid w:val="0032049A"/>
    <w:rsid w:val="00320784"/>
    <w:rsid w:val="00321174"/>
    <w:rsid w:val="003214FE"/>
    <w:rsid w:val="003217ED"/>
    <w:rsid w:val="003221A0"/>
    <w:rsid w:val="00322AB9"/>
    <w:rsid w:val="003235A0"/>
    <w:rsid w:val="00324548"/>
    <w:rsid w:val="00324C23"/>
    <w:rsid w:val="003252AC"/>
    <w:rsid w:val="00325A38"/>
    <w:rsid w:val="00326081"/>
    <w:rsid w:val="00326AC4"/>
    <w:rsid w:val="003275D5"/>
    <w:rsid w:val="003303B3"/>
    <w:rsid w:val="003305F8"/>
    <w:rsid w:val="00330C07"/>
    <w:rsid w:val="00330C99"/>
    <w:rsid w:val="00330EC9"/>
    <w:rsid w:val="003313AE"/>
    <w:rsid w:val="00331884"/>
    <w:rsid w:val="00331B7F"/>
    <w:rsid w:val="0033262C"/>
    <w:rsid w:val="00333BCC"/>
    <w:rsid w:val="00333C22"/>
    <w:rsid w:val="0033428F"/>
    <w:rsid w:val="00334630"/>
    <w:rsid w:val="00334EAF"/>
    <w:rsid w:val="003350BC"/>
    <w:rsid w:val="003350E1"/>
    <w:rsid w:val="003350FA"/>
    <w:rsid w:val="00335529"/>
    <w:rsid w:val="0033571D"/>
    <w:rsid w:val="00335A9B"/>
    <w:rsid w:val="00336F25"/>
    <w:rsid w:val="00336F2A"/>
    <w:rsid w:val="00337261"/>
    <w:rsid w:val="00341891"/>
    <w:rsid w:val="00342E0A"/>
    <w:rsid w:val="00343292"/>
    <w:rsid w:val="003433B3"/>
    <w:rsid w:val="00343DBC"/>
    <w:rsid w:val="003440F0"/>
    <w:rsid w:val="00345F77"/>
    <w:rsid w:val="003463E9"/>
    <w:rsid w:val="00346452"/>
    <w:rsid w:val="003475A9"/>
    <w:rsid w:val="0035033F"/>
    <w:rsid w:val="003503F8"/>
    <w:rsid w:val="003513A6"/>
    <w:rsid w:val="00351E02"/>
    <w:rsid w:val="0035221F"/>
    <w:rsid w:val="00352263"/>
    <w:rsid w:val="00352B99"/>
    <w:rsid w:val="00353419"/>
    <w:rsid w:val="00353465"/>
    <w:rsid w:val="00353BB0"/>
    <w:rsid w:val="0035446A"/>
    <w:rsid w:val="0035495F"/>
    <w:rsid w:val="00354F70"/>
    <w:rsid w:val="00355B3C"/>
    <w:rsid w:val="00355C71"/>
    <w:rsid w:val="003563D3"/>
    <w:rsid w:val="00356443"/>
    <w:rsid w:val="00356462"/>
    <w:rsid w:val="00356AD8"/>
    <w:rsid w:val="00356B6E"/>
    <w:rsid w:val="00356DE0"/>
    <w:rsid w:val="0035771A"/>
    <w:rsid w:val="00357F55"/>
    <w:rsid w:val="00357F58"/>
    <w:rsid w:val="00357F98"/>
    <w:rsid w:val="003613D7"/>
    <w:rsid w:val="003614AD"/>
    <w:rsid w:val="003618AE"/>
    <w:rsid w:val="00361B00"/>
    <w:rsid w:val="00361C22"/>
    <w:rsid w:val="00362A3B"/>
    <w:rsid w:val="00362DC9"/>
    <w:rsid w:val="0036430F"/>
    <w:rsid w:val="0036439C"/>
    <w:rsid w:val="003648D3"/>
    <w:rsid w:val="00364AD7"/>
    <w:rsid w:val="00364C93"/>
    <w:rsid w:val="003658D8"/>
    <w:rsid w:val="003666F1"/>
    <w:rsid w:val="0036781B"/>
    <w:rsid w:val="00370C15"/>
    <w:rsid w:val="0037302C"/>
    <w:rsid w:val="003734FE"/>
    <w:rsid w:val="00373F75"/>
    <w:rsid w:val="003752CC"/>
    <w:rsid w:val="003757DB"/>
    <w:rsid w:val="00376F10"/>
    <w:rsid w:val="003776EB"/>
    <w:rsid w:val="003778E1"/>
    <w:rsid w:val="00377EBE"/>
    <w:rsid w:val="00380088"/>
    <w:rsid w:val="0038080D"/>
    <w:rsid w:val="00380E3C"/>
    <w:rsid w:val="00380E5E"/>
    <w:rsid w:val="00380FD1"/>
    <w:rsid w:val="003811CB"/>
    <w:rsid w:val="00381F65"/>
    <w:rsid w:val="00382564"/>
    <w:rsid w:val="00383428"/>
    <w:rsid w:val="00384E58"/>
    <w:rsid w:val="00385533"/>
    <w:rsid w:val="003858E5"/>
    <w:rsid w:val="00385D88"/>
    <w:rsid w:val="0038655A"/>
    <w:rsid w:val="00386BAB"/>
    <w:rsid w:val="00386ED9"/>
    <w:rsid w:val="003873B9"/>
    <w:rsid w:val="00387B47"/>
    <w:rsid w:val="00390776"/>
    <w:rsid w:val="003908E3"/>
    <w:rsid w:val="00391191"/>
    <w:rsid w:val="00391488"/>
    <w:rsid w:val="00392165"/>
    <w:rsid w:val="00392923"/>
    <w:rsid w:val="00392C89"/>
    <w:rsid w:val="00393410"/>
    <w:rsid w:val="00395734"/>
    <w:rsid w:val="00395E13"/>
    <w:rsid w:val="00396D3C"/>
    <w:rsid w:val="00396ED6"/>
    <w:rsid w:val="003974EE"/>
    <w:rsid w:val="00397A66"/>
    <w:rsid w:val="003A0003"/>
    <w:rsid w:val="003A07B6"/>
    <w:rsid w:val="003A0F1D"/>
    <w:rsid w:val="003A1149"/>
    <w:rsid w:val="003A1584"/>
    <w:rsid w:val="003A1969"/>
    <w:rsid w:val="003A1A81"/>
    <w:rsid w:val="003A1C3D"/>
    <w:rsid w:val="003A2497"/>
    <w:rsid w:val="003A31C1"/>
    <w:rsid w:val="003A3A1A"/>
    <w:rsid w:val="003A45DD"/>
    <w:rsid w:val="003A472E"/>
    <w:rsid w:val="003A4C5A"/>
    <w:rsid w:val="003A4FF8"/>
    <w:rsid w:val="003A548C"/>
    <w:rsid w:val="003A6F6C"/>
    <w:rsid w:val="003A7663"/>
    <w:rsid w:val="003B0028"/>
    <w:rsid w:val="003B0BF6"/>
    <w:rsid w:val="003B0F48"/>
    <w:rsid w:val="003B16FB"/>
    <w:rsid w:val="003B2273"/>
    <w:rsid w:val="003B2D50"/>
    <w:rsid w:val="003B347F"/>
    <w:rsid w:val="003B3B22"/>
    <w:rsid w:val="003B526C"/>
    <w:rsid w:val="003B5497"/>
    <w:rsid w:val="003B5F86"/>
    <w:rsid w:val="003B66F0"/>
    <w:rsid w:val="003B708B"/>
    <w:rsid w:val="003B7479"/>
    <w:rsid w:val="003B7E61"/>
    <w:rsid w:val="003C0FEB"/>
    <w:rsid w:val="003C2B50"/>
    <w:rsid w:val="003C2DC7"/>
    <w:rsid w:val="003C2F1E"/>
    <w:rsid w:val="003C31DA"/>
    <w:rsid w:val="003C3300"/>
    <w:rsid w:val="003C3A94"/>
    <w:rsid w:val="003C4C8B"/>
    <w:rsid w:val="003C584A"/>
    <w:rsid w:val="003C5EBA"/>
    <w:rsid w:val="003C5F46"/>
    <w:rsid w:val="003C64CC"/>
    <w:rsid w:val="003C6CD0"/>
    <w:rsid w:val="003C7676"/>
    <w:rsid w:val="003D0C02"/>
    <w:rsid w:val="003D0CA4"/>
    <w:rsid w:val="003D0F04"/>
    <w:rsid w:val="003D1F09"/>
    <w:rsid w:val="003D254D"/>
    <w:rsid w:val="003D2B12"/>
    <w:rsid w:val="003D4F31"/>
    <w:rsid w:val="003D6C8B"/>
    <w:rsid w:val="003E03F3"/>
    <w:rsid w:val="003E0C56"/>
    <w:rsid w:val="003E0C77"/>
    <w:rsid w:val="003E1005"/>
    <w:rsid w:val="003E312C"/>
    <w:rsid w:val="003E36DD"/>
    <w:rsid w:val="003E3936"/>
    <w:rsid w:val="003E4C26"/>
    <w:rsid w:val="003E5C1C"/>
    <w:rsid w:val="003E63EC"/>
    <w:rsid w:val="003E791B"/>
    <w:rsid w:val="003F0247"/>
    <w:rsid w:val="003F1848"/>
    <w:rsid w:val="003F340D"/>
    <w:rsid w:val="003F4E16"/>
    <w:rsid w:val="003F5104"/>
    <w:rsid w:val="003F5164"/>
    <w:rsid w:val="003F590E"/>
    <w:rsid w:val="003F5B23"/>
    <w:rsid w:val="003F630F"/>
    <w:rsid w:val="003F665A"/>
    <w:rsid w:val="003F6EDE"/>
    <w:rsid w:val="003F71B8"/>
    <w:rsid w:val="003F7BA5"/>
    <w:rsid w:val="004019D8"/>
    <w:rsid w:val="00402955"/>
    <w:rsid w:val="004029B2"/>
    <w:rsid w:val="00402A68"/>
    <w:rsid w:val="0040358F"/>
    <w:rsid w:val="004049B1"/>
    <w:rsid w:val="00405877"/>
    <w:rsid w:val="00405AE3"/>
    <w:rsid w:val="004069FE"/>
    <w:rsid w:val="00407A41"/>
    <w:rsid w:val="0041009D"/>
    <w:rsid w:val="0041396B"/>
    <w:rsid w:val="00413E9F"/>
    <w:rsid w:val="00413F00"/>
    <w:rsid w:val="0041426B"/>
    <w:rsid w:val="004143B9"/>
    <w:rsid w:val="004144A9"/>
    <w:rsid w:val="00414B2A"/>
    <w:rsid w:val="00415ACA"/>
    <w:rsid w:val="00415DCE"/>
    <w:rsid w:val="004169A7"/>
    <w:rsid w:val="0041785E"/>
    <w:rsid w:val="00420C8C"/>
    <w:rsid w:val="004210A2"/>
    <w:rsid w:val="004213B0"/>
    <w:rsid w:val="00421593"/>
    <w:rsid w:val="0042167A"/>
    <w:rsid w:val="0042206C"/>
    <w:rsid w:val="00422126"/>
    <w:rsid w:val="004225B1"/>
    <w:rsid w:val="004241FA"/>
    <w:rsid w:val="004251E8"/>
    <w:rsid w:val="00426C7D"/>
    <w:rsid w:val="00426D49"/>
    <w:rsid w:val="00427B5E"/>
    <w:rsid w:val="0043004E"/>
    <w:rsid w:val="004315C8"/>
    <w:rsid w:val="00431941"/>
    <w:rsid w:val="00431961"/>
    <w:rsid w:val="00431A5C"/>
    <w:rsid w:val="0043213D"/>
    <w:rsid w:val="00433D77"/>
    <w:rsid w:val="00433E3B"/>
    <w:rsid w:val="0043427F"/>
    <w:rsid w:val="00434D2F"/>
    <w:rsid w:val="00435317"/>
    <w:rsid w:val="004362DE"/>
    <w:rsid w:val="00436371"/>
    <w:rsid w:val="00440B1E"/>
    <w:rsid w:val="00441323"/>
    <w:rsid w:val="00441480"/>
    <w:rsid w:val="00442714"/>
    <w:rsid w:val="004433DE"/>
    <w:rsid w:val="00443B3D"/>
    <w:rsid w:val="00443BD6"/>
    <w:rsid w:val="00443FEA"/>
    <w:rsid w:val="004457FF"/>
    <w:rsid w:val="00445EB1"/>
    <w:rsid w:val="00445F7C"/>
    <w:rsid w:val="00446186"/>
    <w:rsid w:val="004461C9"/>
    <w:rsid w:val="00446748"/>
    <w:rsid w:val="004505C6"/>
    <w:rsid w:val="00450EEF"/>
    <w:rsid w:val="00451389"/>
    <w:rsid w:val="00452E50"/>
    <w:rsid w:val="0045387D"/>
    <w:rsid w:val="00454ADC"/>
    <w:rsid w:val="004552BA"/>
    <w:rsid w:val="00455AD6"/>
    <w:rsid w:val="0045661F"/>
    <w:rsid w:val="00457555"/>
    <w:rsid w:val="00457775"/>
    <w:rsid w:val="004600B6"/>
    <w:rsid w:val="004607F3"/>
    <w:rsid w:val="00460BBE"/>
    <w:rsid w:val="0046225D"/>
    <w:rsid w:val="00463BDE"/>
    <w:rsid w:val="00465607"/>
    <w:rsid w:val="00466E96"/>
    <w:rsid w:val="00467075"/>
    <w:rsid w:val="004675D3"/>
    <w:rsid w:val="004679A5"/>
    <w:rsid w:val="0047169A"/>
    <w:rsid w:val="00472275"/>
    <w:rsid w:val="004723F1"/>
    <w:rsid w:val="00472748"/>
    <w:rsid w:val="00472C68"/>
    <w:rsid w:val="0047300C"/>
    <w:rsid w:val="00474CF6"/>
    <w:rsid w:val="00475D7D"/>
    <w:rsid w:val="004771A4"/>
    <w:rsid w:val="0048112F"/>
    <w:rsid w:val="00481418"/>
    <w:rsid w:val="00481723"/>
    <w:rsid w:val="00482321"/>
    <w:rsid w:val="00482845"/>
    <w:rsid w:val="00482F43"/>
    <w:rsid w:val="00483403"/>
    <w:rsid w:val="00483DD0"/>
    <w:rsid w:val="004851A4"/>
    <w:rsid w:val="00485802"/>
    <w:rsid w:val="00485A72"/>
    <w:rsid w:val="004872A8"/>
    <w:rsid w:val="0048738F"/>
    <w:rsid w:val="004879B3"/>
    <w:rsid w:val="004900D1"/>
    <w:rsid w:val="0049031D"/>
    <w:rsid w:val="00493582"/>
    <w:rsid w:val="00493FC7"/>
    <w:rsid w:val="004943A1"/>
    <w:rsid w:val="00494BF5"/>
    <w:rsid w:val="00494D43"/>
    <w:rsid w:val="0049588C"/>
    <w:rsid w:val="004964EC"/>
    <w:rsid w:val="00496C51"/>
    <w:rsid w:val="00497101"/>
    <w:rsid w:val="00497F68"/>
    <w:rsid w:val="004A0AC8"/>
    <w:rsid w:val="004A1066"/>
    <w:rsid w:val="004A10FC"/>
    <w:rsid w:val="004A2591"/>
    <w:rsid w:val="004A3715"/>
    <w:rsid w:val="004A3930"/>
    <w:rsid w:val="004A3DF7"/>
    <w:rsid w:val="004A47A8"/>
    <w:rsid w:val="004A55C1"/>
    <w:rsid w:val="004A5669"/>
    <w:rsid w:val="004A5930"/>
    <w:rsid w:val="004A6FB2"/>
    <w:rsid w:val="004A71D2"/>
    <w:rsid w:val="004A7574"/>
    <w:rsid w:val="004A7815"/>
    <w:rsid w:val="004A7C7E"/>
    <w:rsid w:val="004B050D"/>
    <w:rsid w:val="004B0BBD"/>
    <w:rsid w:val="004B1903"/>
    <w:rsid w:val="004B42DF"/>
    <w:rsid w:val="004B4360"/>
    <w:rsid w:val="004B4903"/>
    <w:rsid w:val="004B4F19"/>
    <w:rsid w:val="004B5314"/>
    <w:rsid w:val="004B5A3D"/>
    <w:rsid w:val="004B62C2"/>
    <w:rsid w:val="004B76F6"/>
    <w:rsid w:val="004B7964"/>
    <w:rsid w:val="004C1100"/>
    <w:rsid w:val="004C1813"/>
    <w:rsid w:val="004C1884"/>
    <w:rsid w:val="004C3647"/>
    <w:rsid w:val="004C368C"/>
    <w:rsid w:val="004C45AB"/>
    <w:rsid w:val="004C54E0"/>
    <w:rsid w:val="004C634B"/>
    <w:rsid w:val="004D0BFD"/>
    <w:rsid w:val="004D0E7B"/>
    <w:rsid w:val="004D1AD8"/>
    <w:rsid w:val="004D229C"/>
    <w:rsid w:val="004D2677"/>
    <w:rsid w:val="004D2700"/>
    <w:rsid w:val="004D2B8B"/>
    <w:rsid w:val="004D3D34"/>
    <w:rsid w:val="004D3DFA"/>
    <w:rsid w:val="004D50F9"/>
    <w:rsid w:val="004D52A8"/>
    <w:rsid w:val="004D5608"/>
    <w:rsid w:val="004D56A2"/>
    <w:rsid w:val="004D5978"/>
    <w:rsid w:val="004D65F6"/>
    <w:rsid w:val="004D6F4E"/>
    <w:rsid w:val="004D76A8"/>
    <w:rsid w:val="004E02D2"/>
    <w:rsid w:val="004E0970"/>
    <w:rsid w:val="004E119C"/>
    <w:rsid w:val="004E17E9"/>
    <w:rsid w:val="004E1EEC"/>
    <w:rsid w:val="004E1FC9"/>
    <w:rsid w:val="004E32AC"/>
    <w:rsid w:val="004E3350"/>
    <w:rsid w:val="004E3918"/>
    <w:rsid w:val="004E3A97"/>
    <w:rsid w:val="004E3CCD"/>
    <w:rsid w:val="004E50F6"/>
    <w:rsid w:val="004E5287"/>
    <w:rsid w:val="004E58DA"/>
    <w:rsid w:val="004E59A9"/>
    <w:rsid w:val="004E601B"/>
    <w:rsid w:val="004E65BD"/>
    <w:rsid w:val="004F1E02"/>
    <w:rsid w:val="004F21A6"/>
    <w:rsid w:val="004F2477"/>
    <w:rsid w:val="004F33C8"/>
    <w:rsid w:val="004F3CC8"/>
    <w:rsid w:val="004F4DA0"/>
    <w:rsid w:val="004F4EC9"/>
    <w:rsid w:val="004F531F"/>
    <w:rsid w:val="004F5C78"/>
    <w:rsid w:val="004F5DED"/>
    <w:rsid w:val="004F67BE"/>
    <w:rsid w:val="004F6A8B"/>
    <w:rsid w:val="004F7792"/>
    <w:rsid w:val="004F7B5C"/>
    <w:rsid w:val="004F7EE1"/>
    <w:rsid w:val="00500AD9"/>
    <w:rsid w:val="00501E6D"/>
    <w:rsid w:val="00502A03"/>
    <w:rsid w:val="0050351E"/>
    <w:rsid w:val="00504844"/>
    <w:rsid w:val="00505095"/>
    <w:rsid w:val="00505887"/>
    <w:rsid w:val="0050600A"/>
    <w:rsid w:val="0050749F"/>
    <w:rsid w:val="0050788E"/>
    <w:rsid w:val="005100E6"/>
    <w:rsid w:val="00510866"/>
    <w:rsid w:val="00512C22"/>
    <w:rsid w:val="00512F51"/>
    <w:rsid w:val="0051304E"/>
    <w:rsid w:val="00513183"/>
    <w:rsid w:val="005131EC"/>
    <w:rsid w:val="00514C3B"/>
    <w:rsid w:val="00516148"/>
    <w:rsid w:val="00516E72"/>
    <w:rsid w:val="00517375"/>
    <w:rsid w:val="00517AF0"/>
    <w:rsid w:val="00517B35"/>
    <w:rsid w:val="00517F6D"/>
    <w:rsid w:val="00523332"/>
    <w:rsid w:val="0052383E"/>
    <w:rsid w:val="00523856"/>
    <w:rsid w:val="0052391F"/>
    <w:rsid w:val="005247E1"/>
    <w:rsid w:val="00524B5E"/>
    <w:rsid w:val="00524C8F"/>
    <w:rsid w:val="005263BC"/>
    <w:rsid w:val="00526F00"/>
    <w:rsid w:val="00527ED8"/>
    <w:rsid w:val="00532806"/>
    <w:rsid w:val="00533281"/>
    <w:rsid w:val="005334B1"/>
    <w:rsid w:val="0053381C"/>
    <w:rsid w:val="00533EFA"/>
    <w:rsid w:val="005357F2"/>
    <w:rsid w:val="0053623F"/>
    <w:rsid w:val="00536884"/>
    <w:rsid w:val="00537409"/>
    <w:rsid w:val="0053745E"/>
    <w:rsid w:val="00540065"/>
    <w:rsid w:val="00540AF1"/>
    <w:rsid w:val="00541217"/>
    <w:rsid w:val="0054140A"/>
    <w:rsid w:val="005427A7"/>
    <w:rsid w:val="00542EDF"/>
    <w:rsid w:val="00542F37"/>
    <w:rsid w:val="005432E8"/>
    <w:rsid w:val="005436CA"/>
    <w:rsid w:val="005439F5"/>
    <w:rsid w:val="005449C4"/>
    <w:rsid w:val="00544D81"/>
    <w:rsid w:val="00545756"/>
    <w:rsid w:val="00546010"/>
    <w:rsid w:val="00546567"/>
    <w:rsid w:val="00546996"/>
    <w:rsid w:val="00546CD3"/>
    <w:rsid w:val="00547318"/>
    <w:rsid w:val="0055025A"/>
    <w:rsid w:val="005516EB"/>
    <w:rsid w:val="005516F1"/>
    <w:rsid w:val="00551936"/>
    <w:rsid w:val="00551A2B"/>
    <w:rsid w:val="005523FE"/>
    <w:rsid w:val="005536A0"/>
    <w:rsid w:val="00553AA2"/>
    <w:rsid w:val="00553B6D"/>
    <w:rsid w:val="00554400"/>
    <w:rsid w:val="00554A45"/>
    <w:rsid w:val="00555185"/>
    <w:rsid w:val="00555578"/>
    <w:rsid w:val="00555CF1"/>
    <w:rsid w:val="00555CF6"/>
    <w:rsid w:val="00556842"/>
    <w:rsid w:val="005569C4"/>
    <w:rsid w:val="00556EBF"/>
    <w:rsid w:val="005575BA"/>
    <w:rsid w:val="00560506"/>
    <w:rsid w:val="00560BD3"/>
    <w:rsid w:val="005611EC"/>
    <w:rsid w:val="005620C3"/>
    <w:rsid w:val="0056269C"/>
    <w:rsid w:val="00562CA5"/>
    <w:rsid w:val="0056310E"/>
    <w:rsid w:val="0056362A"/>
    <w:rsid w:val="0056378F"/>
    <w:rsid w:val="00564B0E"/>
    <w:rsid w:val="005653E3"/>
    <w:rsid w:val="00565C2A"/>
    <w:rsid w:val="005662D9"/>
    <w:rsid w:val="00566E13"/>
    <w:rsid w:val="00570910"/>
    <w:rsid w:val="00570AE1"/>
    <w:rsid w:val="0057252E"/>
    <w:rsid w:val="00572737"/>
    <w:rsid w:val="0057509C"/>
    <w:rsid w:val="005756C0"/>
    <w:rsid w:val="0057694D"/>
    <w:rsid w:val="00576AD5"/>
    <w:rsid w:val="00576E2A"/>
    <w:rsid w:val="00576F39"/>
    <w:rsid w:val="005777CA"/>
    <w:rsid w:val="00577A1F"/>
    <w:rsid w:val="00577AED"/>
    <w:rsid w:val="0058046C"/>
    <w:rsid w:val="005807CF"/>
    <w:rsid w:val="005807D9"/>
    <w:rsid w:val="00580FB6"/>
    <w:rsid w:val="005810C2"/>
    <w:rsid w:val="00581741"/>
    <w:rsid w:val="005824B8"/>
    <w:rsid w:val="005832ED"/>
    <w:rsid w:val="0058505D"/>
    <w:rsid w:val="005853DD"/>
    <w:rsid w:val="00586886"/>
    <w:rsid w:val="00587397"/>
    <w:rsid w:val="005876EE"/>
    <w:rsid w:val="00591F4C"/>
    <w:rsid w:val="005935DA"/>
    <w:rsid w:val="00593749"/>
    <w:rsid w:val="0059403E"/>
    <w:rsid w:val="0059423B"/>
    <w:rsid w:val="0059428A"/>
    <w:rsid w:val="0059458E"/>
    <w:rsid w:val="00594A2D"/>
    <w:rsid w:val="005955A1"/>
    <w:rsid w:val="00595EDE"/>
    <w:rsid w:val="00596761"/>
    <w:rsid w:val="00596EF1"/>
    <w:rsid w:val="00597BE5"/>
    <w:rsid w:val="005A08CC"/>
    <w:rsid w:val="005A0C5E"/>
    <w:rsid w:val="005A143C"/>
    <w:rsid w:val="005A230E"/>
    <w:rsid w:val="005A2623"/>
    <w:rsid w:val="005A2C3B"/>
    <w:rsid w:val="005A3522"/>
    <w:rsid w:val="005A3527"/>
    <w:rsid w:val="005A3A48"/>
    <w:rsid w:val="005A3CBB"/>
    <w:rsid w:val="005A465F"/>
    <w:rsid w:val="005A4BB1"/>
    <w:rsid w:val="005A51AC"/>
    <w:rsid w:val="005A6121"/>
    <w:rsid w:val="005A61DD"/>
    <w:rsid w:val="005A7276"/>
    <w:rsid w:val="005A77EE"/>
    <w:rsid w:val="005A7BB7"/>
    <w:rsid w:val="005B4AD4"/>
    <w:rsid w:val="005B4DB5"/>
    <w:rsid w:val="005B4DB9"/>
    <w:rsid w:val="005B5261"/>
    <w:rsid w:val="005B5565"/>
    <w:rsid w:val="005B68BF"/>
    <w:rsid w:val="005B7C65"/>
    <w:rsid w:val="005C09AD"/>
    <w:rsid w:val="005C14B9"/>
    <w:rsid w:val="005C1E3B"/>
    <w:rsid w:val="005C201D"/>
    <w:rsid w:val="005C29E1"/>
    <w:rsid w:val="005C2D9C"/>
    <w:rsid w:val="005C403F"/>
    <w:rsid w:val="005C4158"/>
    <w:rsid w:val="005C4346"/>
    <w:rsid w:val="005C49EF"/>
    <w:rsid w:val="005C4D56"/>
    <w:rsid w:val="005C5223"/>
    <w:rsid w:val="005C5EC8"/>
    <w:rsid w:val="005C6483"/>
    <w:rsid w:val="005C6D1F"/>
    <w:rsid w:val="005C7358"/>
    <w:rsid w:val="005C7E93"/>
    <w:rsid w:val="005D0188"/>
    <w:rsid w:val="005D158B"/>
    <w:rsid w:val="005D1BE9"/>
    <w:rsid w:val="005D2271"/>
    <w:rsid w:val="005D2941"/>
    <w:rsid w:val="005D2F00"/>
    <w:rsid w:val="005D2F31"/>
    <w:rsid w:val="005D30D1"/>
    <w:rsid w:val="005D36C6"/>
    <w:rsid w:val="005D3D4B"/>
    <w:rsid w:val="005D4213"/>
    <w:rsid w:val="005D5C22"/>
    <w:rsid w:val="005D6F3B"/>
    <w:rsid w:val="005D78FF"/>
    <w:rsid w:val="005D7AC5"/>
    <w:rsid w:val="005E0267"/>
    <w:rsid w:val="005E08AC"/>
    <w:rsid w:val="005E10B5"/>
    <w:rsid w:val="005E16B4"/>
    <w:rsid w:val="005E1A64"/>
    <w:rsid w:val="005E1AA5"/>
    <w:rsid w:val="005E20CC"/>
    <w:rsid w:val="005E2E9B"/>
    <w:rsid w:val="005E36AA"/>
    <w:rsid w:val="005E4F56"/>
    <w:rsid w:val="005E50F5"/>
    <w:rsid w:val="005E60AA"/>
    <w:rsid w:val="005E65B4"/>
    <w:rsid w:val="005E6E8F"/>
    <w:rsid w:val="005E7ACE"/>
    <w:rsid w:val="005F0253"/>
    <w:rsid w:val="005F05E9"/>
    <w:rsid w:val="005F1530"/>
    <w:rsid w:val="005F1C1E"/>
    <w:rsid w:val="005F25F1"/>
    <w:rsid w:val="005F29EC"/>
    <w:rsid w:val="005F2B1F"/>
    <w:rsid w:val="005F2BD4"/>
    <w:rsid w:val="005F4247"/>
    <w:rsid w:val="005F4A68"/>
    <w:rsid w:val="005F4BA7"/>
    <w:rsid w:val="005F4D76"/>
    <w:rsid w:val="005F4FF0"/>
    <w:rsid w:val="005F5361"/>
    <w:rsid w:val="005F6418"/>
    <w:rsid w:val="005F6826"/>
    <w:rsid w:val="005F6E52"/>
    <w:rsid w:val="005F6E94"/>
    <w:rsid w:val="005F7E04"/>
    <w:rsid w:val="00600563"/>
    <w:rsid w:val="00600A18"/>
    <w:rsid w:val="00600F9A"/>
    <w:rsid w:val="00601671"/>
    <w:rsid w:val="006018B5"/>
    <w:rsid w:val="00601C6C"/>
    <w:rsid w:val="00601E7B"/>
    <w:rsid w:val="00601F21"/>
    <w:rsid w:val="00601F48"/>
    <w:rsid w:val="006030F3"/>
    <w:rsid w:val="0060326C"/>
    <w:rsid w:val="006032A1"/>
    <w:rsid w:val="00603FB4"/>
    <w:rsid w:val="00605186"/>
    <w:rsid w:val="00605D43"/>
    <w:rsid w:val="00605E08"/>
    <w:rsid w:val="00605E7B"/>
    <w:rsid w:val="0060658C"/>
    <w:rsid w:val="00606A09"/>
    <w:rsid w:val="00607097"/>
    <w:rsid w:val="00607B80"/>
    <w:rsid w:val="00610133"/>
    <w:rsid w:val="006102DB"/>
    <w:rsid w:val="006102EE"/>
    <w:rsid w:val="00610A2C"/>
    <w:rsid w:val="006111EA"/>
    <w:rsid w:val="00612F79"/>
    <w:rsid w:val="00613D85"/>
    <w:rsid w:val="00613F9E"/>
    <w:rsid w:val="00614276"/>
    <w:rsid w:val="00614C93"/>
    <w:rsid w:val="00616909"/>
    <w:rsid w:val="00616940"/>
    <w:rsid w:val="00616F3B"/>
    <w:rsid w:val="00617427"/>
    <w:rsid w:val="006208BD"/>
    <w:rsid w:val="0062124A"/>
    <w:rsid w:val="006212B9"/>
    <w:rsid w:val="00622A55"/>
    <w:rsid w:val="00623603"/>
    <w:rsid w:val="00623876"/>
    <w:rsid w:val="00623890"/>
    <w:rsid w:val="006238CB"/>
    <w:rsid w:val="00625732"/>
    <w:rsid w:val="00625882"/>
    <w:rsid w:val="00625D6F"/>
    <w:rsid w:val="00626AC6"/>
    <w:rsid w:val="006279F1"/>
    <w:rsid w:val="00627AF0"/>
    <w:rsid w:val="00630445"/>
    <w:rsid w:val="00630F9E"/>
    <w:rsid w:val="00631744"/>
    <w:rsid w:val="00631D60"/>
    <w:rsid w:val="00632E05"/>
    <w:rsid w:val="006330EA"/>
    <w:rsid w:val="00633C84"/>
    <w:rsid w:val="00634200"/>
    <w:rsid w:val="00634A61"/>
    <w:rsid w:val="006352EC"/>
    <w:rsid w:val="00635B1A"/>
    <w:rsid w:val="00636B2E"/>
    <w:rsid w:val="00636C6F"/>
    <w:rsid w:val="00636F26"/>
    <w:rsid w:val="00637E33"/>
    <w:rsid w:val="00637F33"/>
    <w:rsid w:val="00640844"/>
    <w:rsid w:val="006423DA"/>
    <w:rsid w:val="006424DA"/>
    <w:rsid w:val="00642EE3"/>
    <w:rsid w:val="0064330B"/>
    <w:rsid w:val="0064364F"/>
    <w:rsid w:val="00644D9D"/>
    <w:rsid w:val="00644DFB"/>
    <w:rsid w:val="00646653"/>
    <w:rsid w:val="00646780"/>
    <w:rsid w:val="00647D93"/>
    <w:rsid w:val="0065224A"/>
    <w:rsid w:val="006523FA"/>
    <w:rsid w:val="00652EA4"/>
    <w:rsid w:val="00652F72"/>
    <w:rsid w:val="006531BB"/>
    <w:rsid w:val="006533C8"/>
    <w:rsid w:val="00653519"/>
    <w:rsid w:val="00654059"/>
    <w:rsid w:val="00655DAE"/>
    <w:rsid w:val="006560A1"/>
    <w:rsid w:val="006562F3"/>
    <w:rsid w:val="006564CA"/>
    <w:rsid w:val="00656F9C"/>
    <w:rsid w:val="0065715A"/>
    <w:rsid w:val="006575F9"/>
    <w:rsid w:val="006603F0"/>
    <w:rsid w:val="006605E9"/>
    <w:rsid w:val="00661213"/>
    <w:rsid w:val="0066292A"/>
    <w:rsid w:val="0066314B"/>
    <w:rsid w:val="006635C1"/>
    <w:rsid w:val="006636AB"/>
    <w:rsid w:val="00664566"/>
    <w:rsid w:val="006648A7"/>
    <w:rsid w:val="0066511C"/>
    <w:rsid w:val="0066585E"/>
    <w:rsid w:val="00665D17"/>
    <w:rsid w:val="00666626"/>
    <w:rsid w:val="00666A07"/>
    <w:rsid w:val="00666DB2"/>
    <w:rsid w:val="00667579"/>
    <w:rsid w:val="00670BC9"/>
    <w:rsid w:val="00670D5C"/>
    <w:rsid w:val="00671851"/>
    <w:rsid w:val="00671B08"/>
    <w:rsid w:val="00673EEA"/>
    <w:rsid w:val="006750A1"/>
    <w:rsid w:val="006762E9"/>
    <w:rsid w:val="00676722"/>
    <w:rsid w:val="00677493"/>
    <w:rsid w:val="00677583"/>
    <w:rsid w:val="00677B17"/>
    <w:rsid w:val="0068007E"/>
    <w:rsid w:val="00680B5A"/>
    <w:rsid w:val="00681D14"/>
    <w:rsid w:val="00682A9E"/>
    <w:rsid w:val="0068394F"/>
    <w:rsid w:val="00685417"/>
    <w:rsid w:val="006862B5"/>
    <w:rsid w:val="00686BC4"/>
    <w:rsid w:val="00686C24"/>
    <w:rsid w:val="00686DC3"/>
    <w:rsid w:val="00687A11"/>
    <w:rsid w:val="00690E7B"/>
    <w:rsid w:val="006927CD"/>
    <w:rsid w:val="006928EF"/>
    <w:rsid w:val="006939B3"/>
    <w:rsid w:val="00693FB3"/>
    <w:rsid w:val="006950DD"/>
    <w:rsid w:val="0069594B"/>
    <w:rsid w:val="00695BA1"/>
    <w:rsid w:val="006960C5"/>
    <w:rsid w:val="00696594"/>
    <w:rsid w:val="006965EB"/>
    <w:rsid w:val="006966BB"/>
    <w:rsid w:val="00696702"/>
    <w:rsid w:val="00696A37"/>
    <w:rsid w:val="00697ACC"/>
    <w:rsid w:val="00697C72"/>
    <w:rsid w:val="00697E97"/>
    <w:rsid w:val="006A00A5"/>
    <w:rsid w:val="006A0444"/>
    <w:rsid w:val="006A07A9"/>
    <w:rsid w:val="006A11B3"/>
    <w:rsid w:val="006A19DC"/>
    <w:rsid w:val="006A1A21"/>
    <w:rsid w:val="006A3645"/>
    <w:rsid w:val="006A49BA"/>
    <w:rsid w:val="006A5099"/>
    <w:rsid w:val="006A58FC"/>
    <w:rsid w:val="006A714D"/>
    <w:rsid w:val="006A7FA0"/>
    <w:rsid w:val="006B0B30"/>
    <w:rsid w:val="006B0EF8"/>
    <w:rsid w:val="006B1268"/>
    <w:rsid w:val="006B19A6"/>
    <w:rsid w:val="006B1DC1"/>
    <w:rsid w:val="006B328D"/>
    <w:rsid w:val="006B3FAD"/>
    <w:rsid w:val="006B4108"/>
    <w:rsid w:val="006B42E4"/>
    <w:rsid w:val="006B4E54"/>
    <w:rsid w:val="006B5645"/>
    <w:rsid w:val="006B5725"/>
    <w:rsid w:val="006B5876"/>
    <w:rsid w:val="006B63D4"/>
    <w:rsid w:val="006B792D"/>
    <w:rsid w:val="006B79C4"/>
    <w:rsid w:val="006B7EEB"/>
    <w:rsid w:val="006B7FD9"/>
    <w:rsid w:val="006C03A8"/>
    <w:rsid w:val="006C073F"/>
    <w:rsid w:val="006C1639"/>
    <w:rsid w:val="006C1BBB"/>
    <w:rsid w:val="006C1D10"/>
    <w:rsid w:val="006C3C6E"/>
    <w:rsid w:val="006C5760"/>
    <w:rsid w:val="006C608E"/>
    <w:rsid w:val="006C6709"/>
    <w:rsid w:val="006C6A0F"/>
    <w:rsid w:val="006C6B55"/>
    <w:rsid w:val="006C70B3"/>
    <w:rsid w:val="006D01DB"/>
    <w:rsid w:val="006D07F2"/>
    <w:rsid w:val="006D22A3"/>
    <w:rsid w:val="006D26B7"/>
    <w:rsid w:val="006D419E"/>
    <w:rsid w:val="006D48CD"/>
    <w:rsid w:val="006D4C2F"/>
    <w:rsid w:val="006D5154"/>
    <w:rsid w:val="006D572F"/>
    <w:rsid w:val="006D5C71"/>
    <w:rsid w:val="006D5CCF"/>
    <w:rsid w:val="006D6544"/>
    <w:rsid w:val="006D785C"/>
    <w:rsid w:val="006D7D7B"/>
    <w:rsid w:val="006D7EA9"/>
    <w:rsid w:val="006E1532"/>
    <w:rsid w:val="006E210D"/>
    <w:rsid w:val="006E28A5"/>
    <w:rsid w:val="006E2C11"/>
    <w:rsid w:val="006E2DFA"/>
    <w:rsid w:val="006E32F4"/>
    <w:rsid w:val="006E3320"/>
    <w:rsid w:val="006E3456"/>
    <w:rsid w:val="006E3FCC"/>
    <w:rsid w:val="006E4FAB"/>
    <w:rsid w:val="006E4FB2"/>
    <w:rsid w:val="006E589D"/>
    <w:rsid w:val="006E6419"/>
    <w:rsid w:val="006E7374"/>
    <w:rsid w:val="006E78BF"/>
    <w:rsid w:val="006E794D"/>
    <w:rsid w:val="006E7F9C"/>
    <w:rsid w:val="006E7FA3"/>
    <w:rsid w:val="006F1C7B"/>
    <w:rsid w:val="006F1F5C"/>
    <w:rsid w:val="006F3629"/>
    <w:rsid w:val="006F3BC7"/>
    <w:rsid w:val="006F46FC"/>
    <w:rsid w:val="006F4AC0"/>
    <w:rsid w:val="006F4F1F"/>
    <w:rsid w:val="006F5A63"/>
    <w:rsid w:val="006F6327"/>
    <w:rsid w:val="006F6C56"/>
    <w:rsid w:val="0070054C"/>
    <w:rsid w:val="007010C1"/>
    <w:rsid w:val="00701567"/>
    <w:rsid w:val="007015A6"/>
    <w:rsid w:val="00702715"/>
    <w:rsid w:val="00702A0B"/>
    <w:rsid w:val="00702C86"/>
    <w:rsid w:val="0070351A"/>
    <w:rsid w:val="00704BE4"/>
    <w:rsid w:val="00705824"/>
    <w:rsid w:val="00705D31"/>
    <w:rsid w:val="00706F67"/>
    <w:rsid w:val="00707245"/>
    <w:rsid w:val="00707F34"/>
    <w:rsid w:val="00710297"/>
    <w:rsid w:val="00711079"/>
    <w:rsid w:val="00711245"/>
    <w:rsid w:val="00711B60"/>
    <w:rsid w:val="007125E6"/>
    <w:rsid w:val="0071283E"/>
    <w:rsid w:val="00712AF9"/>
    <w:rsid w:val="00712ED2"/>
    <w:rsid w:val="0071329C"/>
    <w:rsid w:val="007139EF"/>
    <w:rsid w:val="00714BA6"/>
    <w:rsid w:val="00716285"/>
    <w:rsid w:val="00716B89"/>
    <w:rsid w:val="00716FB9"/>
    <w:rsid w:val="00717555"/>
    <w:rsid w:val="00717D96"/>
    <w:rsid w:val="00721239"/>
    <w:rsid w:val="007215A8"/>
    <w:rsid w:val="00723A08"/>
    <w:rsid w:val="00723A39"/>
    <w:rsid w:val="00725B3A"/>
    <w:rsid w:val="007263E0"/>
    <w:rsid w:val="00726AB4"/>
    <w:rsid w:val="00726BFE"/>
    <w:rsid w:val="00726DA5"/>
    <w:rsid w:val="00727E10"/>
    <w:rsid w:val="00727E6E"/>
    <w:rsid w:val="00730074"/>
    <w:rsid w:val="00730373"/>
    <w:rsid w:val="00731857"/>
    <w:rsid w:val="00731A9B"/>
    <w:rsid w:val="007330C6"/>
    <w:rsid w:val="00733132"/>
    <w:rsid w:val="0073492E"/>
    <w:rsid w:val="00735052"/>
    <w:rsid w:val="00736218"/>
    <w:rsid w:val="007367C6"/>
    <w:rsid w:val="00736FCE"/>
    <w:rsid w:val="00737BC5"/>
    <w:rsid w:val="0074107C"/>
    <w:rsid w:val="007412AA"/>
    <w:rsid w:val="00741606"/>
    <w:rsid w:val="00741B08"/>
    <w:rsid w:val="00741EB0"/>
    <w:rsid w:val="00742591"/>
    <w:rsid w:val="007428E0"/>
    <w:rsid w:val="00742BF7"/>
    <w:rsid w:val="00742DD8"/>
    <w:rsid w:val="00744470"/>
    <w:rsid w:val="00745182"/>
    <w:rsid w:val="0074521C"/>
    <w:rsid w:val="00745DCF"/>
    <w:rsid w:val="00750123"/>
    <w:rsid w:val="007501C2"/>
    <w:rsid w:val="0075020B"/>
    <w:rsid w:val="00751359"/>
    <w:rsid w:val="007513DA"/>
    <w:rsid w:val="0075146B"/>
    <w:rsid w:val="00752961"/>
    <w:rsid w:val="00753451"/>
    <w:rsid w:val="007545D4"/>
    <w:rsid w:val="00755061"/>
    <w:rsid w:val="00756AE9"/>
    <w:rsid w:val="007603EA"/>
    <w:rsid w:val="00760515"/>
    <w:rsid w:val="007605A6"/>
    <w:rsid w:val="007612C7"/>
    <w:rsid w:val="007614DF"/>
    <w:rsid w:val="00762589"/>
    <w:rsid w:val="00762BDB"/>
    <w:rsid w:val="0076339F"/>
    <w:rsid w:val="0076352E"/>
    <w:rsid w:val="00763AB9"/>
    <w:rsid w:val="00764692"/>
    <w:rsid w:val="00765527"/>
    <w:rsid w:val="0076598B"/>
    <w:rsid w:val="00765C10"/>
    <w:rsid w:val="00765D80"/>
    <w:rsid w:val="00766734"/>
    <w:rsid w:val="007670F3"/>
    <w:rsid w:val="007672A3"/>
    <w:rsid w:val="007703ED"/>
    <w:rsid w:val="0077163D"/>
    <w:rsid w:val="007718B8"/>
    <w:rsid w:val="00774C74"/>
    <w:rsid w:val="00775174"/>
    <w:rsid w:val="00775342"/>
    <w:rsid w:val="0077549A"/>
    <w:rsid w:val="00776B18"/>
    <w:rsid w:val="0077717F"/>
    <w:rsid w:val="007806A2"/>
    <w:rsid w:val="0078082A"/>
    <w:rsid w:val="00780B6B"/>
    <w:rsid w:val="007810A9"/>
    <w:rsid w:val="00781296"/>
    <w:rsid w:val="00781978"/>
    <w:rsid w:val="00781C4B"/>
    <w:rsid w:val="00782720"/>
    <w:rsid w:val="00782894"/>
    <w:rsid w:val="007838CA"/>
    <w:rsid w:val="007838D2"/>
    <w:rsid w:val="00783D93"/>
    <w:rsid w:val="00784525"/>
    <w:rsid w:val="00784577"/>
    <w:rsid w:val="00784819"/>
    <w:rsid w:val="00784C65"/>
    <w:rsid w:val="00785674"/>
    <w:rsid w:val="00785791"/>
    <w:rsid w:val="00790070"/>
    <w:rsid w:val="0079302B"/>
    <w:rsid w:val="007932B2"/>
    <w:rsid w:val="0079351C"/>
    <w:rsid w:val="00794FF9"/>
    <w:rsid w:val="00795C65"/>
    <w:rsid w:val="00796226"/>
    <w:rsid w:val="00796811"/>
    <w:rsid w:val="007973E8"/>
    <w:rsid w:val="007974D5"/>
    <w:rsid w:val="00797B13"/>
    <w:rsid w:val="007A0A29"/>
    <w:rsid w:val="007A1087"/>
    <w:rsid w:val="007A14F8"/>
    <w:rsid w:val="007A1516"/>
    <w:rsid w:val="007A18A9"/>
    <w:rsid w:val="007A1DAA"/>
    <w:rsid w:val="007A251D"/>
    <w:rsid w:val="007A2835"/>
    <w:rsid w:val="007A3871"/>
    <w:rsid w:val="007A4033"/>
    <w:rsid w:val="007A4AAE"/>
    <w:rsid w:val="007A750F"/>
    <w:rsid w:val="007B01B7"/>
    <w:rsid w:val="007B0468"/>
    <w:rsid w:val="007B06D8"/>
    <w:rsid w:val="007B16E9"/>
    <w:rsid w:val="007B1E90"/>
    <w:rsid w:val="007B36BA"/>
    <w:rsid w:val="007B3D9E"/>
    <w:rsid w:val="007B43A2"/>
    <w:rsid w:val="007B4E34"/>
    <w:rsid w:val="007B4F42"/>
    <w:rsid w:val="007B5528"/>
    <w:rsid w:val="007B5E4C"/>
    <w:rsid w:val="007B7D36"/>
    <w:rsid w:val="007C07A4"/>
    <w:rsid w:val="007C0C74"/>
    <w:rsid w:val="007C0CCE"/>
    <w:rsid w:val="007C18EA"/>
    <w:rsid w:val="007C2157"/>
    <w:rsid w:val="007C2818"/>
    <w:rsid w:val="007C2F36"/>
    <w:rsid w:val="007C350D"/>
    <w:rsid w:val="007C54ED"/>
    <w:rsid w:val="007C6A74"/>
    <w:rsid w:val="007C7A56"/>
    <w:rsid w:val="007D2627"/>
    <w:rsid w:val="007D4370"/>
    <w:rsid w:val="007D4408"/>
    <w:rsid w:val="007D4E84"/>
    <w:rsid w:val="007D5651"/>
    <w:rsid w:val="007D5798"/>
    <w:rsid w:val="007D74A8"/>
    <w:rsid w:val="007D7B70"/>
    <w:rsid w:val="007E0534"/>
    <w:rsid w:val="007E085B"/>
    <w:rsid w:val="007E0C7E"/>
    <w:rsid w:val="007E1CC1"/>
    <w:rsid w:val="007E219D"/>
    <w:rsid w:val="007E26D4"/>
    <w:rsid w:val="007E2BCC"/>
    <w:rsid w:val="007E2C7C"/>
    <w:rsid w:val="007E3047"/>
    <w:rsid w:val="007E42E9"/>
    <w:rsid w:val="007E4A87"/>
    <w:rsid w:val="007E5582"/>
    <w:rsid w:val="007E6185"/>
    <w:rsid w:val="007E6B41"/>
    <w:rsid w:val="007E6DF1"/>
    <w:rsid w:val="007E6EC4"/>
    <w:rsid w:val="007E7582"/>
    <w:rsid w:val="007E784B"/>
    <w:rsid w:val="007E792E"/>
    <w:rsid w:val="007F026A"/>
    <w:rsid w:val="007F10F0"/>
    <w:rsid w:val="007F29CF"/>
    <w:rsid w:val="007F455A"/>
    <w:rsid w:val="007F4575"/>
    <w:rsid w:val="007F6E76"/>
    <w:rsid w:val="007F6E99"/>
    <w:rsid w:val="007F7D5C"/>
    <w:rsid w:val="00800381"/>
    <w:rsid w:val="00800A7E"/>
    <w:rsid w:val="00800DA5"/>
    <w:rsid w:val="00801329"/>
    <w:rsid w:val="00801581"/>
    <w:rsid w:val="008017E9"/>
    <w:rsid w:val="008024B9"/>
    <w:rsid w:val="00802671"/>
    <w:rsid w:val="00802CFC"/>
    <w:rsid w:val="00803EAA"/>
    <w:rsid w:val="00803F8E"/>
    <w:rsid w:val="0080418D"/>
    <w:rsid w:val="0080473D"/>
    <w:rsid w:val="008050EC"/>
    <w:rsid w:val="00806D46"/>
    <w:rsid w:val="0081084D"/>
    <w:rsid w:val="008117B5"/>
    <w:rsid w:val="00812029"/>
    <w:rsid w:val="008121A5"/>
    <w:rsid w:val="00812CE6"/>
    <w:rsid w:val="00813856"/>
    <w:rsid w:val="00814337"/>
    <w:rsid w:val="00815178"/>
    <w:rsid w:val="0081549D"/>
    <w:rsid w:val="00815770"/>
    <w:rsid w:val="008157CF"/>
    <w:rsid w:val="00815882"/>
    <w:rsid w:val="008161C6"/>
    <w:rsid w:val="008162AB"/>
    <w:rsid w:val="00816775"/>
    <w:rsid w:val="008170BD"/>
    <w:rsid w:val="00817632"/>
    <w:rsid w:val="00817C09"/>
    <w:rsid w:val="00817F76"/>
    <w:rsid w:val="008218E9"/>
    <w:rsid w:val="00823440"/>
    <w:rsid w:val="00823749"/>
    <w:rsid w:val="00823EA1"/>
    <w:rsid w:val="0082429F"/>
    <w:rsid w:val="008264A2"/>
    <w:rsid w:val="0082732E"/>
    <w:rsid w:val="008279F3"/>
    <w:rsid w:val="00830113"/>
    <w:rsid w:val="008307B7"/>
    <w:rsid w:val="00830BEB"/>
    <w:rsid w:val="00830FDD"/>
    <w:rsid w:val="008313F3"/>
    <w:rsid w:val="00831AD7"/>
    <w:rsid w:val="00831DE1"/>
    <w:rsid w:val="00831EB5"/>
    <w:rsid w:val="00832487"/>
    <w:rsid w:val="00832534"/>
    <w:rsid w:val="0083328C"/>
    <w:rsid w:val="0083383A"/>
    <w:rsid w:val="008339DD"/>
    <w:rsid w:val="00833AE0"/>
    <w:rsid w:val="00834158"/>
    <w:rsid w:val="00834CCC"/>
    <w:rsid w:val="00834ED4"/>
    <w:rsid w:val="00836195"/>
    <w:rsid w:val="00836CA6"/>
    <w:rsid w:val="00836E24"/>
    <w:rsid w:val="00836FEC"/>
    <w:rsid w:val="00837A2E"/>
    <w:rsid w:val="00840AFA"/>
    <w:rsid w:val="008412E0"/>
    <w:rsid w:val="00841F97"/>
    <w:rsid w:val="00842690"/>
    <w:rsid w:val="008432EA"/>
    <w:rsid w:val="008434CB"/>
    <w:rsid w:val="008437B4"/>
    <w:rsid w:val="008442A3"/>
    <w:rsid w:val="00844606"/>
    <w:rsid w:val="00844BBD"/>
    <w:rsid w:val="00844BF4"/>
    <w:rsid w:val="0084516C"/>
    <w:rsid w:val="008474D2"/>
    <w:rsid w:val="008479DE"/>
    <w:rsid w:val="00850565"/>
    <w:rsid w:val="00852557"/>
    <w:rsid w:val="0085347B"/>
    <w:rsid w:val="00853FFC"/>
    <w:rsid w:val="00854F8C"/>
    <w:rsid w:val="008553A2"/>
    <w:rsid w:val="00856121"/>
    <w:rsid w:val="008561FF"/>
    <w:rsid w:val="008568B5"/>
    <w:rsid w:val="008569F2"/>
    <w:rsid w:val="008573F2"/>
    <w:rsid w:val="00857F15"/>
    <w:rsid w:val="00860B55"/>
    <w:rsid w:val="008611B2"/>
    <w:rsid w:val="008619D2"/>
    <w:rsid w:val="00861ED1"/>
    <w:rsid w:val="008628E2"/>
    <w:rsid w:val="008631E7"/>
    <w:rsid w:val="00864064"/>
    <w:rsid w:val="0086496A"/>
    <w:rsid w:val="00864DC9"/>
    <w:rsid w:val="008657BF"/>
    <w:rsid w:val="00865A2B"/>
    <w:rsid w:val="008707E2"/>
    <w:rsid w:val="00871553"/>
    <w:rsid w:val="00872517"/>
    <w:rsid w:val="00872686"/>
    <w:rsid w:val="008727E8"/>
    <w:rsid w:val="0087298B"/>
    <w:rsid w:val="00872B14"/>
    <w:rsid w:val="00872B23"/>
    <w:rsid w:val="00872BC9"/>
    <w:rsid w:val="00872CE5"/>
    <w:rsid w:val="00872E53"/>
    <w:rsid w:val="00872E56"/>
    <w:rsid w:val="008739EB"/>
    <w:rsid w:val="00874D82"/>
    <w:rsid w:val="0087529D"/>
    <w:rsid w:val="00875A74"/>
    <w:rsid w:val="00876AC7"/>
    <w:rsid w:val="008775F0"/>
    <w:rsid w:val="008776B4"/>
    <w:rsid w:val="008803E8"/>
    <w:rsid w:val="008812B4"/>
    <w:rsid w:val="0088196E"/>
    <w:rsid w:val="00881ADD"/>
    <w:rsid w:val="00881D98"/>
    <w:rsid w:val="008823F6"/>
    <w:rsid w:val="00882491"/>
    <w:rsid w:val="00882B1A"/>
    <w:rsid w:val="00882F9A"/>
    <w:rsid w:val="0088301F"/>
    <w:rsid w:val="00883694"/>
    <w:rsid w:val="008839EE"/>
    <w:rsid w:val="00883DAC"/>
    <w:rsid w:val="0088436C"/>
    <w:rsid w:val="00885696"/>
    <w:rsid w:val="00885805"/>
    <w:rsid w:val="008860A3"/>
    <w:rsid w:val="0088645D"/>
    <w:rsid w:val="008869A8"/>
    <w:rsid w:val="008902DC"/>
    <w:rsid w:val="008903D9"/>
    <w:rsid w:val="008903F9"/>
    <w:rsid w:val="0089054B"/>
    <w:rsid w:val="00891233"/>
    <w:rsid w:val="00891BB7"/>
    <w:rsid w:val="00892010"/>
    <w:rsid w:val="00893403"/>
    <w:rsid w:val="00894A6C"/>
    <w:rsid w:val="008954CE"/>
    <w:rsid w:val="0089604E"/>
    <w:rsid w:val="00896750"/>
    <w:rsid w:val="00896950"/>
    <w:rsid w:val="00896FAA"/>
    <w:rsid w:val="00897516"/>
    <w:rsid w:val="008A000F"/>
    <w:rsid w:val="008A0A97"/>
    <w:rsid w:val="008A1171"/>
    <w:rsid w:val="008A18E9"/>
    <w:rsid w:val="008A1C0F"/>
    <w:rsid w:val="008A1CBE"/>
    <w:rsid w:val="008A2BA0"/>
    <w:rsid w:val="008A2F86"/>
    <w:rsid w:val="008A328A"/>
    <w:rsid w:val="008A3608"/>
    <w:rsid w:val="008A41CE"/>
    <w:rsid w:val="008A5666"/>
    <w:rsid w:val="008A5E80"/>
    <w:rsid w:val="008A5F73"/>
    <w:rsid w:val="008A64F3"/>
    <w:rsid w:val="008A6D69"/>
    <w:rsid w:val="008A6F07"/>
    <w:rsid w:val="008B0600"/>
    <w:rsid w:val="008B0C03"/>
    <w:rsid w:val="008B1398"/>
    <w:rsid w:val="008B34D0"/>
    <w:rsid w:val="008B3D0D"/>
    <w:rsid w:val="008B42C8"/>
    <w:rsid w:val="008B4B12"/>
    <w:rsid w:val="008B5164"/>
    <w:rsid w:val="008B68CE"/>
    <w:rsid w:val="008B79A5"/>
    <w:rsid w:val="008C02CB"/>
    <w:rsid w:val="008C0FB1"/>
    <w:rsid w:val="008C1028"/>
    <w:rsid w:val="008C1186"/>
    <w:rsid w:val="008C127E"/>
    <w:rsid w:val="008C2201"/>
    <w:rsid w:val="008C2478"/>
    <w:rsid w:val="008C33D5"/>
    <w:rsid w:val="008C3DCE"/>
    <w:rsid w:val="008C3E3D"/>
    <w:rsid w:val="008C5D5D"/>
    <w:rsid w:val="008C5EC9"/>
    <w:rsid w:val="008C6437"/>
    <w:rsid w:val="008C673C"/>
    <w:rsid w:val="008C71FB"/>
    <w:rsid w:val="008C7A3E"/>
    <w:rsid w:val="008D0D97"/>
    <w:rsid w:val="008D36C5"/>
    <w:rsid w:val="008D3743"/>
    <w:rsid w:val="008D44B9"/>
    <w:rsid w:val="008D4B89"/>
    <w:rsid w:val="008D5364"/>
    <w:rsid w:val="008D57C0"/>
    <w:rsid w:val="008D5826"/>
    <w:rsid w:val="008D5D02"/>
    <w:rsid w:val="008D63DD"/>
    <w:rsid w:val="008D65B0"/>
    <w:rsid w:val="008D6DF8"/>
    <w:rsid w:val="008E2285"/>
    <w:rsid w:val="008E31CE"/>
    <w:rsid w:val="008E39E0"/>
    <w:rsid w:val="008E41EF"/>
    <w:rsid w:val="008E42AC"/>
    <w:rsid w:val="008E47D4"/>
    <w:rsid w:val="008E5D41"/>
    <w:rsid w:val="008E6920"/>
    <w:rsid w:val="008E73BF"/>
    <w:rsid w:val="008E7C7A"/>
    <w:rsid w:val="008F0AA9"/>
    <w:rsid w:val="008F1063"/>
    <w:rsid w:val="008F138B"/>
    <w:rsid w:val="008F2946"/>
    <w:rsid w:val="008F2FC2"/>
    <w:rsid w:val="008F35CE"/>
    <w:rsid w:val="008F3848"/>
    <w:rsid w:val="008F5034"/>
    <w:rsid w:val="008F5ADE"/>
    <w:rsid w:val="008F5B19"/>
    <w:rsid w:val="008F604C"/>
    <w:rsid w:val="008F670A"/>
    <w:rsid w:val="008F6D37"/>
    <w:rsid w:val="008F7061"/>
    <w:rsid w:val="008F7730"/>
    <w:rsid w:val="008F7CF6"/>
    <w:rsid w:val="0090082B"/>
    <w:rsid w:val="009008B5"/>
    <w:rsid w:val="00901279"/>
    <w:rsid w:val="009015CA"/>
    <w:rsid w:val="0090189F"/>
    <w:rsid w:val="00901B84"/>
    <w:rsid w:val="00901F52"/>
    <w:rsid w:val="009021A6"/>
    <w:rsid w:val="009021AB"/>
    <w:rsid w:val="0090232A"/>
    <w:rsid w:val="009023ED"/>
    <w:rsid w:val="009052C9"/>
    <w:rsid w:val="009052E8"/>
    <w:rsid w:val="00905C5E"/>
    <w:rsid w:val="009067B3"/>
    <w:rsid w:val="00906866"/>
    <w:rsid w:val="00907272"/>
    <w:rsid w:val="0090737C"/>
    <w:rsid w:val="00907646"/>
    <w:rsid w:val="00907891"/>
    <w:rsid w:val="00907B30"/>
    <w:rsid w:val="009101C5"/>
    <w:rsid w:val="00910DFE"/>
    <w:rsid w:val="00910F25"/>
    <w:rsid w:val="00911207"/>
    <w:rsid w:val="00911681"/>
    <w:rsid w:val="00911A38"/>
    <w:rsid w:val="0091237B"/>
    <w:rsid w:val="009141E5"/>
    <w:rsid w:val="00915763"/>
    <w:rsid w:val="00915B55"/>
    <w:rsid w:val="0091612A"/>
    <w:rsid w:val="00916D6C"/>
    <w:rsid w:val="00917BE6"/>
    <w:rsid w:val="00920164"/>
    <w:rsid w:val="00920E0C"/>
    <w:rsid w:val="00921379"/>
    <w:rsid w:val="00921F88"/>
    <w:rsid w:val="0092446A"/>
    <w:rsid w:val="009247A3"/>
    <w:rsid w:val="009252E4"/>
    <w:rsid w:val="00925BD0"/>
    <w:rsid w:val="00926267"/>
    <w:rsid w:val="00926557"/>
    <w:rsid w:val="0092662A"/>
    <w:rsid w:val="00927746"/>
    <w:rsid w:val="009277A8"/>
    <w:rsid w:val="0093011B"/>
    <w:rsid w:val="00930758"/>
    <w:rsid w:val="00930BBB"/>
    <w:rsid w:val="00930D23"/>
    <w:rsid w:val="00930E3D"/>
    <w:rsid w:val="00931284"/>
    <w:rsid w:val="009317BC"/>
    <w:rsid w:val="00932A6C"/>
    <w:rsid w:val="00933BA5"/>
    <w:rsid w:val="00934562"/>
    <w:rsid w:val="00935790"/>
    <w:rsid w:val="00936855"/>
    <w:rsid w:val="0093710E"/>
    <w:rsid w:val="00937DCD"/>
    <w:rsid w:val="009402B2"/>
    <w:rsid w:val="00940A3B"/>
    <w:rsid w:val="00940C83"/>
    <w:rsid w:val="00941551"/>
    <w:rsid w:val="00942CCE"/>
    <w:rsid w:val="00943212"/>
    <w:rsid w:val="00943309"/>
    <w:rsid w:val="009435AD"/>
    <w:rsid w:val="0094431D"/>
    <w:rsid w:val="00944947"/>
    <w:rsid w:val="00944A60"/>
    <w:rsid w:val="00945131"/>
    <w:rsid w:val="00945173"/>
    <w:rsid w:val="009454DB"/>
    <w:rsid w:val="009456AB"/>
    <w:rsid w:val="0094573F"/>
    <w:rsid w:val="00945D7E"/>
    <w:rsid w:val="00946622"/>
    <w:rsid w:val="00946E27"/>
    <w:rsid w:val="00947F3A"/>
    <w:rsid w:val="00950E9A"/>
    <w:rsid w:val="00952915"/>
    <w:rsid w:val="00954215"/>
    <w:rsid w:val="00954452"/>
    <w:rsid w:val="00954EC1"/>
    <w:rsid w:val="0095509B"/>
    <w:rsid w:val="009558F3"/>
    <w:rsid w:val="009564AB"/>
    <w:rsid w:val="009569D4"/>
    <w:rsid w:val="00956F84"/>
    <w:rsid w:val="009570BA"/>
    <w:rsid w:val="0096048C"/>
    <w:rsid w:val="00961767"/>
    <w:rsid w:val="0096189E"/>
    <w:rsid w:val="00962150"/>
    <w:rsid w:val="009624B5"/>
    <w:rsid w:val="00962841"/>
    <w:rsid w:val="00962BDF"/>
    <w:rsid w:val="00963883"/>
    <w:rsid w:val="0096442B"/>
    <w:rsid w:val="00964571"/>
    <w:rsid w:val="00964B47"/>
    <w:rsid w:val="0097018B"/>
    <w:rsid w:val="009706BE"/>
    <w:rsid w:val="009718B7"/>
    <w:rsid w:val="00971AA7"/>
    <w:rsid w:val="00972029"/>
    <w:rsid w:val="009722A4"/>
    <w:rsid w:val="00972AAC"/>
    <w:rsid w:val="00972D41"/>
    <w:rsid w:val="0097498F"/>
    <w:rsid w:val="00975795"/>
    <w:rsid w:val="009766EB"/>
    <w:rsid w:val="00976FD7"/>
    <w:rsid w:val="00977349"/>
    <w:rsid w:val="009807BA"/>
    <w:rsid w:val="00980E0C"/>
    <w:rsid w:val="00980F93"/>
    <w:rsid w:val="00981C96"/>
    <w:rsid w:val="00982075"/>
    <w:rsid w:val="009824A3"/>
    <w:rsid w:val="00983534"/>
    <w:rsid w:val="00983590"/>
    <w:rsid w:val="00986419"/>
    <w:rsid w:val="00986D9A"/>
    <w:rsid w:val="00986DBC"/>
    <w:rsid w:val="009902BF"/>
    <w:rsid w:val="009903F9"/>
    <w:rsid w:val="00990B1F"/>
    <w:rsid w:val="00990BC6"/>
    <w:rsid w:val="00990DEA"/>
    <w:rsid w:val="0099212F"/>
    <w:rsid w:val="009926BB"/>
    <w:rsid w:val="009929C0"/>
    <w:rsid w:val="00996DCB"/>
    <w:rsid w:val="009972CD"/>
    <w:rsid w:val="009975B8"/>
    <w:rsid w:val="00997B1B"/>
    <w:rsid w:val="00997E62"/>
    <w:rsid w:val="009A23AC"/>
    <w:rsid w:val="009A2444"/>
    <w:rsid w:val="009A3E81"/>
    <w:rsid w:val="009A4690"/>
    <w:rsid w:val="009A52A9"/>
    <w:rsid w:val="009A53A9"/>
    <w:rsid w:val="009A56CC"/>
    <w:rsid w:val="009B0E7F"/>
    <w:rsid w:val="009B12E7"/>
    <w:rsid w:val="009B16B0"/>
    <w:rsid w:val="009B1DD0"/>
    <w:rsid w:val="009B2691"/>
    <w:rsid w:val="009B2B46"/>
    <w:rsid w:val="009B2CDC"/>
    <w:rsid w:val="009B2EBB"/>
    <w:rsid w:val="009B33F7"/>
    <w:rsid w:val="009B35AB"/>
    <w:rsid w:val="009B4B7D"/>
    <w:rsid w:val="009B61B2"/>
    <w:rsid w:val="009B653A"/>
    <w:rsid w:val="009B6DE6"/>
    <w:rsid w:val="009B7AE7"/>
    <w:rsid w:val="009B7D12"/>
    <w:rsid w:val="009C01C6"/>
    <w:rsid w:val="009C0243"/>
    <w:rsid w:val="009C0BFC"/>
    <w:rsid w:val="009C1096"/>
    <w:rsid w:val="009C1EC8"/>
    <w:rsid w:val="009C2BAA"/>
    <w:rsid w:val="009C4428"/>
    <w:rsid w:val="009C46D3"/>
    <w:rsid w:val="009C4A06"/>
    <w:rsid w:val="009C6487"/>
    <w:rsid w:val="009C649B"/>
    <w:rsid w:val="009C6694"/>
    <w:rsid w:val="009D02E8"/>
    <w:rsid w:val="009D135D"/>
    <w:rsid w:val="009D1881"/>
    <w:rsid w:val="009D386B"/>
    <w:rsid w:val="009D3F46"/>
    <w:rsid w:val="009D4698"/>
    <w:rsid w:val="009D4747"/>
    <w:rsid w:val="009D4A22"/>
    <w:rsid w:val="009D7873"/>
    <w:rsid w:val="009D7B33"/>
    <w:rsid w:val="009D7BA8"/>
    <w:rsid w:val="009E0472"/>
    <w:rsid w:val="009E0C1E"/>
    <w:rsid w:val="009E10F2"/>
    <w:rsid w:val="009E255D"/>
    <w:rsid w:val="009E264C"/>
    <w:rsid w:val="009E2810"/>
    <w:rsid w:val="009E2D6C"/>
    <w:rsid w:val="009E2F27"/>
    <w:rsid w:val="009E42EF"/>
    <w:rsid w:val="009E434D"/>
    <w:rsid w:val="009E4B35"/>
    <w:rsid w:val="009E5735"/>
    <w:rsid w:val="009E5B87"/>
    <w:rsid w:val="009E5C90"/>
    <w:rsid w:val="009F0005"/>
    <w:rsid w:val="009F0601"/>
    <w:rsid w:val="009F0869"/>
    <w:rsid w:val="009F5D6C"/>
    <w:rsid w:val="009F6C98"/>
    <w:rsid w:val="009F6F90"/>
    <w:rsid w:val="009F6F9C"/>
    <w:rsid w:val="009F7A8E"/>
    <w:rsid w:val="00A02297"/>
    <w:rsid w:val="00A024CD"/>
    <w:rsid w:val="00A027C0"/>
    <w:rsid w:val="00A03E48"/>
    <w:rsid w:val="00A03F8B"/>
    <w:rsid w:val="00A04F2B"/>
    <w:rsid w:val="00A05199"/>
    <w:rsid w:val="00A1021A"/>
    <w:rsid w:val="00A11A0D"/>
    <w:rsid w:val="00A11A34"/>
    <w:rsid w:val="00A12095"/>
    <w:rsid w:val="00A123E5"/>
    <w:rsid w:val="00A12B7D"/>
    <w:rsid w:val="00A13419"/>
    <w:rsid w:val="00A149CE"/>
    <w:rsid w:val="00A152AE"/>
    <w:rsid w:val="00A1607E"/>
    <w:rsid w:val="00A162FE"/>
    <w:rsid w:val="00A1784E"/>
    <w:rsid w:val="00A21594"/>
    <w:rsid w:val="00A21A1E"/>
    <w:rsid w:val="00A21E79"/>
    <w:rsid w:val="00A224DD"/>
    <w:rsid w:val="00A2266E"/>
    <w:rsid w:val="00A22CA3"/>
    <w:rsid w:val="00A22D32"/>
    <w:rsid w:val="00A22D40"/>
    <w:rsid w:val="00A235D7"/>
    <w:rsid w:val="00A236C8"/>
    <w:rsid w:val="00A2517A"/>
    <w:rsid w:val="00A256A4"/>
    <w:rsid w:val="00A25EB8"/>
    <w:rsid w:val="00A2698F"/>
    <w:rsid w:val="00A26D4B"/>
    <w:rsid w:val="00A271A6"/>
    <w:rsid w:val="00A2783A"/>
    <w:rsid w:val="00A3016F"/>
    <w:rsid w:val="00A30B24"/>
    <w:rsid w:val="00A30BCA"/>
    <w:rsid w:val="00A32351"/>
    <w:rsid w:val="00A32891"/>
    <w:rsid w:val="00A32D60"/>
    <w:rsid w:val="00A331FC"/>
    <w:rsid w:val="00A350BE"/>
    <w:rsid w:val="00A35644"/>
    <w:rsid w:val="00A36085"/>
    <w:rsid w:val="00A368CF"/>
    <w:rsid w:val="00A3754B"/>
    <w:rsid w:val="00A37F19"/>
    <w:rsid w:val="00A4040C"/>
    <w:rsid w:val="00A40BDD"/>
    <w:rsid w:val="00A40C40"/>
    <w:rsid w:val="00A412A8"/>
    <w:rsid w:val="00A426E1"/>
    <w:rsid w:val="00A43424"/>
    <w:rsid w:val="00A43A8A"/>
    <w:rsid w:val="00A44627"/>
    <w:rsid w:val="00A44DDA"/>
    <w:rsid w:val="00A45077"/>
    <w:rsid w:val="00A464A4"/>
    <w:rsid w:val="00A470E9"/>
    <w:rsid w:val="00A4713A"/>
    <w:rsid w:val="00A473A7"/>
    <w:rsid w:val="00A502D8"/>
    <w:rsid w:val="00A508EA"/>
    <w:rsid w:val="00A509AD"/>
    <w:rsid w:val="00A509EF"/>
    <w:rsid w:val="00A5132E"/>
    <w:rsid w:val="00A51AA5"/>
    <w:rsid w:val="00A523CC"/>
    <w:rsid w:val="00A5275D"/>
    <w:rsid w:val="00A5479F"/>
    <w:rsid w:val="00A54FE6"/>
    <w:rsid w:val="00A558BD"/>
    <w:rsid w:val="00A5700D"/>
    <w:rsid w:val="00A603D5"/>
    <w:rsid w:val="00A60979"/>
    <w:rsid w:val="00A60B91"/>
    <w:rsid w:val="00A61156"/>
    <w:rsid w:val="00A640F0"/>
    <w:rsid w:val="00A658D8"/>
    <w:rsid w:val="00A65B26"/>
    <w:rsid w:val="00A66EA9"/>
    <w:rsid w:val="00A71D0B"/>
    <w:rsid w:val="00A71E96"/>
    <w:rsid w:val="00A722CB"/>
    <w:rsid w:val="00A73245"/>
    <w:rsid w:val="00A7352B"/>
    <w:rsid w:val="00A735F0"/>
    <w:rsid w:val="00A73B66"/>
    <w:rsid w:val="00A7447E"/>
    <w:rsid w:val="00A75428"/>
    <w:rsid w:val="00A75A54"/>
    <w:rsid w:val="00A75B85"/>
    <w:rsid w:val="00A76899"/>
    <w:rsid w:val="00A7775F"/>
    <w:rsid w:val="00A77FBF"/>
    <w:rsid w:val="00A81A04"/>
    <w:rsid w:val="00A81C8F"/>
    <w:rsid w:val="00A823E3"/>
    <w:rsid w:val="00A829EF"/>
    <w:rsid w:val="00A82C9F"/>
    <w:rsid w:val="00A83215"/>
    <w:rsid w:val="00A832CC"/>
    <w:rsid w:val="00A8339D"/>
    <w:rsid w:val="00A834F3"/>
    <w:rsid w:val="00A83606"/>
    <w:rsid w:val="00A83704"/>
    <w:rsid w:val="00A83CFB"/>
    <w:rsid w:val="00A841A4"/>
    <w:rsid w:val="00A8437E"/>
    <w:rsid w:val="00A854A5"/>
    <w:rsid w:val="00A8599F"/>
    <w:rsid w:val="00A85A7E"/>
    <w:rsid w:val="00A85BF2"/>
    <w:rsid w:val="00A86A4B"/>
    <w:rsid w:val="00A86C58"/>
    <w:rsid w:val="00A9132C"/>
    <w:rsid w:val="00A915EF"/>
    <w:rsid w:val="00A92886"/>
    <w:rsid w:val="00A92A5B"/>
    <w:rsid w:val="00A92D99"/>
    <w:rsid w:val="00A92ED6"/>
    <w:rsid w:val="00A93794"/>
    <w:rsid w:val="00A93EB7"/>
    <w:rsid w:val="00A9439F"/>
    <w:rsid w:val="00A944E3"/>
    <w:rsid w:val="00A94935"/>
    <w:rsid w:val="00A94C8B"/>
    <w:rsid w:val="00A94C9A"/>
    <w:rsid w:val="00A94E3B"/>
    <w:rsid w:val="00A94EE7"/>
    <w:rsid w:val="00A95771"/>
    <w:rsid w:val="00A95C81"/>
    <w:rsid w:val="00A976C4"/>
    <w:rsid w:val="00A977D7"/>
    <w:rsid w:val="00A97A06"/>
    <w:rsid w:val="00AA075C"/>
    <w:rsid w:val="00AA0969"/>
    <w:rsid w:val="00AA1E83"/>
    <w:rsid w:val="00AA2BCE"/>
    <w:rsid w:val="00AA4DF9"/>
    <w:rsid w:val="00AA5101"/>
    <w:rsid w:val="00AA5553"/>
    <w:rsid w:val="00AB1572"/>
    <w:rsid w:val="00AB20C3"/>
    <w:rsid w:val="00AB2828"/>
    <w:rsid w:val="00AB481B"/>
    <w:rsid w:val="00AB5732"/>
    <w:rsid w:val="00AB5AE6"/>
    <w:rsid w:val="00AC0602"/>
    <w:rsid w:val="00AC060A"/>
    <w:rsid w:val="00AC0674"/>
    <w:rsid w:val="00AC0677"/>
    <w:rsid w:val="00AC0D83"/>
    <w:rsid w:val="00AC1654"/>
    <w:rsid w:val="00AC3B67"/>
    <w:rsid w:val="00AC49A3"/>
    <w:rsid w:val="00AC4D29"/>
    <w:rsid w:val="00AC52DD"/>
    <w:rsid w:val="00AC7469"/>
    <w:rsid w:val="00AD0EF2"/>
    <w:rsid w:val="00AD302F"/>
    <w:rsid w:val="00AD3568"/>
    <w:rsid w:val="00AD3F3C"/>
    <w:rsid w:val="00AD3FFE"/>
    <w:rsid w:val="00AD4410"/>
    <w:rsid w:val="00AD5047"/>
    <w:rsid w:val="00AD60B9"/>
    <w:rsid w:val="00AD6270"/>
    <w:rsid w:val="00AD6FC3"/>
    <w:rsid w:val="00AE033D"/>
    <w:rsid w:val="00AE03D1"/>
    <w:rsid w:val="00AE12C7"/>
    <w:rsid w:val="00AE15D4"/>
    <w:rsid w:val="00AE217F"/>
    <w:rsid w:val="00AE24B6"/>
    <w:rsid w:val="00AE27F6"/>
    <w:rsid w:val="00AE3688"/>
    <w:rsid w:val="00AE457D"/>
    <w:rsid w:val="00AE464E"/>
    <w:rsid w:val="00AE496C"/>
    <w:rsid w:val="00AE55C0"/>
    <w:rsid w:val="00AE5E86"/>
    <w:rsid w:val="00AE60A2"/>
    <w:rsid w:val="00AF0A6E"/>
    <w:rsid w:val="00AF20AD"/>
    <w:rsid w:val="00AF2A5A"/>
    <w:rsid w:val="00AF3F91"/>
    <w:rsid w:val="00AF4382"/>
    <w:rsid w:val="00AF5FB5"/>
    <w:rsid w:val="00AF61A8"/>
    <w:rsid w:val="00AF62F6"/>
    <w:rsid w:val="00AF699F"/>
    <w:rsid w:val="00AF6AC1"/>
    <w:rsid w:val="00AF6DFA"/>
    <w:rsid w:val="00AF7159"/>
    <w:rsid w:val="00B004CB"/>
    <w:rsid w:val="00B008A2"/>
    <w:rsid w:val="00B00A6F"/>
    <w:rsid w:val="00B01CC0"/>
    <w:rsid w:val="00B01D3B"/>
    <w:rsid w:val="00B02096"/>
    <w:rsid w:val="00B03193"/>
    <w:rsid w:val="00B035CD"/>
    <w:rsid w:val="00B03A65"/>
    <w:rsid w:val="00B03FA2"/>
    <w:rsid w:val="00B043FB"/>
    <w:rsid w:val="00B04F35"/>
    <w:rsid w:val="00B05687"/>
    <w:rsid w:val="00B05956"/>
    <w:rsid w:val="00B06834"/>
    <w:rsid w:val="00B070B7"/>
    <w:rsid w:val="00B07194"/>
    <w:rsid w:val="00B072C8"/>
    <w:rsid w:val="00B0786C"/>
    <w:rsid w:val="00B100A8"/>
    <w:rsid w:val="00B11379"/>
    <w:rsid w:val="00B11430"/>
    <w:rsid w:val="00B1190A"/>
    <w:rsid w:val="00B13517"/>
    <w:rsid w:val="00B13972"/>
    <w:rsid w:val="00B13E21"/>
    <w:rsid w:val="00B14376"/>
    <w:rsid w:val="00B1514B"/>
    <w:rsid w:val="00B15936"/>
    <w:rsid w:val="00B15BF0"/>
    <w:rsid w:val="00B16445"/>
    <w:rsid w:val="00B16839"/>
    <w:rsid w:val="00B16BCF"/>
    <w:rsid w:val="00B17C25"/>
    <w:rsid w:val="00B205DC"/>
    <w:rsid w:val="00B20987"/>
    <w:rsid w:val="00B20FDA"/>
    <w:rsid w:val="00B21AB6"/>
    <w:rsid w:val="00B22CB7"/>
    <w:rsid w:val="00B230BA"/>
    <w:rsid w:val="00B2343B"/>
    <w:rsid w:val="00B23CC3"/>
    <w:rsid w:val="00B2426C"/>
    <w:rsid w:val="00B260B0"/>
    <w:rsid w:val="00B27FD6"/>
    <w:rsid w:val="00B30196"/>
    <w:rsid w:val="00B303C8"/>
    <w:rsid w:val="00B31462"/>
    <w:rsid w:val="00B31B1F"/>
    <w:rsid w:val="00B333E6"/>
    <w:rsid w:val="00B33EA1"/>
    <w:rsid w:val="00B34187"/>
    <w:rsid w:val="00B34F9F"/>
    <w:rsid w:val="00B35114"/>
    <w:rsid w:val="00B35245"/>
    <w:rsid w:val="00B3544A"/>
    <w:rsid w:val="00B35B5F"/>
    <w:rsid w:val="00B4109F"/>
    <w:rsid w:val="00B415B0"/>
    <w:rsid w:val="00B41985"/>
    <w:rsid w:val="00B43EED"/>
    <w:rsid w:val="00B442A1"/>
    <w:rsid w:val="00B44BAF"/>
    <w:rsid w:val="00B45299"/>
    <w:rsid w:val="00B456E8"/>
    <w:rsid w:val="00B478F1"/>
    <w:rsid w:val="00B47977"/>
    <w:rsid w:val="00B502F4"/>
    <w:rsid w:val="00B511E2"/>
    <w:rsid w:val="00B513AF"/>
    <w:rsid w:val="00B51CB6"/>
    <w:rsid w:val="00B52919"/>
    <w:rsid w:val="00B539D3"/>
    <w:rsid w:val="00B55246"/>
    <w:rsid w:val="00B55F78"/>
    <w:rsid w:val="00B562AE"/>
    <w:rsid w:val="00B566FF"/>
    <w:rsid w:val="00B56FD8"/>
    <w:rsid w:val="00B60B35"/>
    <w:rsid w:val="00B60C5F"/>
    <w:rsid w:val="00B60F58"/>
    <w:rsid w:val="00B6102A"/>
    <w:rsid w:val="00B614C4"/>
    <w:rsid w:val="00B61DED"/>
    <w:rsid w:val="00B61ED0"/>
    <w:rsid w:val="00B6225E"/>
    <w:rsid w:val="00B628F4"/>
    <w:rsid w:val="00B62B36"/>
    <w:rsid w:val="00B62EFD"/>
    <w:rsid w:val="00B6349B"/>
    <w:rsid w:val="00B63783"/>
    <w:rsid w:val="00B63C36"/>
    <w:rsid w:val="00B6475B"/>
    <w:rsid w:val="00B64DDC"/>
    <w:rsid w:val="00B64FC4"/>
    <w:rsid w:val="00B65069"/>
    <w:rsid w:val="00B650D0"/>
    <w:rsid w:val="00B6786C"/>
    <w:rsid w:val="00B67A00"/>
    <w:rsid w:val="00B70C77"/>
    <w:rsid w:val="00B70D48"/>
    <w:rsid w:val="00B7163B"/>
    <w:rsid w:val="00B71B0D"/>
    <w:rsid w:val="00B71F9C"/>
    <w:rsid w:val="00B72907"/>
    <w:rsid w:val="00B73485"/>
    <w:rsid w:val="00B73FBD"/>
    <w:rsid w:val="00B75349"/>
    <w:rsid w:val="00B75950"/>
    <w:rsid w:val="00B75CF7"/>
    <w:rsid w:val="00B763F1"/>
    <w:rsid w:val="00B80EAD"/>
    <w:rsid w:val="00B81192"/>
    <w:rsid w:val="00B81298"/>
    <w:rsid w:val="00B8269B"/>
    <w:rsid w:val="00B8298E"/>
    <w:rsid w:val="00B82AB1"/>
    <w:rsid w:val="00B84127"/>
    <w:rsid w:val="00B84C68"/>
    <w:rsid w:val="00B84D6D"/>
    <w:rsid w:val="00B853F0"/>
    <w:rsid w:val="00B860CA"/>
    <w:rsid w:val="00B87334"/>
    <w:rsid w:val="00B876CC"/>
    <w:rsid w:val="00B90074"/>
    <w:rsid w:val="00B90B86"/>
    <w:rsid w:val="00B9180D"/>
    <w:rsid w:val="00B9186B"/>
    <w:rsid w:val="00B91EA9"/>
    <w:rsid w:val="00B923EE"/>
    <w:rsid w:val="00B9287F"/>
    <w:rsid w:val="00B92C8D"/>
    <w:rsid w:val="00B92DC6"/>
    <w:rsid w:val="00B932A9"/>
    <w:rsid w:val="00B93A1D"/>
    <w:rsid w:val="00B93DDD"/>
    <w:rsid w:val="00B953BB"/>
    <w:rsid w:val="00B957A4"/>
    <w:rsid w:val="00B95E01"/>
    <w:rsid w:val="00B962D4"/>
    <w:rsid w:val="00B96AAF"/>
    <w:rsid w:val="00B96F42"/>
    <w:rsid w:val="00BA03E5"/>
    <w:rsid w:val="00BA08AD"/>
    <w:rsid w:val="00BA1007"/>
    <w:rsid w:val="00BA1434"/>
    <w:rsid w:val="00BA23E3"/>
    <w:rsid w:val="00BA2DEF"/>
    <w:rsid w:val="00BA4CCA"/>
    <w:rsid w:val="00BA4D3C"/>
    <w:rsid w:val="00BA513A"/>
    <w:rsid w:val="00BA551D"/>
    <w:rsid w:val="00BA76DE"/>
    <w:rsid w:val="00BB07E0"/>
    <w:rsid w:val="00BB1823"/>
    <w:rsid w:val="00BB1E91"/>
    <w:rsid w:val="00BB2105"/>
    <w:rsid w:val="00BB2160"/>
    <w:rsid w:val="00BB2A4B"/>
    <w:rsid w:val="00BB2ADE"/>
    <w:rsid w:val="00BB5079"/>
    <w:rsid w:val="00BB53D3"/>
    <w:rsid w:val="00BB615F"/>
    <w:rsid w:val="00BB7AC9"/>
    <w:rsid w:val="00BC1957"/>
    <w:rsid w:val="00BC28A7"/>
    <w:rsid w:val="00BC3D05"/>
    <w:rsid w:val="00BC4C1B"/>
    <w:rsid w:val="00BC53B9"/>
    <w:rsid w:val="00BC5656"/>
    <w:rsid w:val="00BC56F8"/>
    <w:rsid w:val="00BC63E0"/>
    <w:rsid w:val="00BC7641"/>
    <w:rsid w:val="00BC7AB8"/>
    <w:rsid w:val="00BC7B3A"/>
    <w:rsid w:val="00BD1DCA"/>
    <w:rsid w:val="00BD2AAF"/>
    <w:rsid w:val="00BD2B7A"/>
    <w:rsid w:val="00BD3187"/>
    <w:rsid w:val="00BD3E8F"/>
    <w:rsid w:val="00BD52ED"/>
    <w:rsid w:val="00BD5684"/>
    <w:rsid w:val="00BD5784"/>
    <w:rsid w:val="00BD5998"/>
    <w:rsid w:val="00BD6329"/>
    <w:rsid w:val="00BD64F5"/>
    <w:rsid w:val="00BD6767"/>
    <w:rsid w:val="00BD7240"/>
    <w:rsid w:val="00BD74F5"/>
    <w:rsid w:val="00BD7B4E"/>
    <w:rsid w:val="00BD7D44"/>
    <w:rsid w:val="00BE02D2"/>
    <w:rsid w:val="00BE0FDE"/>
    <w:rsid w:val="00BE140B"/>
    <w:rsid w:val="00BE16DD"/>
    <w:rsid w:val="00BE1FD8"/>
    <w:rsid w:val="00BE29CF"/>
    <w:rsid w:val="00BE2AF1"/>
    <w:rsid w:val="00BE324E"/>
    <w:rsid w:val="00BE332B"/>
    <w:rsid w:val="00BE3FBB"/>
    <w:rsid w:val="00BE4002"/>
    <w:rsid w:val="00BE41D3"/>
    <w:rsid w:val="00BE4839"/>
    <w:rsid w:val="00BE53E4"/>
    <w:rsid w:val="00BE56EC"/>
    <w:rsid w:val="00BE572D"/>
    <w:rsid w:val="00BE5B5C"/>
    <w:rsid w:val="00BE676C"/>
    <w:rsid w:val="00BE6F37"/>
    <w:rsid w:val="00BF0129"/>
    <w:rsid w:val="00BF0327"/>
    <w:rsid w:val="00BF0731"/>
    <w:rsid w:val="00BF0751"/>
    <w:rsid w:val="00BF098B"/>
    <w:rsid w:val="00BF157A"/>
    <w:rsid w:val="00BF1B44"/>
    <w:rsid w:val="00BF2543"/>
    <w:rsid w:val="00BF25FE"/>
    <w:rsid w:val="00BF2FF8"/>
    <w:rsid w:val="00BF3138"/>
    <w:rsid w:val="00BF49A0"/>
    <w:rsid w:val="00BF4AEF"/>
    <w:rsid w:val="00BF5CC8"/>
    <w:rsid w:val="00BF6241"/>
    <w:rsid w:val="00C0003C"/>
    <w:rsid w:val="00C017C1"/>
    <w:rsid w:val="00C01AFD"/>
    <w:rsid w:val="00C01DA2"/>
    <w:rsid w:val="00C02FD4"/>
    <w:rsid w:val="00C0344B"/>
    <w:rsid w:val="00C041F8"/>
    <w:rsid w:val="00C04438"/>
    <w:rsid w:val="00C04B6E"/>
    <w:rsid w:val="00C04BFE"/>
    <w:rsid w:val="00C04E0C"/>
    <w:rsid w:val="00C06C1B"/>
    <w:rsid w:val="00C07340"/>
    <w:rsid w:val="00C07377"/>
    <w:rsid w:val="00C07DED"/>
    <w:rsid w:val="00C07E8D"/>
    <w:rsid w:val="00C10765"/>
    <w:rsid w:val="00C10EF5"/>
    <w:rsid w:val="00C11040"/>
    <w:rsid w:val="00C1168A"/>
    <w:rsid w:val="00C11B80"/>
    <w:rsid w:val="00C12078"/>
    <w:rsid w:val="00C12B4F"/>
    <w:rsid w:val="00C12D97"/>
    <w:rsid w:val="00C12EB0"/>
    <w:rsid w:val="00C14299"/>
    <w:rsid w:val="00C145AF"/>
    <w:rsid w:val="00C1498D"/>
    <w:rsid w:val="00C16B89"/>
    <w:rsid w:val="00C17AD3"/>
    <w:rsid w:val="00C2185C"/>
    <w:rsid w:val="00C23226"/>
    <w:rsid w:val="00C23C22"/>
    <w:rsid w:val="00C23EF6"/>
    <w:rsid w:val="00C24113"/>
    <w:rsid w:val="00C24BF7"/>
    <w:rsid w:val="00C26DAF"/>
    <w:rsid w:val="00C2703F"/>
    <w:rsid w:val="00C271A7"/>
    <w:rsid w:val="00C2764C"/>
    <w:rsid w:val="00C30143"/>
    <w:rsid w:val="00C3015B"/>
    <w:rsid w:val="00C30627"/>
    <w:rsid w:val="00C30A54"/>
    <w:rsid w:val="00C315B9"/>
    <w:rsid w:val="00C31BFE"/>
    <w:rsid w:val="00C32340"/>
    <w:rsid w:val="00C3350A"/>
    <w:rsid w:val="00C34176"/>
    <w:rsid w:val="00C3432E"/>
    <w:rsid w:val="00C35417"/>
    <w:rsid w:val="00C355E8"/>
    <w:rsid w:val="00C36C05"/>
    <w:rsid w:val="00C37762"/>
    <w:rsid w:val="00C37A3C"/>
    <w:rsid w:val="00C41139"/>
    <w:rsid w:val="00C41524"/>
    <w:rsid w:val="00C41AA1"/>
    <w:rsid w:val="00C41C21"/>
    <w:rsid w:val="00C4209E"/>
    <w:rsid w:val="00C4261F"/>
    <w:rsid w:val="00C4283C"/>
    <w:rsid w:val="00C42987"/>
    <w:rsid w:val="00C438C4"/>
    <w:rsid w:val="00C43E9E"/>
    <w:rsid w:val="00C43F08"/>
    <w:rsid w:val="00C44DBE"/>
    <w:rsid w:val="00C45F8C"/>
    <w:rsid w:val="00C46B5F"/>
    <w:rsid w:val="00C4786D"/>
    <w:rsid w:val="00C47886"/>
    <w:rsid w:val="00C50A5B"/>
    <w:rsid w:val="00C50DEF"/>
    <w:rsid w:val="00C51254"/>
    <w:rsid w:val="00C5256F"/>
    <w:rsid w:val="00C52BA6"/>
    <w:rsid w:val="00C5310A"/>
    <w:rsid w:val="00C53700"/>
    <w:rsid w:val="00C539F1"/>
    <w:rsid w:val="00C53AC3"/>
    <w:rsid w:val="00C54098"/>
    <w:rsid w:val="00C540C9"/>
    <w:rsid w:val="00C541C1"/>
    <w:rsid w:val="00C558A9"/>
    <w:rsid w:val="00C56DD6"/>
    <w:rsid w:val="00C60F34"/>
    <w:rsid w:val="00C61668"/>
    <w:rsid w:val="00C61CA8"/>
    <w:rsid w:val="00C63D0E"/>
    <w:rsid w:val="00C64927"/>
    <w:rsid w:val="00C64C98"/>
    <w:rsid w:val="00C650EF"/>
    <w:rsid w:val="00C658BA"/>
    <w:rsid w:val="00C65D44"/>
    <w:rsid w:val="00C65E34"/>
    <w:rsid w:val="00C67E23"/>
    <w:rsid w:val="00C70499"/>
    <w:rsid w:val="00C706C6"/>
    <w:rsid w:val="00C70989"/>
    <w:rsid w:val="00C70AB3"/>
    <w:rsid w:val="00C715C1"/>
    <w:rsid w:val="00C71817"/>
    <w:rsid w:val="00C71FDF"/>
    <w:rsid w:val="00C7399D"/>
    <w:rsid w:val="00C74C11"/>
    <w:rsid w:val="00C76841"/>
    <w:rsid w:val="00C7695A"/>
    <w:rsid w:val="00C7728C"/>
    <w:rsid w:val="00C773C2"/>
    <w:rsid w:val="00C77537"/>
    <w:rsid w:val="00C777A5"/>
    <w:rsid w:val="00C8028A"/>
    <w:rsid w:val="00C802C1"/>
    <w:rsid w:val="00C80543"/>
    <w:rsid w:val="00C80934"/>
    <w:rsid w:val="00C8109D"/>
    <w:rsid w:val="00C81D2B"/>
    <w:rsid w:val="00C822C2"/>
    <w:rsid w:val="00C82608"/>
    <w:rsid w:val="00C82677"/>
    <w:rsid w:val="00C82899"/>
    <w:rsid w:val="00C82A2D"/>
    <w:rsid w:val="00C846F8"/>
    <w:rsid w:val="00C8532D"/>
    <w:rsid w:val="00C85CB0"/>
    <w:rsid w:val="00C86407"/>
    <w:rsid w:val="00C8682C"/>
    <w:rsid w:val="00C873C9"/>
    <w:rsid w:val="00C87458"/>
    <w:rsid w:val="00C901B7"/>
    <w:rsid w:val="00C910BF"/>
    <w:rsid w:val="00C91D86"/>
    <w:rsid w:val="00C92E58"/>
    <w:rsid w:val="00C948F4"/>
    <w:rsid w:val="00C949C0"/>
    <w:rsid w:val="00C959D3"/>
    <w:rsid w:val="00C95B26"/>
    <w:rsid w:val="00C95D59"/>
    <w:rsid w:val="00C966FA"/>
    <w:rsid w:val="00C96AD2"/>
    <w:rsid w:val="00C96DFB"/>
    <w:rsid w:val="00CA0426"/>
    <w:rsid w:val="00CA08B4"/>
    <w:rsid w:val="00CA0FCC"/>
    <w:rsid w:val="00CA199C"/>
    <w:rsid w:val="00CA1CA0"/>
    <w:rsid w:val="00CA2028"/>
    <w:rsid w:val="00CA2A55"/>
    <w:rsid w:val="00CA2B4E"/>
    <w:rsid w:val="00CA3192"/>
    <w:rsid w:val="00CA34D0"/>
    <w:rsid w:val="00CA387C"/>
    <w:rsid w:val="00CA3F96"/>
    <w:rsid w:val="00CA48EE"/>
    <w:rsid w:val="00CA4DFC"/>
    <w:rsid w:val="00CA5F29"/>
    <w:rsid w:val="00CA689F"/>
    <w:rsid w:val="00CB1209"/>
    <w:rsid w:val="00CB15BE"/>
    <w:rsid w:val="00CB25F8"/>
    <w:rsid w:val="00CB2F8A"/>
    <w:rsid w:val="00CB3BBD"/>
    <w:rsid w:val="00CB4166"/>
    <w:rsid w:val="00CB46D8"/>
    <w:rsid w:val="00CB4EA7"/>
    <w:rsid w:val="00CB57EA"/>
    <w:rsid w:val="00CB626D"/>
    <w:rsid w:val="00CB6461"/>
    <w:rsid w:val="00CB6D34"/>
    <w:rsid w:val="00CB6F09"/>
    <w:rsid w:val="00CB7979"/>
    <w:rsid w:val="00CB7980"/>
    <w:rsid w:val="00CB7A06"/>
    <w:rsid w:val="00CB7F9E"/>
    <w:rsid w:val="00CC04B5"/>
    <w:rsid w:val="00CC04CA"/>
    <w:rsid w:val="00CC0999"/>
    <w:rsid w:val="00CC0F5A"/>
    <w:rsid w:val="00CC1469"/>
    <w:rsid w:val="00CC19AA"/>
    <w:rsid w:val="00CC1C30"/>
    <w:rsid w:val="00CC2BB7"/>
    <w:rsid w:val="00CC2E2D"/>
    <w:rsid w:val="00CC322D"/>
    <w:rsid w:val="00CC3282"/>
    <w:rsid w:val="00CC3533"/>
    <w:rsid w:val="00CC3E4A"/>
    <w:rsid w:val="00CC4144"/>
    <w:rsid w:val="00CC44E3"/>
    <w:rsid w:val="00CC4AC9"/>
    <w:rsid w:val="00CC4E19"/>
    <w:rsid w:val="00CC5125"/>
    <w:rsid w:val="00CC65CF"/>
    <w:rsid w:val="00CC7238"/>
    <w:rsid w:val="00CC72CF"/>
    <w:rsid w:val="00CC74A0"/>
    <w:rsid w:val="00CC7A19"/>
    <w:rsid w:val="00CC7FB1"/>
    <w:rsid w:val="00CD009B"/>
    <w:rsid w:val="00CD025D"/>
    <w:rsid w:val="00CD0F32"/>
    <w:rsid w:val="00CD1DF8"/>
    <w:rsid w:val="00CD25C5"/>
    <w:rsid w:val="00CD2982"/>
    <w:rsid w:val="00CD434D"/>
    <w:rsid w:val="00CD51E4"/>
    <w:rsid w:val="00CD52BB"/>
    <w:rsid w:val="00CD53BF"/>
    <w:rsid w:val="00CD55F3"/>
    <w:rsid w:val="00CD577E"/>
    <w:rsid w:val="00CD588F"/>
    <w:rsid w:val="00CD6841"/>
    <w:rsid w:val="00CD71A3"/>
    <w:rsid w:val="00CE0BFD"/>
    <w:rsid w:val="00CE10A2"/>
    <w:rsid w:val="00CE1B3F"/>
    <w:rsid w:val="00CE3460"/>
    <w:rsid w:val="00CE354A"/>
    <w:rsid w:val="00CE4DE3"/>
    <w:rsid w:val="00CE5A75"/>
    <w:rsid w:val="00CE5CA8"/>
    <w:rsid w:val="00CE69A4"/>
    <w:rsid w:val="00CE69B5"/>
    <w:rsid w:val="00CE72C5"/>
    <w:rsid w:val="00CE7AB0"/>
    <w:rsid w:val="00CF15D4"/>
    <w:rsid w:val="00CF1B4A"/>
    <w:rsid w:val="00CF29AA"/>
    <w:rsid w:val="00CF4167"/>
    <w:rsid w:val="00CF4E32"/>
    <w:rsid w:val="00CF4EC9"/>
    <w:rsid w:val="00CF4FC9"/>
    <w:rsid w:val="00CF679E"/>
    <w:rsid w:val="00CF6A3B"/>
    <w:rsid w:val="00CF6C76"/>
    <w:rsid w:val="00CF7124"/>
    <w:rsid w:val="00CF7A18"/>
    <w:rsid w:val="00D00130"/>
    <w:rsid w:val="00D00F19"/>
    <w:rsid w:val="00D00F8F"/>
    <w:rsid w:val="00D011F4"/>
    <w:rsid w:val="00D014BC"/>
    <w:rsid w:val="00D02169"/>
    <w:rsid w:val="00D026CF"/>
    <w:rsid w:val="00D02FB9"/>
    <w:rsid w:val="00D0350F"/>
    <w:rsid w:val="00D035B9"/>
    <w:rsid w:val="00D0361F"/>
    <w:rsid w:val="00D03747"/>
    <w:rsid w:val="00D03EA5"/>
    <w:rsid w:val="00D04863"/>
    <w:rsid w:val="00D05D17"/>
    <w:rsid w:val="00D07469"/>
    <w:rsid w:val="00D1062D"/>
    <w:rsid w:val="00D1205B"/>
    <w:rsid w:val="00D13576"/>
    <w:rsid w:val="00D13E55"/>
    <w:rsid w:val="00D13EE0"/>
    <w:rsid w:val="00D1493C"/>
    <w:rsid w:val="00D14B49"/>
    <w:rsid w:val="00D14F73"/>
    <w:rsid w:val="00D16882"/>
    <w:rsid w:val="00D17618"/>
    <w:rsid w:val="00D17C3F"/>
    <w:rsid w:val="00D207D6"/>
    <w:rsid w:val="00D20C6C"/>
    <w:rsid w:val="00D23621"/>
    <w:rsid w:val="00D238BB"/>
    <w:rsid w:val="00D23CE5"/>
    <w:rsid w:val="00D2447A"/>
    <w:rsid w:val="00D24518"/>
    <w:rsid w:val="00D258EC"/>
    <w:rsid w:val="00D259F8"/>
    <w:rsid w:val="00D25C36"/>
    <w:rsid w:val="00D26CC9"/>
    <w:rsid w:val="00D26DDA"/>
    <w:rsid w:val="00D273E1"/>
    <w:rsid w:val="00D27403"/>
    <w:rsid w:val="00D305C0"/>
    <w:rsid w:val="00D30AE6"/>
    <w:rsid w:val="00D32374"/>
    <w:rsid w:val="00D3301D"/>
    <w:rsid w:val="00D33048"/>
    <w:rsid w:val="00D33F7F"/>
    <w:rsid w:val="00D343BE"/>
    <w:rsid w:val="00D347E3"/>
    <w:rsid w:val="00D34957"/>
    <w:rsid w:val="00D34CEC"/>
    <w:rsid w:val="00D351B6"/>
    <w:rsid w:val="00D35535"/>
    <w:rsid w:val="00D35817"/>
    <w:rsid w:val="00D35EC0"/>
    <w:rsid w:val="00D35EEF"/>
    <w:rsid w:val="00D37592"/>
    <w:rsid w:val="00D405E9"/>
    <w:rsid w:val="00D41673"/>
    <w:rsid w:val="00D41BBE"/>
    <w:rsid w:val="00D41D73"/>
    <w:rsid w:val="00D42453"/>
    <w:rsid w:val="00D4263B"/>
    <w:rsid w:val="00D42991"/>
    <w:rsid w:val="00D4301D"/>
    <w:rsid w:val="00D43BC8"/>
    <w:rsid w:val="00D44264"/>
    <w:rsid w:val="00D442F5"/>
    <w:rsid w:val="00D443D5"/>
    <w:rsid w:val="00D45482"/>
    <w:rsid w:val="00D461BF"/>
    <w:rsid w:val="00D46FE5"/>
    <w:rsid w:val="00D473BF"/>
    <w:rsid w:val="00D474EE"/>
    <w:rsid w:val="00D508E8"/>
    <w:rsid w:val="00D5105B"/>
    <w:rsid w:val="00D5151F"/>
    <w:rsid w:val="00D516F5"/>
    <w:rsid w:val="00D52A7C"/>
    <w:rsid w:val="00D53023"/>
    <w:rsid w:val="00D55405"/>
    <w:rsid w:val="00D55433"/>
    <w:rsid w:val="00D55B21"/>
    <w:rsid w:val="00D55C01"/>
    <w:rsid w:val="00D566A9"/>
    <w:rsid w:val="00D568DA"/>
    <w:rsid w:val="00D5725A"/>
    <w:rsid w:val="00D57A77"/>
    <w:rsid w:val="00D60288"/>
    <w:rsid w:val="00D602B3"/>
    <w:rsid w:val="00D608E8"/>
    <w:rsid w:val="00D61094"/>
    <w:rsid w:val="00D62226"/>
    <w:rsid w:val="00D62420"/>
    <w:rsid w:val="00D626FA"/>
    <w:rsid w:val="00D627C9"/>
    <w:rsid w:val="00D648E3"/>
    <w:rsid w:val="00D665AA"/>
    <w:rsid w:val="00D668C4"/>
    <w:rsid w:val="00D672AC"/>
    <w:rsid w:val="00D6794A"/>
    <w:rsid w:val="00D67992"/>
    <w:rsid w:val="00D67F2F"/>
    <w:rsid w:val="00D67F91"/>
    <w:rsid w:val="00D703DE"/>
    <w:rsid w:val="00D72838"/>
    <w:rsid w:val="00D729D5"/>
    <w:rsid w:val="00D72AED"/>
    <w:rsid w:val="00D73C37"/>
    <w:rsid w:val="00D73C44"/>
    <w:rsid w:val="00D743EE"/>
    <w:rsid w:val="00D74417"/>
    <w:rsid w:val="00D745AA"/>
    <w:rsid w:val="00D75A82"/>
    <w:rsid w:val="00D75B95"/>
    <w:rsid w:val="00D75E0B"/>
    <w:rsid w:val="00D75F23"/>
    <w:rsid w:val="00D76206"/>
    <w:rsid w:val="00D76395"/>
    <w:rsid w:val="00D7743A"/>
    <w:rsid w:val="00D77A59"/>
    <w:rsid w:val="00D77CF2"/>
    <w:rsid w:val="00D80221"/>
    <w:rsid w:val="00D80768"/>
    <w:rsid w:val="00D80BF3"/>
    <w:rsid w:val="00D811FB"/>
    <w:rsid w:val="00D8140E"/>
    <w:rsid w:val="00D82F40"/>
    <w:rsid w:val="00D839B8"/>
    <w:rsid w:val="00D84C82"/>
    <w:rsid w:val="00D84F87"/>
    <w:rsid w:val="00D85370"/>
    <w:rsid w:val="00D85407"/>
    <w:rsid w:val="00D85CC8"/>
    <w:rsid w:val="00D86893"/>
    <w:rsid w:val="00D87445"/>
    <w:rsid w:val="00D87A17"/>
    <w:rsid w:val="00D87C27"/>
    <w:rsid w:val="00D904FF"/>
    <w:rsid w:val="00D911AE"/>
    <w:rsid w:val="00D91738"/>
    <w:rsid w:val="00D91FAE"/>
    <w:rsid w:val="00D925E6"/>
    <w:rsid w:val="00D937AB"/>
    <w:rsid w:val="00D9383C"/>
    <w:rsid w:val="00D93E04"/>
    <w:rsid w:val="00D94922"/>
    <w:rsid w:val="00D94C7D"/>
    <w:rsid w:val="00D94D65"/>
    <w:rsid w:val="00D959D6"/>
    <w:rsid w:val="00D960C3"/>
    <w:rsid w:val="00D9624B"/>
    <w:rsid w:val="00D96300"/>
    <w:rsid w:val="00D96663"/>
    <w:rsid w:val="00D97344"/>
    <w:rsid w:val="00D9763C"/>
    <w:rsid w:val="00D97AE7"/>
    <w:rsid w:val="00D97ED9"/>
    <w:rsid w:val="00DA0393"/>
    <w:rsid w:val="00DA04E5"/>
    <w:rsid w:val="00DA1B23"/>
    <w:rsid w:val="00DA1D1C"/>
    <w:rsid w:val="00DA2216"/>
    <w:rsid w:val="00DA23E0"/>
    <w:rsid w:val="00DA2D1B"/>
    <w:rsid w:val="00DA3D0B"/>
    <w:rsid w:val="00DA4353"/>
    <w:rsid w:val="00DA455A"/>
    <w:rsid w:val="00DA4D17"/>
    <w:rsid w:val="00DA5B13"/>
    <w:rsid w:val="00DA6415"/>
    <w:rsid w:val="00DA64F5"/>
    <w:rsid w:val="00DA673C"/>
    <w:rsid w:val="00DA6760"/>
    <w:rsid w:val="00DA6B30"/>
    <w:rsid w:val="00DA6F60"/>
    <w:rsid w:val="00DA7A12"/>
    <w:rsid w:val="00DB0845"/>
    <w:rsid w:val="00DB2278"/>
    <w:rsid w:val="00DB2423"/>
    <w:rsid w:val="00DB2ABF"/>
    <w:rsid w:val="00DB2F62"/>
    <w:rsid w:val="00DB3338"/>
    <w:rsid w:val="00DB3543"/>
    <w:rsid w:val="00DB4710"/>
    <w:rsid w:val="00DB5D9F"/>
    <w:rsid w:val="00DB62E8"/>
    <w:rsid w:val="00DB674A"/>
    <w:rsid w:val="00DB685F"/>
    <w:rsid w:val="00DB7789"/>
    <w:rsid w:val="00DB7D96"/>
    <w:rsid w:val="00DB7DA5"/>
    <w:rsid w:val="00DC133C"/>
    <w:rsid w:val="00DC14A6"/>
    <w:rsid w:val="00DC14C3"/>
    <w:rsid w:val="00DC1EE7"/>
    <w:rsid w:val="00DC2520"/>
    <w:rsid w:val="00DC28A5"/>
    <w:rsid w:val="00DC2CE0"/>
    <w:rsid w:val="00DC2CEC"/>
    <w:rsid w:val="00DC2ED9"/>
    <w:rsid w:val="00DC361F"/>
    <w:rsid w:val="00DC3EBC"/>
    <w:rsid w:val="00DC3F09"/>
    <w:rsid w:val="00DC3F41"/>
    <w:rsid w:val="00DC4467"/>
    <w:rsid w:val="00DC4CC5"/>
    <w:rsid w:val="00DC52E4"/>
    <w:rsid w:val="00DC5633"/>
    <w:rsid w:val="00DC5F8F"/>
    <w:rsid w:val="00DC6FAA"/>
    <w:rsid w:val="00DC7DEA"/>
    <w:rsid w:val="00DD0406"/>
    <w:rsid w:val="00DD0673"/>
    <w:rsid w:val="00DD086D"/>
    <w:rsid w:val="00DD12EA"/>
    <w:rsid w:val="00DD14B2"/>
    <w:rsid w:val="00DD2C64"/>
    <w:rsid w:val="00DD3028"/>
    <w:rsid w:val="00DD377E"/>
    <w:rsid w:val="00DD4B0C"/>
    <w:rsid w:val="00DD4E79"/>
    <w:rsid w:val="00DD5382"/>
    <w:rsid w:val="00DD5B6C"/>
    <w:rsid w:val="00DD6897"/>
    <w:rsid w:val="00DD6F64"/>
    <w:rsid w:val="00DD7707"/>
    <w:rsid w:val="00DE04E1"/>
    <w:rsid w:val="00DE096A"/>
    <w:rsid w:val="00DE0986"/>
    <w:rsid w:val="00DE0C80"/>
    <w:rsid w:val="00DE1EF0"/>
    <w:rsid w:val="00DE258E"/>
    <w:rsid w:val="00DE2AE5"/>
    <w:rsid w:val="00DE2B77"/>
    <w:rsid w:val="00DE3462"/>
    <w:rsid w:val="00DE3CE1"/>
    <w:rsid w:val="00DE3F45"/>
    <w:rsid w:val="00DE4921"/>
    <w:rsid w:val="00DE5342"/>
    <w:rsid w:val="00DE5E45"/>
    <w:rsid w:val="00DE6D67"/>
    <w:rsid w:val="00DE725B"/>
    <w:rsid w:val="00DE7BE0"/>
    <w:rsid w:val="00DF02AA"/>
    <w:rsid w:val="00DF04B5"/>
    <w:rsid w:val="00DF050A"/>
    <w:rsid w:val="00DF0B39"/>
    <w:rsid w:val="00DF0CB9"/>
    <w:rsid w:val="00DF0D72"/>
    <w:rsid w:val="00DF1371"/>
    <w:rsid w:val="00DF1802"/>
    <w:rsid w:val="00DF207A"/>
    <w:rsid w:val="00DF273B"/>
    <w:rsid w:val="00DF2D26"/>
    <w:rsid w:val="00DF3CE5"/>
    <w:rsid w:val="00DF3D75"/>
    <w:rsid w:val="00DF4F50"/>
    <w:rsid w:val="00DF600B"/>
    <w:rsid w:val="00DF63AC"/>
    <w:rsid w:val="00DF6AC2"/>
    <w:rsid w:val="00DF7C9D"/>
    <w:rsid w:val="00DF7DA3"/>
    <w:rsid w:val="00E01895"/>
    <w:rsid w:val="00E01A77"/>
    <w:rsid w:val="00E01C7F"/>
    <w:rsid w:val="00E02E63"/>
    <w:rsid w:val="00E03707"/>
    <w:rsid w:val="00E04326"/>
    <w:rsid w:val="00E0464F"/>
    <w:rsid w:val="00E04CFE"/>
    <w:rsid w:val="00E05B86"/>
    <w:rsid w:val="00E06747"/>
    <w:rsid w:val="00E07364"/>
    <w:rsid w:val="00E076CA"/>
    <w:rsid w:val="00E100FE"/>
    <w:rsid w:val="00E106AF"/>
    <w:rsid w:val="00E10D2F"/>
    <w:rsid w:val="00E113C0"/>
    <w:rsid w:val="00E11A91"/>
    <w:rsid w:val="00E11C8D"/>
    <w:rsid w:val="00E12977"/>
    <w:rsid w:val="00E12B26"/>
    <w:rsid w:val="00E12FEE"/>
    <w:rsid w:val="00E13232"/>
    <w:rsid w:val="00E13987"/>
    <w:rsid w:val="00E14961"/>
    <w:rsid w:val="00E15C56"/>
    <w:rsid w:val="00E162A6"/>
    <w:rsid w:val="00E1647E"/>
    <w:rsid w:val="00E166B6"/>
    <w:rsid w:val="00E16C31"/>
    <w:rsid w:val="00E16C66"/>
    <w:rsid w:val="00E17BC2"/>
    <w:rsid w:val="00E17D89"/>
    <w:rsid w:val="00E208D9"/>
    <w:rsid w:val="00E20B75"/>
    <w:rsid w:val="00E213FC"/>
    <w:rsid w:val="00E2243C"/>
    <w:rsid w:val="00E22B9C"/>
    <w:rsid w:val="00E23463"/>
    <w:rsid w:val="00E23585"/>
    <w:rsid w:val="00E23959"/>
    <w:rsid w:val="00E23B07"/>
    <w:rsid w:val="00E243B4"/>
    <w:rsid w:val="00E24868"/>
    <w:rsid w:val="00E2571C"/>
    <w:rsid w:val="00E26072"/>
    <w:rsid w:val="00E26AB3"/>
    <w:rsid w:val="00E278F4"/>
    <w:rsid w:val="00E3205B"/>
    <w:rsid w:val="00E330E1"/>
    <w:rsid w:val="00E33834"/>
    <w:rsid w:val="00E33FAD"/>
    <w:rsid w:val="00E34225"/>
    <w:rsid w:val="00E349E6"/>
    <w:rsid w:val="00E35BC8"/>
    <w:rsid w:val="00E378B9"/>
    <w:rsid w:val="00E40031"/>
    <w:rsid w:val="00E40216"/>
    <w:rsid w:val="00E4044E"/>
    <w:rsid w:val="00E407B6"/>
    <w:rsid w:val="00E413E3"/>
    <w:rsid w:val="00E4141B"/>
    <w:rsid w:val="00E42047"/>
    <w:rsid w:val="00E44127"/>
    <w:rsid w:val="00E4419C"/>
    <w:rsid w:val="00E442C3"/>
    <w:rsid w:val="00E4496C"/>
    <w:rsid w:val="00E45647"/>
    <w:rsid w:val="00E45C00"/>
    <w:rsid w:val="00E46AB5"/>
    <w:rsid w:val="00E46D48"/>
    <w:rsid w:val="00E507A5"/>
    <w:rsid w:val="00E50EA1"/>
    <w:rsid w:val="00E5173A"/>
    <w:rsid w:val="00E51E27"/>
    <w:rsid w:val="00E522E1"/>
    <w:rsid w:val="00E524EF"/>
    <w:rsid w:val="00E52672"/>
    <w:rsid w:val="00E53F18"/>
    <w:rsid w:val="00E54A4F"/>
    <w:rsid w:val="00E55595"/>
    <w:rsid w:val="00E55EAF"/>
    <w:rsid w:val="00E575EE"/>
    <w:rsid w:val="00E57A9A"/>
    <w:rsid w:val="00E57C23"/>
    <w:rsid w:val="00E60783"/>
    <w:rsid w:val="00E60D22"/>
    <w:rsid w:val="00E60D47"/>
    <w:rsid w:val="00E62C52"/>
    <w:rsid w:val="00E63554"/>
    <w:rsid w:val="00E6432E"/>
    <w:rsid w:val="00E64973"/>
    <w:rsid w:val="00E649E4"/>
    <w:rsid w:val="00E666E3"/>
    <w:rsid w:val="00E66FE2"/>
    <w:rsid w:val="00E67061"/>
    <w:rsid w:val="00E7027F"/>
    <w:rsid w:val="00E7158E"/>
    <w:rsid w:val="00E71841"/>
    <w:rsid w:val="00E7190E"/>
    <w:rsid w:val="00E71C36"/>
    <w:rsid w:val="00E7222F"/>
    <w:rsid w:val="00E72B55"/>
    <w:rsid w:val="00E72DD8"/>
    <w:rsid w:val="00E72E7C"/>
    <w:rsid w:val="00E7715A"/>
    <w:rsid w:val="00E7774A"/>
    <w:rsid w:val="00E779BE"/>
    <w:rsid w:val="00E80508"/>
    <w:rsid w:val="00E8197A"/>
    <w:rsid w:val="00E82034"/>
    <w:rsid w:val="00E821F7"/>
    <w:rsid w:val="00E8231A"/>
    <w:rsid w:val="00E82572"/>
    <w:rsid w:val="00E827BE"/>
    <w:rsid w:val="00E82F04"/>
    <w:rsid w:val="00E83902"/>
    <w:rsid w:val="00E83D1D"/>
    <w:rsid w:val="00E83E2E"/>
    <w:rsid w:val="00E84045"/>
    <w:rsid w:val="00E841F9"/>
    <w:rsid w:val="00E8474B"/>
    <w:rsid w:val="00E85700"/>
    <w:rsid w:val="00E85BFC"/>
    <w:rsid w:val="00E86911"/>
    <w:rsid w:val="00E9151D"/>
    <w:rsid w:val="00E9182F"/>
    <w:rsid w:val="00E92751"/>
    <w:rsid w:val="00E92890"/>
    <w:rsid w:val="00E92FA3"/>
    <w:rsid w:val="00E93235"/>
    <w:rsid w:val="00E934A3"/>
    <w:rsid w:val="00E93B37"/>
    <w:rsid w:val="00E94501"/>
    <w:rsid w:val="00E9465F"/>
    <w:rsid w:val="00E95251"/>
    <w:rsid w:val="00E95BA0"/>
    <w:rsid w:val="00E963C3"/>
    <w:rsid w:val="00E970A8"/>
    <w:rsid w:val="00E970F3"/>
    <w:rsid w:val="00E9726F"/>
    <w:rsid w:val="00E97418"/>
    <w:rsid w:val="00E9751F"/>
    <w:rsid w:val="00E9773F"/>
    <w:rsid w:val="00E978F9"/>
    <w:rsid w:val="00E97CBF"/>
    <w:rsid w:val="00EA088B"/>
    <w:rsid w:val="00EA0E76"/>
    <w:rsid w:val="00EA18AA"/>
    <w:rsid w:val="00EA25B9"/>
    <w:rsid w:val="00EA2D35"/>
    <w:rsid w:val="00EA2FD2"/>
    <w:rsid w:val="00EA3B0E"/>
    <w:rsid w:val="00EA5B15"/>
    <w:rsid w:val="00EA613B"/>
    <w:rsid w:val="00EA6A3D"/>
    <w:rsid w:val="00EB0352"/>
    <w:rsid w:val="00EB0858"/>
    <w:rsid w:val="00EB0907"/>
    <w:rsid w:val="00EB0B97"/>
    <w:rsid w:val="00EB0F7F"/>
    <w:rsid w:val="00EB10FA"/>
    <w:rsid w:val="00EB1402"/>
    <w:rsid w:val="00EB17FE"/>
    <w:rsid w:val="00EB22F2"/>
    <w:rsid w:val="00EB23BF"/>
    <w:rsid w:val="00EB279E"/>
    <w:rsid w:val="00EB2E2E"/>
    <w:rsid w:val="00EB2EC6"/>
    <w:rsid w:val="00EB341C"/>
    <w:rsid w:val="00EB34E7"/>
    <w:rsid w:val="00EB368C"/>
    <w:rsid w:val="00EB4989"/>
    <w:rsid w:val="00EB6D73"/>
    <w:rsid w:val="00EB6E53"/>
    <w:rsid w:val="00EB780C"/>
    <w:rsid w:val="00EC1121"/>
    <w:rsid w:val="00EC1277"/>
    <w:rsid w:val="00EC15E1"/>
    <w:rsid w:val="00EC190B"/>
    <w:rsid w:val="00EC19C4"/>
    <w:rsid w:val="00EC20E3"/>
    <w:rsid w:val="00EC216E"/>
    <w:rsid w:val="00EC21D7"/>
    <w:rsid w:val="00EC25EB"/>
    <w:rsid w:val="00EC417A"/>
    <w:rsid w:val="00EC51C2"/>
    <w:rsid w:val="00EC53F9"/>
    <w:rsid w:val="00EC55FF"/>
    <w:rsid w:val="00EC5A0A"/>
    <w:rsid w:val="00EC6819"/>
    <w:rsid w:val="00EC6BC7"/>
    <w:rsid w:val="00EC6E3A"/>
    <w:rsid w:val="00ED02B5"/>
    <w:rsid w:val="00ED17C1"/>
    <w:rsid w:val="00ED28C2"/>
    <w:rsid w:val="00ED3F08"/>
    <w:rsid w:val="00ED5228"/>
    <w:rsid w:val="00ED54F2"/>
    <w:rsid w:val="00ED5BA9"/>
    <w:rsid w:val="00ED61CF"/>
    <w:rsid w:val="00ED6808"/>
    <w:rsid w:val="00ED7C7F"/>
    <w:rsid w:val="00ED7F42"/>
    <w:rsid w:val="00EE0DB6"/>
    <w:rsid w:val="00EE2063"/>
    <w:rsid w:val="00EE2538"/>
    <w:rsid w:val="00EE4191"/>
    <w:rsid w:val="00EE4898"/>
    <w:rsid w:val="00EE5F41"/>
    <w:rsid w:val="00EE6D77"/>
    <w:rsid w:val="00EE7B8D"/>
    <w:rsid w:val="00EE7C60"/>
    <w:rsid w:val="00EF0043"/>
    <w:rsid w:val="00EF01DE"/>
    <w:rsid w:val="00EF0780"/>
    <w:rsid w:val="00EF0AD1"/>
    <w:rsid w:val="00EF0B64"/>
    <w:rsid w:val="00EF0BEB"/>
    <w:rsid w:val="00EF0EFE"/>
    <w:rsid w:val="00EF1EDF"/>
    <w:rsid w:val="00EF28A3"/>
    <w:rsid w:val="00EF2E65"/>
    <w:rsid w:val="00EF34F7"/>
    <w:rsid w:val="00EF38D3"/>
    <w:rsid w:val="00EF3E71"/>
    <w:rsid w:val="00EF5300"/>
    <w:rsid w:val="00EF5457"/>
    <w:rsid w:val="00EF615B"/>
    <w:rsid w:val="00EF6839"/>
    <w:rsid w:val="00EF6DFC"/>
    <w:rsid w:val="00EF713E"/>
    <w:rsid w:val="00F00411"/>
    <w:rsid w:val="00F0136E"/>
    <w:rsid w:val="00F021A1"/>
    <w:rsid w:val="00F032D7"/>
    <w:rsid w:val="00F04319"/>
    <w:rsid w:val="00F05273"/>
    <w:rsid w:val="00F05552"/>
    <w:rsid w:val="00F056D6"/>
    <w:rsid w:val="00F0693D"/>
    <w:rsid w:val="00F06A07"/>
    <w:rsid w:val="00F07D62"/>
    <w:rsid w:val="00F11FC1"/>
    <w:rsid w:val="00F120A8"/>
    <w:rsid w:val="00F1293F"/>
    <w:rsid w:val="00F12ADA"/>
    <w:rsid w:val="00F133F4"/>
    <w:rsid w:val="00F158AD"/>
    <w:rsid w:val="00F16038"/>
    <w:rsid w:val="00F17110"/>
    <w:rsid w:val="00F178BE"/>
    <w:rsid w:val="00F17BD2"/>
    <w:rsid w:val="00F20575"/>
    <w:rsid w:val="00F20918"/>
    <w:rsid w:val="00F20C03"/>
    <w:rsid w:val="00F22200"/>
    <w:rsid w:val="00F22829"/>
    <w:rsid w:val="00F22ADE"/>
    <w:rsid w:val="00F230FB"/>
    <w:rsid w:val="00F2340D"/>
    <w:rsid w:val="00F23F5E"/>
    <w:rsid w:val="00F24647"/>
    <w:rsid w:val="00F24DBA"/>
    <w:rsid w:val="00F25366"/>
    <w:rsid w:val="00F25663"/>
    <w:rsid w:val="00F25A6D"/>
    <w:rsid w:val="00F25FA2"/>
    <w:rsid w:val="00F269FF"/>
    <w:rsid w:val="00F26C29"/>
    <w:rsid w:val="00F274CF"/>
    <w:rsid w:val="00F2787D"/>
    <w:rsid w:val="00F30273"/>
    <w:rsid w:val="00F30287"/>
    <w:rsid w:val="00F30BE7"/>
    <w:rsid w:val="00F31058"/>
    <w:rsid w:val="00F31DE6"/>
    <w:rsid w:val="00F31FCA"/>
    <w:rsid w:val="00F3202F"/>
    <w:rsid w:val="00F32664"/>
    <w:rsid w:val="00F32CE8"/>
    <w:rsid w:val="00F331BD"/>
    <w:rsid w:val="00F33208"/>
    <w:rsid w:val="00F3392E"/>
    <w:rsid w:val="00F33E4E"/>
    <w:rsid w:val="00F34EAF"/>
    <w:rsid w:val="00F35624"/>
    <w:rsid w:val="00F362BB"/>
    <w:rsid w:val="00F371A2"/>
    <w:rsid w:val="00F377DC"/>
    <w:rsid w:val="00F378B8"/>
    <w:rsid w:val="00F37B34"/>
    <w:rsid w:val="00F37F79"/>
    <w:rsid w:val="00F4048C"/>
    <w:rsid w:val="00F40870"/>
    <w:rsid w:val="00F421E3"/>
    <w:rsid w:val="00F42A36"/>
    <w:rsid w:val="00F44F75"/>
    <w:rsid w:val="00F454CE"/>
    <w:rsid w:val="00F476DC"/>
    <w:rsid w:val="00F500F4"/>
    <w:rsid w:val="00F53919"/>
    <w:rsid w:val="00F53C55"/>
    <w:rsid w:val="00F53E02"/>
    <w:rsid w:val="00F54546"/>
    <w:rsid w:val="00F54A76"/>
    <w:rsid w:val="00F54BB1"/>
    <w:rsid w:val="00F54DE6"/>
    <w:rsid w:val="00F552D4"/>
    <w:rsid w:val="00F557CF"/>
    <w:rsid w:val="00F5585D"/>
    <w:rsid w:val="00F5592F"/>
    <w:rsid w:val="00F56ADF"/>
    <w:rsid w:val="00F56BFC"/>
    <w:rsid w:val="00F57E0E"/>
    <w:rsid w:val="00F60E3B"/>
    <w:rsid w:val="00F610F0"/>
    <w:rsid w:val="00F61427"/>
    <w:rsid w:val="00F61437"/>
    <w:rsid w:val="00F61BD2"/>
    <w:rsid w:val="00F6203F"/>
    <w:rsid w:val="00F632B7"/>
    <w:rsid w:val="00F63D24"/>
    <w:rsid w:val="00F65154"/>
    <w:rsid w:val="00F653D4"/>
    <w:rsid w:val="00F655A9"/>
    <w:rsid w:val="00F659BC"/>
    <w:rsid w:val="00F65A78"/>
    <w:rsid w:val="00F65B94"/>
    <w:rsid w:val="00F66999"/>
    <w:rsid w:val="00F67157"/>
    <w:rsid w:val="00F674CC"/>
    <w:rsid w:val="00F720A0"/>
    <w:rsid w:val="00F72AF2"/>
    <w:rsid w:val="00F730B3"/>
    <w:rsid w:val="00F734FD"/>
    <w:rsid w:val="00F742DF"/>
    <w:rsid w:val="00F744B4"/>
    <w:rsid w:val="00F7461F"/>
    <w:rsid w:val="00F76B45"/>
    <w:rsid w:val="00F76D83"/>
    <w:rsid w:val="00F77202"/>
    <w:rsid w:val="00F772F6"/>
    <w:rsid w:val="00F77F4F"/>
    <w:rsid w:val="00F800BB"/>
    <w:rsid w:val="00F81172"/>
    <w:rsid w:val="00F8123F"/>
    <w:rsid w:val="00F83B03"/>
    <w:rsid w:val="00F83DB5"/>
    <w:rsid w:val="00F83F19"/>
    <w:rsid w:val="00F850B1"/>
    <w:rsid w:val="00F852E0"/>
    <w:rsid w:val="00F854B1"/>
    <w:rsid w:val="00F856DA"/>
    <w:rsid w:val="00F86052"/>
    <w:rsid w:val="00F8606D"/>
    <w:rsid w:val="00F8722A"/>
    <w:rsid w:val="00F9045A"/>
    <w:rsid w:val="00F90F34"/>
    <w:rsid w:val="00F916B0"/>
    <w:rsid w:val="00F92036"/>
    <w:rsid w:val="00F9208B"/>
    <w:rsid w:val="00F92B8E"/>
    <w:rsid w:val="00F93417"/>
    <w:rsid w:val="00F9349F"/>
    <w:rsid w:val="00F950D1"/>
    <w:rsid w:val="00F95133"/>
    <w:rsid w:val="00F95625"/>
    <w:rsid w:val="00F96184"/>
    <w:rsid w:val="00F96BED"/>
    <w:rsid w:val="00F97367"/>
    <w:rsid w:val="00F97ACA"/>
    <w:rsid w:val="00FA0D34"/>
    <w:rsid w:val="00FA18E6"/>
    <w:rsid w:val="00FA1E1A"/>
    <w:rsid w:val="00FA2B02"/>
    <w:rsid w:val="00FA3139"/>
    <w:rsid w:val="00FA4CD1"/>
    <w:rsid w:val="00FA51D2"/>
    <w:rsid w:val="00FA54A2"/>
    <w:rsid w:val="00FA59C2"/>
    <w:rsid w:val="00FA5DDF"/>
    <w:rsid w:val="00FA69A4"/>
    <w:rsid w:val="00FA6CBA"/>
    <w:rsid w:val="00FA719C"/>
    <w:rsid w:val="00FB0847"/>
    <w:rsid w:val="00FB17EB"/>
    <w:rsid w:val="00FB2235"/>
    <w:rsid w:val="00FB27B2"/>
    <w:rsid w:val="00FB3C9B"/>
    <w:rsid w:val="00FB44E5"/>
    <w:rsid w:val="00FB45AE"/>
    <w:rsid w:val="00FB46AF"/>
    <w:rsid w:val="00FB47F9"/>
    <w:rsid w:val="00FB5657"/>
    <w:rsid w:val="00FB5F4A"/>
    <w:rsid w:val="00FB629D"/>
    <w:rsid w:val="00FB6390"/>
    <w:rsid w:val="00FB685B"/>
    <w:rsid w:val="00FB6BF6"/>
    <w:rsid w:val="00FB6DDB"/>
    <w:rsid w:val="00FB75D4"/>
    <w:rsid w:val="00FB781F"/>
    <w:rsid w:val="00FB7AB1"/>
    <w:rsid w:val="00FB7FD1"/>
    <w:rsid w:val="00FC0126"/>
    <w:rsid w:val="00FC0756"/>
    <w:rsid w:val="00FC08DB"/>
    <w:rsid w:val="00FC0A96"/>
    <w:rsid w:val="00FC22B2"/>
    <w:rsid w:val="00FC2C08"/>
    <w:rsid w:val="00FC4362"/>
    <w:rsid w:val="00FC54C5"/>
    <w:rsid w:val="00FC6C4F"/>
    <w:rsid w:val="00FC7BBA"/>
    <w:rsid w:val="00FD01DC"/>
    <w:rsid w:val="00FD0D6F"/>
    <w:rsid w:val="00FD1663"/>
    <w:rsid w:val="00FD1773"/>
    <w:rsid w:val="00FD1C90"/>
    <w:rsid w:val="00FD5109"/>
    <w:rsid w:val="00FD549C"/>
    <w:rsid w:val="00FD623B"/>
    <w:rsid w:val="00FD660B"/>
    <w:rsid w:val="00FD6DC4"/>
    <w:rsid w:val="00FE106F"/>
    <w:rsid w:val="00FE1158"/>
    <w:rsid w:val="00FE12FB"/>
    <w:rsid w:val="00FE1534"/>
    <w:rsid w:val="00FE19B6"/>
    <w:rsid w:val="00FE246A"/>
    <w:rsid w:val="00FE2487"/>
    <w:rsid w:val="00FE2507"/>
    <w:rsid w:val="00FE2CCD"/>
    <w:rsid w:val="00FE2EBA"/>
    <w:rsid w:val="00FE2F60"/>
    <w:rsid w:val="00FE5BC0"/>
    <w:rsid w:val="00FE5E53"/>
    <w:rsid w:val="00FE5F0B"/>
    <w:rsid w:val="00FE6475"/>
    <w:rsid w:val="00FE6C8C"/>
    <w:rsid w:val="00FE771A"/>
    <w:rsid w:val="00FE7E47"/>
    <w:rsid w:val="00FF00B0"/>
    <w:rsid w:val="00FF040B"/>
    <w:rsid w:val="00FF0DA0"/>
    <w:rsid w:val="00FF100D"/>
    <w:rsid w:val="00FF1A6F"/>
    <w:rsid w:val="00FF1BD4"/>
    <w:rsid w:val="00FF26A1"/>
    <w:rsid w:val="00FF3034"/>
    <w:rsid w:val="00FF33B3"/>
    <w:rsid w:val="00FF4514"/>
    <w:rsid w:val="00FF4E47"/>
    <w:rsid w:val="00FF5D17"/>
    <w:rsid w:val="00FF6C80"/>
    <w:rsid w:val="00FF7668"/>
    <w:rsid w:val="00FF77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header" w:locked="1" w:semiHidden="1" w:uiPriority="99" w:unhideWhenUsed="1"/>
    <w:lsdException w:name="caption" w:locked="1" w:uiPriority="35" w:qFormat="1"/>
    <w:lsdException w:name="footnote reference" w:locked="1" w:semiHidden="1" w:uiPriority="99" w:unhideWhenUsed="1"/>
    <w:lsdException w:name="line number" w:locked="1" w:semiHidden="1" w:uiPriority="99" w:unhideWhenUsed="1"/>
    <w:lsdException w:name="endnote reference" w:locked="1" w:semiHidden="1" w:uiPriority="99" w:unhideWhenUsed="1"/>
    <w:lsdException w:name="Title" w:locked="1" w:uiPriority="10" w:qFormat="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HTML Acronym"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rPr>
  </w:style>
  <w:style w:type="paragraph" w:styleId="Heading1">
    <w:name w:val="heading 1"/>
    <w:basedOn w:val="Normal"/>
    <w:next w:val="FERCparanumber"/>
    <w:link w:val="Heading1Char"/>
    <w:uiPriority w:val="99"/>
    <w:qFormat/>
    <w:rsid w:val="002A4F39"/>
    <w:pPr>
      <w:keepNext/>
      <w:keepLines/>
      <w:widowControl/>
      <w:spacing w:after="260"/>
      <w:outlineLvl w:val="0"/>
    </w:pPr>
    <w:rPr>
      <w:b/>
      <w:bCs/>
      <w:kern w:val="32"/>
      <w:szCs w:val="32"/>
      <w:u w:val="single"/>
    </w:rPr>
  </w:style>
  <w:style w:type="paragraph" w:styleId="Heading2">
    <w:name w:val="heading 2"/>
    <w:basedOn w:val="Normal"/>
    <w:next w:val="FERCparanumber"/>
    <w:link w:val="Heading2Char"/>
    <w:uiPriority w:val="99"/>
    <w:qFormat/>
    <w:rsid w:val="002A4F39"/>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uiPriority w:val="99"/>
    <w:qFormat/>
    <w:rsid w:val="002A4F39"/>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uiPriority w:val="99"/>
    <w:qFormat/>
    <w:rsid w:val="002A4F39"/>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uiPriority w:val="99"/>
    <w:qFormat/>
    <w:rsid w:val="002A4F39"/>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uiPriority w:val="99"/>
    <w:qFormat/>
    <w:rsid w:val="002A4F39"/>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uiPriority w:val="99"/>
    <w:qFormat/>
    <w:rsid w:val="002A4F39"/>
    <w:pPr>
      <w:spacing w:after="260"/>
      <w:ind w:left="4320"/>
      <w:outlineLvl w:val="6"/>
    </w:pPr>
    <w:rPr>
      <w:b/>
      <w:kern w:val="32"/>
      <w:u w:val="single"/>
    </w:rPr>
  </w:style>
  <w:style w:type="paragraph" w:styleId="Heading8">
    <w:name w:val="heading 8"/>
    <w:basedOn w:val="Normal"/>
    <w:next w:val="FERCparanumber"/>
    <w:link w:val="Heading8Char"/>
    <w:uiPriority w:val="99"/>
    <w:qFormat/>
    <w:rsid w:val="002A4F39"/>
    <w:pPr>
      <w:keepNext/>
      <w:keepLines/>
      <w:widowControl/>
      <w:spacing w:after="260"/>
      <w:ind w:left="5040"/>
      <w:outlineLvl w:val="7"/>
    </w:pPr>
    <w:rPr>
      <w:b/>
      <w:iCs/>
      <w:kern w:val="32"/>
      <w:u w:val="single"/>
    </w:rPr>
  </w:style>
  <w:style w:type="paragraph" w:styleId="Heading9">
    <w:name w:val="heading 9"/>
    <w:basedOn w:val="Normal"/>
    <w:next w:val="FERCparanumber"/>
    <w:link w:val="Heading9Char"/>
    <w:uiPriority w:val="99"/>
    <w:qFormat/>
    <w:rsid w:val="002A4F39"/>
    <w:pPr>
      <w:keepNext/>
      <w:keepLines/>
      <w:widowControl/>
      <w:spacing w:after="260"/>
      <w:ind w:left="5760"/>
      <w:outlineLvl w:val="8"/>
    </w:pPr>
    <w:rPr>
      <w:b/>
      <w:kern w:val="32"/>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1152"/>
    <w:rPr>
      <w:rFonts w:cs="Times New Roman"/>
      <w:b/>
      <w:bCs/>
      <w:kern w:val="32"/>
      <w:sz w:val="32"/>
      <w:szCs w:val="32"/>
      <w:u w:val="single"/>
      <w:lang w:bidi="ar-SA"/>
    </w:rPr>
  </w:style>
  <w:style w:type="character" w:customStyle="1" w:styleId="Heading2Char">
    <w:name w:val="Heading 2 Char"/>
    <w:basedOn w:val="DefaultParagraphFont"/>
    <w:link w:val="Heading2"/>
    <w:uiPriority w:val="99"/>
    <w:locked/>
    <w:rsid w:val="00301152"/>
    <w:rPr>
      <w:rFonts w:cs="Times New Roman"/>
      <w:b/>
      <w:bCs/>
      <w:iCs/>
      <w:kern w:val="32"/>
      <w:sz w:val="28"/>
      <w:szCs w:val="28"/>
      <w:u w:val="single"/>
      <w:lang w:bidi="ar-SA"/>
    </w:rPr>
  </w:style>
  <w:style w:type="character" w:customStyle="1" w:styleId="Heading3Char">
    <w:name w:val="Heading 3 Char"/>
    <w:basedOn w:val="DefaultParagraphFont"/>
    <w:link w:val="Heading3"/>
    <w:uiPriority w:val="99"/>
    <w:locked/>
    <w:rsid w:val="00301152"/>
    <w:rPr>
      <w:rFonts w:cs="Times New Roman"/>
      <w:b/>
      <w:bCs/>
      <w:kern w:val="32"/>
      <w:sz w:val="26"/>
      <w:szCs w:val="26"/>
      <w:u w:val="single"/>
      <w:lang w:bidi="ar-SA"/>
    </w:rPr>
  </w:style>
  <w:style w:type="character" w:customStyle="1" w:styleId="Heading4Char">
    <w:name w:val="Heading 4 Char"/>
    <w:basedOn w:val="DefaultParagraphFont"/>
    <w:link w:val="Heading4"/>
    <w:uiPriority w:val="99"/>
    <w:locked/>
    <w:rsid w:val="00301152"/>
    <w:rPr>
      <w:rFonts w:cs="Times New Roman"/>
      <w:b/>
      <w:bCs/>
      <w:kern w:val="32"/>
      <w:sz w:val="28"/>
      <w:szCs w:val="28"/>
      <w:u w:val="single"/>
      <w:lang w:bidi="ar-SA"/>
    </w:rPr>
  </w:style>
  <w:style w:type="character" w:customStyle="1" w:styleId="Heading5Char">
    <w:name w:val="Heading 5 Char"/>
    <w:basedOn w:val="DefaultParagraphFont"/>
    <w:link w:val="Heading5"/>
    <w:uiPriority w:val="99"/>
    <w:locked/>
    <w:rsid w:val="00301152"/>
    <w:rPr>
      <w:rFonts w:cs="Times New Roman"/>
      <w:b/>
      <w:bCs/>
      <w:iCs/>
      <w:kern w:val="32"/>
      <w:sz w:val="26"/>
      <w:szCs w:val="26"/>
      <w:u w:val="single"/>
      <w:lang w:bidi="ar-SA"/>
    </w:rPr>
  </w:style>
  <w:style w:type="character" w:customStyle="1" w:styleId="Heading6Char">
    <w:name w:val="Heading 6 Char"/>
    <w:basedOn w:val="DefaultParagraphFont"/>
    <w:link w:val="Heading6"/>
    <w:uiPriority w:val="99"/>
    <w:locked/>
    <w:rsid w:val="00301152"/>
    <w:rPr>
      <w:rFonts w:cs="Times New Roman"/>
      <w:b/>
      <w:bCs/>
      <w:kern w:val="32"/>
      <w:sz w:val="22"/>
      <w:szCs w:val="22"/>
      <w:u w:val="single"/>
      <w:lang w:bidi="ar-SA"/>
    </w:rPr>
  </w:style>
  <w:style w:type="character" w:customStyle="1" w:styleId="Heading7Char">
    <w:name w:val="Heading 7 Char"/>
    <w:basedOn w:val="DefaultParagraphFont"/>
    <w:link w:val="Heading7"/>
    <w:uiPriority w:val="99"/>
    <w:locked/>
    <w:rsid w:val="00301152"/>
    <w:rPr>
      <w:rFonts w:cs="Times New Roman"/>
      <w:b/>
      <w:kern w:val="32"/>
      <w:sz w:val="24"/>
      <w:szCs w:val="24"/>
      <w:u w:val="single"/>
      <w:lang w:bidi="ar-SA"/>
    </w:rPr>
  </w:style>
  <w:style w:type="character" w:customStyle="1" w:styleId="Heading8Char">
    <w:name w:val="Heading 8 Char"/>
    <w:basedOn w:val="DefaultParagraphFont"/>
    <w:link w:val="Heading8"/>
    <w:uiPriority w:val="99"/>
    <w:locked/>
    <w:rsid w:val="00301152"/>
    <w:rPr>
      <w:rFonts w:cs="Times New Roman"/>
      <w:b/>
      <w:iCs/>
      <w:kern w:val="32"/>
      <w:sz w:val="24"/>
      <w:szCs w:val="24"/>
      <w:u w:val="single"/>
      <w:lang w:bidi="ar-SA"/>
    </w:rPr>
  </w:style>
  <w:style w:type="character" w:customStyle="1" w:styleId="Heading9Char">
    <w:name w:val="Heading 9 Char"/>
    <w:basedOn w:val="DefaultParagraphFont"/>
    <w:link w:val="Heading9"/>
    <w:uiPriority w:val="99"/>
    <w:locked/>
    <w:rsid w:val="00301152"/>
    <w:rPr>
      <w:rFonts w:cs="Times New Roman"/>
      <w:b/>
      <w:kern w:val="32"/>
      <w:sz w:val="22"/>
      <w:szCs w:val="22"/>
      <w:u w:val="single"/>
      <w:lang w:bidi="ar-SA"/>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basedOn w:val="DefaultParagraphFont"/>
    <w:uiPriority w:val="99"/>
    <w:rsid w:val="00301152"/>
    <w:rPr>
      <w:rFonts w:ascii="Times New Roman" w:hAnsi="Times New Roman" w:cs="Times New Roman"/>
      <w:b/>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character" w:customStyle="1" w:styleId="HeaderChar">
    <w:name w:val="Header Char"/>
    <w:basedOn w:val="DefaultParagraphFont"/>
    <w:link w:val="Header"/>
    <w:uiPriority w:val="99"/>
    <w:locked/>
    <w:rsid w:val="004900D1"/>
    <w:rPr>
      <w:rFonts w:cs="Times New Roman"/>
      <w:sz w:val="24"/>
      <w:szCs w:val="24"/>
      <w:lang w:bidi="ar-SA"/>
    </w:rPr>
  </w:style>
  <w:style w:type="paragraph" w:styleId="Footer">
    <w:name w:val="footer"/>
    <w:basedOn w:val="Normal"/>
    <w:link w:val="FooterChar"/>
    <w:uiPriority w:val="99"/>
    <w:rsid w:val="00301152"/>
    <w:pPr>
      <w:tabs>
        <w:tab w:val="center" w:pos="4320"/>
        <w:tab w:val="right" w:pos="8640"/>
      </w:tabs>
    </w:pPr>
  </w:style>
  <w:style w:type="character" w:customStyle="1" w:styleId="FooterChar">
    <w:name w:val="Footer Char"/>
    <w:basedOn w:val="DefaultParagraphFont"/>
    <w:link w:val="Footer"/>
    <w:uiPriority w:val="99"/>
    <w:semiHidden/>
    <w:rsid w:val="00B9719C"/>
    <w:rPr>
      <w:sz w:val="26"/>
      <w:szCs w:val="24"/>
    </w:rPr>
  </w:style>
  <w:style w:type="character" w:styleId="LineNumber">
    <w:name w:val="line number"/>
    <w:basedOn w:val="DefaultParagraphFont"/>
    <w:uiPriority w:val="99"/>
    <w:rsid w:val="00C31BFE"/>
    <w:rPr>
      <w:rFonts w:cs="Times New Roman"/>
    </w:rPr>
  </w:style>
  <w:style w:type="character" w:styleId="PageNumber">
    <w:name w:val="page number"/>
    <w:basedOn w:val="DefaultParagraphFont"/>
    <w:uiPriority w:val="99"/>
    <w:rsid w:val="00301152"/>
    <w:rPr>
      <w:rFonts w:cs="Times New Roman"/>
    </w:rPr>
  </w:style>
  <w:style w:type="table" w:styleId="TableGrid">
    <w:name w:val="Table Grid"/>
    <w:basedOn w:val="TableNormal"/>
    <w:uiPriority w:val="99"/>
    <w:rsid w:val="00301152"/>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011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FC3"/>
    <w:rPr>
      <w:rFonts w:ascii="Tahoma" w:hAnsi="Tahoma" w:cs="Tahoma"/>
      <w:sz w:val="16"/>
      <w:szCs w:val="16"/>
      <w:lang w:bidi="ar-SA"/>
    </w:rPr>
  </w:style>
  <w:style w:type="paragraph" w:styleId="Bibliography">
    <w:name w:val="Bibliography"/>
    <w:basedOn w:val="Normal"/>
    <w:next w:val="Normal"/>
    <w:uiPriority w:val="99"/>
    <w:semiHidden/>
    <w:rsid w:val="00301152"/>
  </w:style>
  <w:style w:type="paragraph" w:customStyle="1" w:styleId="BlockIndent">
    <w:name w:val="Block Indent"/>
    <w:basedOn w:val="Normal"/>
    <w:next w:val="Normal"/>
    <w:uiPriority w:val="99"/>
    <w:rsid w:val="00301152"/>
    <w:pPr>
      <w:widowControl/>
      <w:spacing w:after="240"/>
      <w:ind w:left="1440" w:right="1440"/>
    </w:pPr>
  </w:style>
  <w:style w:type="paragraph" w:styleId="BlockText">
    <w:name w:val="Block Text"/>
    <w:basedOn w:val="Normal"/>
    <w:uiPriority w:val="99"/>
    <w:rsid w:val="00301152"/>
    <w:pPr>
      <w:spacing w:after="120"/>
      <w:ind w:left="1440" w:right="1440"/>
    </w:pPr>
  </w:style>
  <w:style w:type="paragraph" w:styleId="FootnoteText">
    <w:name w:val="footnote text"/>
    <w:aliases w:val="Footnote Text Char,fn,Footnote Text Char1,Footnote Text Char Char,Footnote Text Char1 Char,Footnote Text Char Char Char,Footnote Text Char Char1,Footnote Text Char1 Char Char Char1,Footnote Text Char Char Char Char Char1,Footnote Text MRP"/>
    <w:basedOn w:val="Normal"/>
    <w:link w:val="FootnoteTextChar2"/>
    <w:uiPriority w:val="99"/>
    <w:rsid w:val="002A4F39"/>
    <w:pPr>
      <w:spacing w:after="260"/>
      <w:ind w:firstLine="720"/>
    </w:pPr>
    <w:rPr>
      <w:szCs w:val="20"/>
    </w:rPr>
  </w:style>
  <w:style w:type="character" w:customStyle="1" w:styleId="FootnoteTextChar2">
    <w:name w:val="Footnote Text Char2"/>
    <w:aliases w:val="Footnote Text Char Char2,fn Char,Footnote Text Char1 Char1,Footnote Text Char Char Char1,Footnote Text Char1 Char Char,Footnote Text Char Char Char Char,Footnote Text Char Char1 Char,Footnote Text Char1 Char Char Char1 Char"/>
    <w:basedOn w:val="DefaultParagraphFont"/>
    <w:link w:val="FootnoteText"/>
    <w:uiPriority w:val="99"/>
    <w:locked/>
    <w:rsid w:val="00A123E5"/>
    <w:rPr>
      <w:sz w:val="26"/>
    </w:rPr>
  </w:style>
  <w:style w:type="character" w:customStyle="1" w:styleId="1">
    <w:name w:val="1"/>
    <w:basedOn w:val="DefaultParagraphFont"/>
    <w:uiPriority w:val="99"/>
    <w:rsid w:val="00301152"/>
    <w:rPr>
      <w:rFonts w:cs="Times New Roman"/>
      <w:sz w:val="26"/>
      <w:lang w:bidi="ar-SA"/>
    </w:rPr>
  </w:style>
  <w:style w:type="paragraph" w:customStyle="1" w:styleId="BodyFootnote">
    <w:name w:val="Body Footnote"/>
    <w:basedOn w:val="FootnoteText"/>
    <w:uiPriority w:val="99"/>
    <w:rsid w:val="002A4F39"/>
    <w:rPr>
      <w:szCs w:val="26"/>
    </w:rPr>
  </w:style>
  <w:style w:type="paragraph" w:styleId="BodyText">
    <w:name w:val="Body Text"/>
    <w:basedOn w:val="Normal"/>
    <w:link w:val="BodyTextChar"/>
    <w:uiPriority w:val="99"/>
    <w:rsid w:val="00301152"/>
    <w:pPr>
      <w:spacing w:after="120"/>
    </w:pPr>
  </w:style>
  <w:style w:type="character" w:customStyle="1" w:styleId="BodyTextChar">
    <w:name w:val="Body Text Char"/>
    <w:basedOn w:val="DefaultParagraphFont"/>
    <w:link w:val="BodyText"/>
    <w:uiPriority w:val="99"/>
    <w:locked/>
    <w:rsid w:val="00301152"/>
    <w:rPr>
      <w:rFonts w:cs="Times New Roman"/>
      <w:sz w:val="24"/>
      <w:szCs w:val="24"/>
      <w:lang w:bidi="ar-SA"/>
    </w:rPr>
  </w:style>
  <w:style w:type="paragraph" w:styleId="BodyText2">
    <w:name w:val="Body Text 2"/>
    <w:basedOn w:val="Normal"/>
    <w:link w:val="BodyText2Char"/>
    <w:uiPriority w:val="99"/>
    <w:rsid w:val="00301152"/>
    <w:pPr>
      <w:spacing w:after="120" w:line="480" w:lineRule="auto"/>
    </w:pPr>
  </w:style>
  <w:style w:type="character" w:customStyle="1" w:styleId="BodyText2Char">
    <w:name w:val="Body Text 2 Char"/>
    <w:basedOn w:val="DefaultParagraphFont"/>
    <w:link w:val="BodyText2"/>
    <w:uiPriority w:val="99"/>
    <w:locked/>
    <w:rsid w:val="00301152"/>
    <w:rPr>
      <w:rFonts w:cs="Times New Roman"/>
      <w:sz w:val="24"/>
      <w:szCs w:val="24"/>
      <w:lang w:bidi="ar-SA"/>
    </w:rPr>
  </w:style>
  <w:style w:type="paragraph" w:styleId="BodyText3">
    <w:name w:val="Body Text 3"/>
    <w:basedOn w:val="Normal"/>
    <w:link w:val="BodyText3Char"/>
    <w:uiPriority w:val="99"/>
    <w:rsid w:val="00301152"/>
    <w:pPr>
      <w:spacing w:after="120"/>
    </w:pPr>
    <w:rPr>
      <w:sz w:val="16"/>
      <w:szCs w:val="16"/>
    </w:rPr>
  </w:style>
  <w:style w:type="character" w:customStyle="1" w:styleId="BodyText3Char">
    <w:name w:val="Body Text 3 Char"/>
    <w:basedOn w:val="DefaultParagraphFont"/>
    <w:link w:val="BodyText3"/>
    <w:uiPriority w:val="99"/>
    <w:locked/>
    <w:rsid w:val="00301152"/>
    <w:rPr>
      <w:rFonts w:cs="Times New Roman"/>
      <w:sz w:val="16"/>
      <w:szCs w:val="16"/>
      <w:lang w:bidi="ar-SA"/>
    </w:rPr>
  </w:style>
  <w:style w:type="paragraph" w:styleId="BodyTextFirstIndent">
    <w:name w:val="Body Text First Indent"/>
    <w:basedOn w:val="BodyText"/>
    <w:link w:val="BodyTextFirstIndentChar"/>
    <w:uiPriority w:val="99"/>
    <w:rsid w:val="00301152"/>
    <w:pPr>
      <w:ind w:firstLine="210"/>
    </w:pPr>
  </w:style>
  <w:style w:type="character" w:customStyle="1" w:styleId="BodyTextFirstIndentChar">
    <w:name w:val="Body Text First Indent Char"/>
    <w:basedOn w:val="BodyTextChar"/>
    <w:link w:val="BodyTextFirstIndent"/>
    <w:uiPriority w:val="99"/>
    <w:locked/>
    <w:rsid w:val="00301152"/>
  </w:style>
  <w:style w:type="paragraph" w:styleId="BodyTextIndent">
    <w:name w:val="Body Text Indent"/>
    <w:basedOn w:val="Normal"/>
    <w:link w:val="BodyTextIndentChar"/>
    <w:uiPriority w:val="99"/>
    <w:rsid w:val="00301152"/>
    <w:pPr>
      <w:spacing w:after="120"/>
      <w:ind w:left="360"/>
    </w:pPr>
  </w:style>
  <w:style w:type="character" w:customStyle="1" w:styleId="BodyTextIndentChar">
    <w:name w:val="Body Text Indent Char"/>
    <w:basedOn w:val="DefaultParagraphFont"/>
    <w:link w:val="BodyTextIndent"/>
    <w:uiPriority w:val="99"/>
    <w:locked/>
    <w:rsid w:val="00301152"/>
    <w:rPr>
      <w:rFonts w:cs="Times New Roman"/>
      <w:sz w:val="24"/>
      <w:szCs w:val="24"/>
      <w:lang w:bidi="ar-SA"/>
    </w:rPr>
  </w:style>
  <w:style w:type="paragraph" w:styleId="BodyTextFirstIndent2">
    <w:name w:val="Body Text First Indent 2"/>
    <w:basedOn w:val="BodyTextIndent"/>
    <w:link w:val="BodyTextFirstIndent2Char"/>
    <w:uiPriority w:val="99"/>
    <w:rsid w:val="00301152"/>
    <w:pPr>
      <w:ind w:firstLine="210"/>
    </w:pPr>
  </w:style>
  <w:style w:type="character" w:customStyle="1" w:styleId="BodyTextFirstIndent2Char">
    <w:name w:val="Body Text First Indent 2 Char"/>
    <w:basedOn w:val="BodyTextIndentChar"/>
    <w:link w:val="BodyTextFirstIndent2"/>
    <w:uiPriority w:val="99"/>
    <w:locked/>
    <w:rsid w:val="00301152"/>
  </w:style>
  <w:style w:type="paragraph" w:styleId="BodyTextIndent2">
    <w:name w:val="Body Text Indent 2"/>
    <w:basedOn w:val="Normal"/>
    <w:link w:val="BodyTextIndent2Char"/>
    <w:uiPriority w:val="99"/>
    <w:rsid w:val="00301152"/>
    <w:pPr>
      <w:spacing w:after="120" w:line="480" w:lineRule="auto"/>
      <w:ind w:left="360"/>
    </w:pPr>
  </w:style>
  <w:style w:type="character" w:customStyle="1" w:styleId="BodyTextIndent2Char">
    <w:name w:val="Body Text Indent 2 Char"/>
    <w:basedOn w:val="DefaultParagraphFont"/>
    <w:link w:val="BodyTextIndent2"/>
    <w:uiPriority w:val="99"/>
    <w:locked/>
    <w:rsid w:val="00301152"/>
    <w:rPr>
      <w:rFonts w:cs="Times New Roman"/>
      <w:sz w:val="24"/>
      <w:szCs w:val="24"/>
      <w:lang w:bidi="ar-SA"/>
    </w:rPr>
  </w:style>
  <w:style w:type="paragraph" w:styleId="BodyTextIndent3">
    <w:name w:val="Body Text Indent 3"/>
    <w:basedOn w:val="Normal"/>
    <w:link w:val="BodyTextIndent3Char"/>
    <w:uiPriority w:val="99"/>
    <w:rsid w:val="00301152"/>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01152"/>
    <w:rPr>
      <w:rFonts w:cs="Times New Roman"/>
      <w:sz w:val="16"/>
      <w:szCs w:val="16"/>
      <w:lang w:bidi="ar-SA"/>
    </w:rPr>
  </w:style>
  <w:style w:type="paragraph" w:styleId="Caption">
    <w:name w:val="caption"/>
    <w:basedOn w:val="Normal"/>
    <w:next w:val="Normal"/>
    <w:uiPriority w:val="99"/>
    <w:qFormat/>
    <w:rsid w:val="00301152"/>
    <w:pPr>
      <w:spacing w:before="120" w:after="120"/>
    </w:pPr>
    <w:rPr>
      <w:b/>
      <w:bCs/>
      <w:sz w:val="20"/>
      <w:szCs w:val="20"/>
    </w:rPr>
  </w:style>
  <w:style w:type="paragraph" w:styleId="Closing">
    <w:name w:val="Closing"/>
    <w:basedOn w:val="Normal"/>
    <w:link w:val="ClosingChar"/>
    <w:uiPriority w:val="99"/>
    <w:rsid w:val="00301152"/>
    <w:pPr>
      <w:ind w:left="4320"/>
    </w:pPr>
  </w:style>
  <w:style w:type="character" w:customStyle="1" w:styleId="ClosingChar">
    <w:name w:val="Closing Char"/>
    <w:basedOn w:val="DefaultParagraphFont"/>
    <w:link w:val="Closing"/>
    <w:uiPriority w:val="99"/>
    <w:locked/>
    <w:rsid w:val="00301152"/>
    <w:rPr>
      <w:rFonts w:cs="Times New Roman"/>
      <w:sz w:val="24"/>
      <w:szCs w:val="24"/>
      <w:lang w:bidi="ar-SA"/>
    </w:rPr>
  </w:style>
  <w:style w:type="paragraph" w:styleId="CommentText">
    <w:name w:val="annotation text"/>
    <w:basedOn w:val="Normal"/>
    <w:link w:val="CommentTextChar"/>
    <w:uiPriority w:val="99"/>
    <w:semiHidden/>
    <w:rsid w:val="00301152"/>
    <w:rPr>
      <w:sz w:val="20"/>
      <w:szCs w:val="20"/>
    </w:rPr>
  </w:style>
  <w:style w:type="character" w:customStyle="1" w:styleId="CommentTextChar">
    <w:name w:val="Comment Text Char"/>
    <w:basedOn w:val="DefaultParagraphFont"/>
    <w:link w:val="CommentText"/>
    <w:uiPriority w:val="99"/>
    <w:semiHidden/>
    <w:locked/>
    <w:rsid w:val="00301152"/>
    <w:rPr>
      <w:rFonts w:cs="Times New Roman"/>
      <w:lang w:bidi="ar-SA"/>
    </w:rPr>
  </w:style>
  <w:style w:type="paragraph" w:styleId="CommentSubject">
    <w:name w:val="annotation subject"/>
    <w:basedOn w:val="CommentText"/>
    <w:next w:val="CommentText"/>
    <w:link w:val="CommentSubjectChar"/>
    <w:uiPriority w:val="99"/>
    <w:semiHidden/>
    <w:rsid w:val="00301152"/>
    <w:rPr>
      <w:b/>
      <w:bCs/>
    </w:rPr>
  </w:style>
  <w:style w:type="character" w:customStyle="1" w:styleId="CommentSubjectChar">
    <w:name w:val="Comment Subject Char"/>
    <w:basedOn w:val="CommentTextChar"/>
    <w:link w:val="CommentSubject"/>
    <w:uiPriority w:val="99"/>
    <w:semiHidden/>
    <w:locked/>
    <w:rsid w:val="00301152"/>
    <w:rPr>
      <w:b/>
      <w:bCs/>
    </w:rPr>
  </w:style>
  <w:style w:type="paragraph" w:styleId="Date">
    <w:name w:val="Date"/>
    <w:basedOn w:val="Normal"/>
    <w:next w:val="Normal"/>
    <w:link w:val="DateChar"/>
    <w:uiPriority w:val="99"/>
    <w:rsid w:val="00301152"/>
  </w:style>
  <w:style w:type="character" w:customStyle="1" w:styleId="DateChar">
    <w:name w:val="Date Char"/>
    <w:basedOn w:val="DefaultParagraphFont"/>
    <w:link w:val="Date"/>
    <w:uiPriority w:val="99"/>
    <w:locked/>
    <w:rsid w:val="00301152"/>
    <w:rPr>
      <w:rFonts w:cs="Times New Roman"/>
      <w:sz w:val="24"/>
      <w:szCs w:val="24"/>
      <w:lang w:bidi="ar-SA"/>
    </w:rPr>
  </w:style>
  <w:style w:type="paragraph" w:styleId="DocumentMap">
    <w:name w:val="Document Map"/>
    <w:basedOn w:val="Normal"/>
    <w:link w:val="DocumentMapChar"/>
    <w:uiPriority w:val="99"/>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01152"/>
    <w:rPr>
      <w:rFonts w:ascii="Tahoma" w:hAnsi="Tahoma" w:cs="Tahoma"/>
      <w:sz w:val="24"/>
      <w:szCs w:val="24"/>
      <w:shd w:val="clear" w:color="auto" w:fill="000080"/>
      <w:lang w:bidi="ar-SA"/>
    </w:rPr>
  </w:style>
  <w:style w:type="paragraph" w:styleId="E-mailSignature">
    <w:name w:val="E-mail Signature"/>
    <w:basedOn w:val="Normal"/>
    <w:link w:val="E-mailSignatureChar"/>
    <w:uiPriority w:val="99"/>
    <w:rsid w:val="00301152"/>
  </w:style>
  <w:style w:type="character" w:customStyle="1" w:styleId="E-mailSignatureChar">
    <w:name w:val="E-mail Signature Char"/>
    <w:basedOn w:val="DefaultParagraphFont"/>
    <w:link w:val="E-mailSignature"/>
    <w:uiPriority w:val="99"/>
    <w:locked/>
    <w:rsid w:val="00301152"/>
    <w:rPr>
      <w:rFonts w:cs="Times New Roman"/>
      <w:sz w:val="24"/>
      <w:szCs w:val="24"/>
      <w:lang w:bidi="ar-SA"/>
    </w:rPr>
  </w:style>
  <w:style w:type="paragraph" w:styleId="EndnoteText">
    <w:name w:val="endnote text"/>
    <w:basedOn w:val="Normal"/>
    <w:link w:val="EndnoteTextChar"/>
    <w:uiPriority w:val="99"/>
    <w:semiHidden/>
    <w:rsid w:val="00301152"/>
    <w:rPr>
      <w:sz w:val="20"/>
      <w:szCs w:val="20"/>
    </w:rPr>
  </w:style>
  <w:style w:type="character" w:customStyle="1" w:styleId="EndnoteTextChar">
    <w:name w:val="Endnote Text Char"/>
    <w:basedOn w:val="DefaultParagraphFont"/>
    <w:link w:val="EndnoteText"/>
    <w:uiPriority w:val="99"/>
    <w:semiHidden/>
    <w:locked/>
    <w:rsid w:val="00301152"/>
    <w:rPr>
      <w:rFonts w:cs="Times New Roman"/>
      <w:lang w:bidi="ar-SA"/>
    </w:rPr>
  </w:style>
  <w:style w:type="paragraph" w:styleId="EnvelopeAddress">
    <w:name w:val="envelope address"/>
    <w:basedOn w:val="Normal"/>
    <w:uiPriority w:val="99"/>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301152"/>
    <w:rPr>
      <w:rFonts w:ascii="Arial" w:hAnsi="Arial" w:cs="Arial"/>
      <w:sz w:val="20"/>
      <w:szCs w:val="20"/>
    </w:rPr>
  </w:style>
  <w:style w:type="paragraph" w:customStyle="1" w:styleId="FERCparanumber">
    <w:name w:val="FERC paranumber"/>
    <w:basedOn w:val="Normal"/>
    <w:link w:val="FERCparanumberChar"/>
    <w:uiPriority w:val="99"/>
    <w:rsid w:val="002A4F39"/>
    <w:pPr>
      <w:widowControl/>
      <w:numPr>
        <w:numId w:val="15"/>
      </w:numPr>
      <w:tabs>
        <w:tab w:val="clear" w:pos="1800"/>
        <w:tab w:val="num" w:pos="720"/>
      </w:tabs>
      <w:spacing w:line="480" w:lineRule="auto"/>
      <w:ind w:left="0" w:firstLine="0"/>
    </w:pPr>
  </w:style>
  <w:style w:type="paragraph" w:styleId="HTMLAddress">
    <w:name w:val="HTML Address"/>
    <w:basedOn w:val="Normal"/>
    <w:link w:val="HTMLAddressChar"/>
    <w:uiPriority w:val="99"/>
    <w:rsid w:val="00301152"/>
    <w:rPr>
      <w:i/>
      <w:iCs/>
    </w:rPr>
  </w:style>
  <w:style w:type="character" w:customStyle="1" w:styleId="HTMLAddressChar">
    <w:name w:val="HTML Address Char"/>
    <w:basedOn w:val="DefaultParagraphFont"/>
    <w:link w:val="HTMLAddress"/>
    <w:uiPriority w:val="99"/>
    <w:locked/>
    <w:rsid w:val="00301152"/>
    <w:rPr>
      <w:rFonts w:cs="Times New Roman"/>
      <w:i/>
      <w:iCs/>
      <w:sz w:val="24"/>
      <w:szCs w:val="24"/>
      <w:lang w:bidi="ar-SA"/>
    </w:rPr>
  </w:style>
  <w:style w:type="paragraph" w:styleId="HTMLPreformatted">
    <w:name w:val="HTML Preformatted"/>
    <w:basedOn w:val="Normal"/>
    <w:link w:val="HTMLPreformattedChar"/>
    <w:uiPriority w:val="99"/>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301152"/>
    <w:rPr>
      <w:rFonts w:ascii="Courier New" w:hAnsi="Courier New" w:cs="Courier New"/>
      <w:lang w:bidi="ar-SA"/>
    </w:rPr>
  </w:style>
  <w:style w:type="paragraph" w:styleId="Index1">
    <w:name w:val="index 1"/>
    <w:basedOn w:val="Normal"/>
    <w:next w:val="Normal"/>
    <w:uiPriority w:val="99"/>
    <w:semiHidden/>
    <w:rsid w:val="00301152"/>
    <w:pPr>
      <w:ind w:left="260" w:hanging="260"/>
    </w:pPr>
  </w:style>
  <w:style w:type="paragraph" w:styleId="Index2">
    <w:name w:val="index 2"/>
    <w:basedOn w:val="Normal"/>
    <w:next w:val="Normal"/>
    <w:uiPriority w:val="99"/>
    <w:semiHidden/>
    <w:rsid w:val="00301152"/>
    <w:pPr>
      <w:ind w:left="520" w:hanging="260"/>
    </w:pPr>
  </w:style>
  <w:style w:type="paragraph" w:styleId="Index3">
    <w:name w:val="index 3"/>
    <w:basedOn w:val="Normal"/>
    <w:next w:val="Normal"/>
    <w:uiPriority w:val="99"/>
    <w:semiHidden/>
    <w:rsid w:val="00301152"/>
    <w:pPr>
      <w:ind w:left="780" w:hanging="260"/>
    </w:pPr>
  </w:style>
  <w:style w:type="paragraph" w:styleId="Index4">
    <w:name w:val="index 4"/>
    <w:basedOn w:val="Normal"/>
    <w:next w:val="Normal"/>
    <w:uiPriority w:val="99"/>
    <w:semiHidden/>
    <w:rsid w:val="00301152"/>
    <w:pPr>
      <w:ind w:left="1040" w:hanging="260"/>
    </w:pPr>
  </w:style>
  <w:style w:type="paragraph" w:styleId="Index5">
    <w:name w:val="index 5"/>
    <w:basedOn w:val="Normal"/>
    <w:next w:val="Normal"/>
    <w:uiPriority w:val="99"/>
    <w:semiHidden/>
    <w:rsid w:val="00301152"/>
    <w:pPr>
      <w:ind w:left="1300" w:hanging="260"/>
    </w:pPr>
  </w:style>
  <w:style w:type="paragraph" w:styleId="Index6">
    <w:name w:val="index 6"/>
    <w:basedOn w:val="Normal"/>
    <w:next w:val="Normal"/>
    <w:uiPriority w:val="99"/>
    <w:semiHidden/>
    <w:rsid w:val="00301152"/>
    <w:pPr>
      <w:ind w:left="1560" w:hanging="260"/>
    </w:pPr>
  </w:style>
  <w:style w:type="paragraph" w:styleId="Index7">
    <w:name w:val="index 7"/>
    <w:basedOn w:val="Normal"/>
    <w:next w:val="Normal"/>
    <w:uiPriority w:val="99"/>
    <w:semiHidden/>
    <w:rsid w:val="00301152"/>
    <w:pPr>
      <w:ind w:left="1820" w:hanging="260"/>
    </w:pPr>
  </w:style>
  <w:style w:type="paragraph" w:styleId="Index8">
    <w:name w:val="index 8"/>
    <w:basedOn w:val="Normal"/>
    <w:next w:val="Normal"/>
    <w:uiPriority w:val="99"/>
    <w:semiHidden/>
    <w:rsid w:val="00301152"/>
    <w:pPr>
      <w:ind w:left="2080" w:hanging="260"/>
    </w:pPr>
  </w:style>
  <w:style w:type="paragraph" w:styleId="Index9">
    <w:name w:val="index 9"/>
    <w:basedOn w:val="Normal"/>
    <w:next w:val="Normal"/>
    <w:uiPriority w:val="99"/>
    <w:semiHidden/>
    <w:rsid w:val="00301152"/>
    <w:pPr>
      <w:ind w:left="2340" w:hanging="260"/>
    </w:pPr>
  </w:style>
  <w:style w:type="paragraph" w:styleId="IndexHeading">
    <w:name w:val="index heading"/>
    <w:basedOn w:val="Normal"/>
    <w:next w:val="Index1"/>
    <w:uiPriority w:val="99"/>
    <w:semiHidden/>
    <w:rsid w:val="00301152"/>
    <w:rPr>
      <w:rFonts w:ascii="Arial" w:hAnsi="Arial" w:cs="Arial"/>
      <w:b/>
      <w:bCs/>
    </w:rPr>
  </w:style>
  <w:style w:type="paragraph" w:styleId="IntenseQuote">
    <w:name w:val="Intense Quote"/>
    <w:basedOn w:val="Normal"/>
    <w:next w:val="Normal"/>
    <w:link w:val="IntenseQuoteChar"/>
    <w:uiPriority w:val="99"/>
    <w:qFormat/>
    <w:rsid w:val="002A4F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01152"/>
    <w:rPr>
      <w:rFonts w:cs="Times New Roman"/>
      <w:b/>
      <w:bCs/>
      <w:i/>
      <w:iCs/>
      <w:color w:val="4F81BD"/>
      <w:sz w:val="24"/>
      <w:szCs w:val="24"/>
      <w:lang w:bidi="ar-SA"/>
    </w:rPr>
  </w:style>
  <w:style w:type="paragraph" w:styleId="List">
    <w:name w:val="List"/>
    <w:basedOn w:val="Normal"/>
    <w:uiPriority w:val="99"/>
    <w:rsid w:val="00301152"/>
    <w:pPr>
      <w:ind w:left="360" w:hanging="360"/>
    </w:pPr>
  </w:style>
  <w:style w:type="paragraph" w:styleId="List2">
    <w:name w:val="List 2"/>
    <w:basedOn w:val="Normal"/>
    <w:uiPriority w:val="99"/>
    <w:rsid w:val="00301152"/>
    <w:pPr>
      <w:ind w:left="720" w:hanging="360"/>
    </w:pPr>
  </w:style>
  <w:style w:type="paragraph" w:styleId="List3">
    <w:name w:val="List 3"/>
    <w:basedOn w:val="Normal"/>
    <w:uiPriority w:val="99"/>
    <w:rsid w:val="00301152"/>
    <w:pPr>
      <w:ind w:left="1080" w:hanging="360"/>
    </w:pPr>
  </w:style>
  <w:style w:type="paragraph" w:styleId="List4">
    <w:name w:val="List 4"/>
    <w:basedOn w:val="Normal"/>
    <w:uiPriority w:val="99"/>
    <w:rsid w:val="00301152"/>
    <w:pPr>
      <w:ind w:left="1440" w:hanging="360"/>
    </w:pPr>
  </w:style>
  <w:style w:type="paragraph" w:styleId="List5">
    <w:name w:val="List 5"/>
    <w:basedOn w:val="Normal"/>
    <w:uiPriority w:val="99"/>
    <w:rsid w:val="00301152"/>
    <w:pPr>
      <w:ind w:left="1800" w:hanging="360"/>
    </w:pPr>
  </w:style>
  <w:style w:type="paragraph" w:styleId="ListBullet">
    <w:name w:val="List Bullet"/>
    <w:basedOn w:val="Normal"/>
    <w:uiPriority w:val="99"/>
    <w:rsid w:val="00301152"/>
    <w:pPr>
      <w:numPr>
        <w:numId w:val="7"/>
      </w:numPr>
      <w:tabs>
        <w:tab w:val="clear" w:pos="720"/>
        <w:tab w:val="num" w:pos="360"/>
      </w:tabs>
      <w:ind w:left="360"/>
    </w:pPr>
  </w:style>
  <w:style w:type="paragraph" w:styleId="ListBullet2">
    <w:name w:val="List Bullet 2"/>
    <w:basedOn w:val="Normal"/>
    <w:uiPriority w:val="99"/>
    <w:rsid w:val="00301152"/>
    <w:pPr>
      <w:numPr>
        <w:numId w:val="9"/>
      </w:numPr>
      <w:tabs>
        <w:tab w:val="clear" w:pos="1440"/>
        <w:tab w:val="num" w:pos="720"/>
      </w:tabs>
      <w:ind w:left="720"/>
    </w:pPr>
  </w:style>
  <w:style w:type="paragraph" w:styleId="ListBullet3">
    <w:name w:val="List Bullet 3"/>
    <w:basedOn w:val="Normal"/>
    <w:uiPriority w:val="99"/>
    <w:rsid w:val="00301152"/>
    <w:pPr>
      <w:numPr>
        <w:numId w:val="11"/>
      </w:numPr>
      <w:tabs>
        <w:tab w:val="clear" w:pos="360"/>
        <w:tab w:val="num" w:pos="1080"/>
      </w:tabs>
      <w:ind w:left="1080"/>
    </w:pPr>
  </w:style>
  <w:style w:type="paragraph" w:styleId="ListBullet4">
    <w:name w:val="List Bullet 4"/>
    <w:basedOn w:val="Normal"/>
    <w:uiPriority w:val="99"/>
    <w:rsid w:val="00301152"/>
    <w:pPr>
      <w:numPr>
        <w:numId w:val="13"/>
      </w:numPr>
      <w:tabs>
        <w:tab w:val="clear" w:pos="1080"/>
        <w:tab w:val="num" w:pos="1440"/>
      </w:tabs>
      <w:ind w:left="1440"/>
    </w:pPr>
  </w:style>
  <w:style w:type="paragraph" w:styleId="ListBullet5">
    <w:name w:val="List Bullet 5"/>
    <w:basedOn w:val="Normal"/>
    <w:uiPriority w:val="99"/>
    <w:rsid w:val="00301152"/>
    <w:pPr>
      <w:numPr>
        <w:numId w:val="15"/>
      </w:numPr>
    </w:pPr>
  </w:style>
  <w:style w:type="paragraph" w:styleId="ListContinue">
    <w:name w:val="List Continue"/>
    <w:basedOn w:val="Normal"/>
    <w:uiPriority w:val="99"/>
    <w:semiHidden/>
    <w:rsid w:val="00301152"/>
    <w:pPr>
      <w:widowControl/>
      <w:autoSpaceDE/>
      <w:autoSpaceDN/>
      <w:adjustRightInd/>
      <w:spacing w:after="120"/>
      <w:ind w:left="360"/>
    </w:pPr>
  </w:style>
  <w:style w:type="paragraph" w:styleId="ListContinue2">
    <w:name w:val="List Continue 2"/>
    <w:basedOn w:val="Normal"/>
    <w:uiPriority w:val="99"/>
    <w:rsid w:val="00301152"/>
    <w:pPr>
      <w:spacing w:after="120"/>
      <w:ind w:left="720"/>
    </w:pPr>
  </w:style>
  <w:style w:type="paragraph" w:styleId="ListContinue3">
    <w:name w:val="List Continue 3"/>
    <w:basedOn w:val="Normal"/>
    <w:uiPriority w:val="99"/>
    <w:rsid w:val="00301152"/>
    <w:pPr>
      <w:spacing w:after="120"/>
      <w:ind w:left="1080"/>
    </w:pPr>
  </w:style>
  <w:style w:type="paragraph" w:styleId="ListContinue4">
    <w:name w:val="List Continue 4"/>
    <w:basedOn w:val="Normal"/>
    <w:uiPriority w:val="99"/>
    <w:rsid w:val="00301152"/>
    <w:pPr>
      <w:spacing w:after="120"/>
      <w:ind w:left="1440"/>
    </w:pPr>
  </w:style>
  <w:style w:type="paragraph" w:styleId="ListContinue5">
    <w:name w:val="List Continue 5"/>
    <w:basedOn w:val="Normal"/>
    <w:uiPriority w:val="99"/>
    <w:rsid w:val="00301152"/>
    <w:pPr>
      <w:spacing w:after="120"/>
      <w:ind w:left="1800"/>
    </w:pPr>
  </w:style>
  <w:style w:type="paragraph" w:styleId="ListNumber">
    <w:name w:val="List Number"/>
    <w:basedOn w:val="Normal"/>
    <w:uiPriority w:val="99"/>
    <w:rsid w:val="00301152"/>
    <w:pPr>
      <w:numPr>
        <w:numId w:val="17"/>
      </w:numPr>
      <w:tabs>
        <w:tab w:val="clear" w:pos="720"/>
        <w:tab w:val="num" w:pos="360"/>
      </w:tabs>
      <w:ind w:left="360"/>
    </w:pPr>
  </w:style>
  <w:style w:type="paragraph" w:styleId="ListNumber2">
    <w:name w:val="List Number 2"/>
    <w:basedOn w:val="Normal"/>
    <w:uiPriority w:val="99"/>
    <w:rsid w:val="00301152"/>
    <w:pPr>
      <w:numPr>
        <w:numId w:val="19"/>
      </w:numPr>
      <w:tabs>
        <w:tab w:val="clear" w:pos="1440"/>
        <w:tab w:val="num" w:pos="720"/>
      </w:tabs>
      <w:ind w:left="720"/>
    </w:pPr>
  </w:style>
  <w:style w:type="paragraph" w:styleId="ListNumber3">
    <w:name w:val="List Number 3"/>
    <w:basedOn w:val="Normal"/>
    <w:uiPriority w:val="99"/>
    <w:rsid w:val="00301152"/>
    <w:pPr>
      <w:numPr>
        <w:numId w:val="21"/>
      </w:numPr>
      <w:ind w:hanging="360"/>
    </w:pPr>
  </w:style>
  <w:style w:type="paragraph" w:styleId="ListNumber4">
    <w:name w:val="List Number 4"/>
    <w:basedOn w:val="Normal"/>
    <w:uiPriority w:val="99"/>
    <w:rsid w:val="00301152"/>
    <w:pPr>
      <w:numPr>
        <w:numId w:val="23"/>
      </w:numPr>
      <w:tabs>
        <w:tab w:val="clear" w:pos="1080"/>
        <w:tab w:val="num" w:pos="1440"/>
      </w:tabs>
      <w:ind w:left="1440" w:hanging="360"/>
    </w:pPr>
  </w:style>
  <w:style w:type="paragraph" w:styleId="ListNumber5">
    <w:name w:val="List Number 5"/>
    <w:basedOn w:val="Normal"/>
    <w:uiPriority w:val="99"/>
    <w:rsid w:val="00301152"/>
    <w:pPr>
      <w:numPr>
        <w:numId w:val="25"/>
      </w:numPr>
      <w:tabs>
        <w:tab w:val="clear" w:pos="720"/>
        <w:tab w:val="num" w:pos="1800"/>
      </w:tabs>
      <w:ind w:left="1800" w:hanging="360"/>
    </w:pPr>
  </w:style>
  <w:style w:type="paragraph" w:styleId="ListParagraph">
    <w:name w:val="List Paragraph"/>
    <w:basedOn w:val="Normal"/>
    <w:uiPriority w:val="99"/>
    <w:qFormat/>
    <w:rsid w:val="002A4F39"/>
    <w:pPr>
      <w:ind w:left="720"/>
      <w:contextualSpacing/>
    </w:pPr>
  </w:style>
  <w:style w:type="paragraph" w:styleId="MacroText">
    <w:name w:val="macro"/>
    <w:link w:val="MacroTextChar"/>
    <w:uiPriority w:val="99"/>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301152"/>
    <w:rPr>
      <w:rFonts w:ascii="Courier New" w:hAnsi="Courier New" w:cs="Courier New"/>
      <w:lang w:val="en-US" w:eastAsia="en-US" w:bidi="ar-SA"/>
    </w:rPr>
  </w:style>
  <w:style w:type="paragraph" w:styleId="MessageHeader">
    <w:name w:val="Message Header"/>
    <w:basedOn w:val="Normal"/>
    <w:link w:val="MessageHeaderChar"/>
    <w:uiPriority w:val="99"/>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locked/>
    <w:rsid w:val="00301152"/>
    <w:rPr>
      <w:rFonts w:ascii="Arial" w:hAnsi="Arial" w:cs="Arial"/>
      <w:sz w:val="24"/>
      <w:szCs w:val="24"/>
      <w:shd w:val="pct20" w:color="auto" w:fill="auto"/>
      <w:lang w:bidi="ar-SA"/>
    </w:rPr>
  </w:style>
  <w:style w:type="paragraph" w:customStyle="1" w:styleId="myTOC1">
    <w:name w:val="myTOC 1"/>
    <w:basedOn w:val="Normal"/>
    <w:next w:val="Normal"/>
    <w:uiPriority w:val="99"/>
    <w:rsid w:val="00301152"/>
    <w:pPr>
      <w:tabs>
        <w:tab w:val="left" w:leader="dot" w:pos="9648"/>
      </w:tabs>
      <w:spacing w:before="120"/>
    </w:pPr>
    <w:rPr>
      <w:szCs w:val="26"/>
    </w:rPr>
  </w:style>
  <w:style w:type="paragraph" w:customStyle="1" w:styleId="myTOC2">
    <w:name w:val="myTOC 2"/>
    <w:basedOn w:val="Normal"/>
    <w:next w:val="Normal"/>
    <w:uiPriority w:val="99"/>
    <w:rsid w:val="00301152"/>
    <w:pPr>
      <w:tabs>
        <w:tab w:val="left" w:leader="dot" w:pos="9648"/>
      </w:tabs>
      <w:ind w:left="288"/>
    </w:pPr>
    <w:rPr>
      <w:szCs w:val="26"/>
    </w:rPr>
  </w:style>
  <w:style w:type="paragraph" w:customStyle="1" w:styleId="myTOC3">
    <w:name w:val="myTOC 3"/>
    <w:basedOn w:val="Normal"/>
    <w:next w:val="Normal"/>
    <w:uiPriority w:val="99"/>
    <w:rsid w:val="00301152"/>
    <w:pPr>
      <w:tabs>
        <w:tab w:val="left" w:leader="dot" w:pos="9648"/>
      </w:tabs>
      <w:ind w:left="576"/>
    </w:pPr>
    <w:rPr>
      <w:szCs w:val="26"/>
    </w:rPr>
  </w:style>
  <w:style w:type="paragraph" w:customStyle="1" w:styleId="myTOC4">
    <w:name w:val="myTOC 4"/>
    <w:basedOn w:val="Normal"/>
    <w:next w:val="Normal"/>
    <w:uiPriority w:val="99"/>
    <w:rsid w:val="00301152"/>
    <w:pPr>
      <w:tabs>
        <w:tab w:val="left" w:leader="dot" w:pos="9648"/>
      </w:tabs>
      <w:ind w:left="864"/>
    </w:pPr>
    <w:rPr>
      <w:szCs w:val="26"/>
    </w:rPr>
  </w:style>
  <w:style w:type="paragraph" w:customStyle="1" w:styleId="myTOC5">
    <w:name w:val="myTOC 5"/>
    <w:basedOn w:val="Normal"/>
    <w:next w:val="Normal"/>
    <w:uiPriority w:val="99"/>
    <w:rsid w:val="00301152"/>
    <w:pPr>
      <w:tabs>
        <w:tab w:val="left" w:leader="dot" w:pos="9648"/>
      </w:tabs>
      <w:ind w:left="1152"/>
    </w:pPr>
    <w:rPr>
      <w:szCs w:val="26"/>
    </w:rPr>
  </w:style>
  <w:style w:type="paragraph" w:customStyle="1" w:styleId="myTOC6">
    <w:name w:val="myTOC 6"/>
    <w:basedOn w:val="Normal"/>
    <w:next w:val="Normal"/>
    <w:uiPriority w:val="99"/>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uiPriority w:val="99"/>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uiPriority w:val="99"/>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uiPriority w:val="99"/>
    <w:rsid w:val="00301152"/>
    <w:pPr>
      <w:widowControl/>
      <w:tabs>
        <w:tab w:val="left" w:leader="dot" w:pos="9648"/>
      </w:tabs>
      <w:autoSpaceDE/>
      <w:autoSpaceDN/>
      <w:adjustRightInd/>
      <w:ind w:left="2304"/>
    </w:pPr>
    <w:rPr>
      <w:szCs w:val="26"/>
    </w:rPr>
  </w:style>
  <w:style w:type="paragraph" w:styleId="NoSpacing">
    <w:name w:val="No Spacing"/>
    <w:uiPriority w:val="99"/>
    <w:qFormat/>
    <w:rsid w:val="00301152"/>
    <w:pPr>
      <w:widowControl w:val="0"/>
      <w:autoSpaceDE w:val="0"/>
      <w:autoSpaceDN w:val="0"/>
      <w:adjustRightInd w:val="0"/>
    </w:pPr>
    <w:rPr>
      <w:sz w:val="26"/>
      <w:szCs w:val="24"/>
    </w:rPr>
  </w:style>
  <w:style w:type="paragraph" w:customStyle="1" w:styleId="Non-TOCStyle">
    <w:name w:val="Non-TOC Style"/>
    <w:basedOn w:val="Normal"/>
    <w:next w:val="FERCparanumber"/>
    <w:uiPriority w:val="99"/>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uiPriority w:val="99"/>
    <w:rsid w:val="00301152"/>
    <w:pPr>
      <w:ind w:left="720"/>
    </w:pPr>
  </w:style>
  <w:style w:type="paragraph" w:styleId="NoteHeading">
    <w:name w:val="Note Heading"/>
    <w:basedOn w:val="Normal"/>
    <w:next w:val="Normal"/>
    <w:link w:val="NoteHeadingChar"/>
    <w:uiPriority w:val="99"/>
    <w:rsid w:val="00301152"/>
  </w:style>
  <w:style w:type="character" w:customStyle="1" w:styleId="NoteHeadingChar">
    <w:name w:val="Note Heading Char"/>
    <w:basedOn w:val="DefaultParagraphFont"/>
    <w:link w:val="NoteHeading"/>
    <w:uiPriority w:val="99"/>
    <w:locked/>
    <w:rsid w:val="00301152"/>
    <w:rPr>
      <w:rFonts w:cs="Times New Roman"/>
      <w:sz w:val="24"/>
      <w:szCs w:val="24"/>
      <w:lang w:bidi="ar-SA"/>
    </w:rPr>
  </w:style>
  <w:style w:type="paragraph" w:styleId="PlainText">
    <w:name w:val="Plain Text"/>
    <w:basedOn w:val="Normal"/>
    <w:link w:val="PlainTextChar"/>
    <w:uiPriority w:val="99"/>
    <w:rsid w:val="00301152"/>
    <w:rPr>
      <w:rFonts w:ascii="Courier New" w:hAnsi="Courier New" w:cs="Courier New"/>
      <w:sz w:val="20"/>
      <w:szCs w:val="20"/>
    </w:rPr>
  </w:style>
  <w:style w:type="character" w:customStyle="1" w:styleId="PlainTextChar">
    <w:name w:val="Plain Text Char"/>
    <w:basedOn w:val="DefaultParagraphFont"/>
    <w:link w:val="PlainText"/>
    <w:uiPriority w:val="99"/>
    <w:locked/>
    <w:rsid w:val="00301152"/>
    <w:rPr>
      <w:rFonts w:ascii="Courier New" w:hAnsi="Courier New" w:cs="Courier New"/>
      <w:lang w:bidi="ar-SA"/>
    </w:rPr>
  </w:style>
  <w:style w:type="paragraph" w:styleId="Quote">
    <w:name w:val="Quote"/>
    <w:basedOn w:val="Normal"/>
    <w:next w:val="Normal"/>
    <w:link w:val="QuoteChar"/>
    <w:uiPriority w:val="99"/>
    <w:qFormat/>
    <w:rsid w:val="002A4F39"/>
    <w:rPr>
      <w:i/>
      <w:iCs/>
      <w:color w:val="000000"/>
    </w:rPr>
  </w:style>
  <w:style w:type="character" w:customStyle="1" w:styleId="QuoteChar">
    <w:name w:val="Quote Char"/>
    <w:basedOn w:val="DefaultParagraphFont"/>
    <w:link w:val="Quote"/>
    <w:uiPriority w:val="99"/>
    <w:locked/>
    <w:rsid w:val="00301152"/>
    <w:rPr>
      <w:rFonts w:cs="Times New Roman"/>
      <w:i/>
      <w:iCs/>
      <w:color w:val="000000"/>
      <w:sz w:val="24"/>
      <w:szCs w:val="24"/>
      <w:lang w:bidi="ar-SA"/>
    </w:rPr>
  </w:style>
  <w:style w:type="paragraph" w:styleId="Salutation">
    <w:name w:val="Salutation"/>
    <w:basedOn w:val="Normal"/>
    <w:next w:val="Normal"/>
    <w:link w:val="SalutationChar"/>
    <w:uiPriority w:val="99"/>
    <w:rsid w:val="00301152"/>
  </w:style>
  <w:style w:type="character" w:customStyle="1" w:styleId="SalutationChar">
    <w:name w:val="Salutation Char"/>
    <w:basedOn w:val="DefaultParagraphFont"/>
    <w:link w:val="Salutation"/>
    <w:uiPriority w:val="99"/>
    <w:locked/>
    <w:rsid w:val="00301152"/>
    <w:rPr>
      <w:rFonts w:cs="Times New Roman"/>
      <w:sz w:val="24"/>
      <w:szCs w:val="24"/>
      <w:lang w:bidi="ar-SA"/>
    </w:rPr>
  </w:style>
  <w:style w:type="paragraph" w:styleId="Signature">
    <w:name w:val="Signature"/>
    <w:basedOn w:val="Normal"/>
    <w:link w:val="SignatureChar"/>
    <w:uiPriority w:val="99"/>
    <w:rsid w:val="00301152"/>
    <w:pPr>
      <w:ind w:left="4320"/>
    </w:pPr>
  </w:style>
  <w:style w:type="character" w:customStyle="1" w:styleId="SignatureChar">
    <w:name w:val="Signature Char"/>
    <w:basedOn w:val="DefaultParagraphFont"/>
    <w:link w:val="Signature"/>
    <w:uiPriority w:val="99"/>
    <w:locked/>
    <w:rsid w:val="00301152"/>
    <w:rPr>
      <w:rFonts w:cs="Times New Roman"/>
      <w:sz w:val="24"/>
      <w:szCs w:val="24"/>
      <w:lang w:bidi="ar-SA"/>
    </w:rPr>
  </w:style>
  <w:style w:type="paragraph" w:styleId="Subtitle">
    <w:name w:val="Subtitle"/>
    <w:basedOn w:val="Normal"/>
    <w:link w:val="SubtitleChar"/>
    <w:uiPriority w:val="99"/>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99"/>
    <w:locked/>
    <w:rsid w:val="00301152"/>
    <w:rPr>
      <w:rFonts w:ascii="Arial" w:hAnsi="Arial" w:cs="Arial"/>
      <w:sz w:val="24"/>
      <w:szCs w:val="24"/>
      <w:lang w:bidi="ar-SA"/>
    </w:rPr>
  </w:style>
  <w:style w:type="paragraph" w:styleId="TableofAuthorities">
    <w:name w:val="table of authorities"/>
    <w:basedOn w:val="Normal"/>
    <w:next w:val="Normal"/>
    <w:uiPriority w:val="99"/>
    <w:semiHidden/>
    <w:rsid w:val="00301152"/>
    <w:pPr>
      <w:ind w:left="260" w:hanging="260"/>
    </w:pPr>
  </w:style>
  <w:style w:type="paragraph" w:styleId="TableofFigures">
    <w:name w:val="table of figures"/>
    <w:basedOn w:val="Normal"/>
    <w:next w:val="Normal"/>
    <w:uiPriority w:val="99"/>
    <w:semiHidden/>
    <w:rsid w:val="00301152"/>
    <w:pPr>
      <w:ind w:left="520" w:hanging="520"/>
    </w:pPr>
  </w:style>
  <w:style w:type="paragraph" w:styleId="Title">
    <w:name w:val="Title"/>
    <w:basedOn w:val="Normal"/>
    <w:link w:val="TitleChar"/>
    <w:uiPriority w:val="99"/>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301152"/>
    <w:rPr>
      <w:rFonts w:ascii="Arial" w:hAnsi="Arial" w:cs="Arial"/>
      <w:b/>
      <w:bCs/>
      <w:kern w:val="28"/>
      <w:sz w:val="32"/>
      <w:szCs w:val="32"/>
      <w:lang w:bidi="ar-SA"/>
    </w:rPr>
  </w:style>
  <w:style w:type="paragraph" w:styleId="TOAHeading">
    <w:name w:val="toa heading"/>
    <w:basedOn w:val="Normal"/>
    <w:next w:val="Normal"/>
    <w:uiPriority w:val="99"/>
    <w:semiHidden/>
    <w:rsid w:val="00301152"/>
    <w:pPr>
      <w:spacing w:before="120"/>
    </w:pPr>
    <w:rPr>
      <w:rFonts w:ascii="Arial" w:hAnsi="Arial" w:cs="Arial"/>
      <w:b/>
      <w:bCs/>
      <w:sz w:val="24"/>
    </w:rPr>
  </w:style>
  <w:style w:type="paragraph" w:styleId="TOC1">
    <w:name w:val="toc 1"/>
    <w:basedOn w:val="Normal"/>
    <w:next w:val="Normal"/>
    <w:uiPriority w:val="99"/>
    <w:rsid w:val="00301152"/>
  </w:style>
  <w:style w:type="paragraph" w:styleId="TOC2">
    <w:name w:val="toc 2"/>
    <w:basedOn w:val="Normal"/>
    <w:next w:val="Normal"/>
    <w:uiPriority w:val="99"/>
    <w:rsid w:val="00301152"/>
    <w:pPr>
      <w:ind w:left="260"/>
    </w:pPr>
  </w:style>
  <w:style w:type="paragraph" w:styleId="TOC3">
    <w:name w:val="toc 3"/>
    <w:basedOn w:val="Normal"/>
    <w:next w:val="Normal"/>
    <w:uiPriority w:val="99"/>
    <w:rsid w:val="00301152"/>
    <w:pPr>
      <w:ind w:left="520"/>
    </w:pPr>
  </w:style>
  <w:style w:type="paragraph" w:styleId="TOC4">
    <w:name w:val="toc 4"/>
    <w:basedOn w:val="Normal"/>
    <w:next w:val="Normal"/>
    <w:uiPriority w:val="99"/>
    <w:semiHidden/>
    <w:rsid w:val="00301152"/>
    <w:pPr>
      <w:ind w:left="780"/>
    </w:pPr>
  </w:style>
  <w:style w:type="paragraph" w:styleId="TOC5">
    <w:name w:val="toc 5"/>
    <w:basedOn w:val="Normal"/>
    <w:next w:val="Normal"/>
    <w:uiPriority w:val="99"/>
    <w:semiHidden/>
    <w:rsid w:val="00301152"/>
    <w:pPr>
      <w:ind w:left="1040"/>
    </w:pPr>
  </w:style>
  <w:style w:type="paragraph" w:styleId="TOC6">
    <w:name w:val="toc 6"/>
    <w:basedOn w:val="Normal"/>
    <w:next w:val="Normal"/>
    <w:uiPriority w:val="99"/>
    <w:semiHidden/>
    <w:rsid w:val="00301152"/>
    <w:pPr>
      <w:ind w:left="1300"/>
    </w:pPr>
  </w:style>
  <w:style w:type="paragraph" w:styleId="TOC7">
    <w:name w:val="toc 7"/>
    <w:basedOn w:val="Normal"/>
    <w:next w:val="Normal"/>
    <w:uiPriority w:val="99"/>
    <w:semiHidden/>
    <w:rsid w:val="00301152"/>
    <w:pPr>
      <w:ind w:left="1560"/>
    </w:pPr>
  </w:style>
  <w:style w:type="paragraph" w:styleId="TOC8">
    <w:name w:val="toc 8"/>
    <w:basedOn w:val="Normal"/>
    <w:next w:val="Normal"/>
    <w:uiPriority w:val="99"/>
    <w:semiHidden/>
    <w:rsid w:val="00301152"/>
    <w:pPr>
      <w:ind w:left="1820"/>
    </w:pPr>
  </w:style>
  <w:style w:type="paragraph" w:styleId="TOC9">
    <w:name w:val="toc 9"/>
    <w:basedOn w:val="Normal"/>
    <w:next w:val="Normal"/>
    <w:uiPriority w:val="99"/>
    <w:semiHidden/>
    <w:rsid w:val="00301152"/>
    <w:pPr>
      <w:ind w:left="2080"/>
    </w:pPr>
  </w:style>
  <w:style w:type="paragraph" w:styleId="TOCHeading">
    <w:name w:val="TOC Heading"/>
    <w:basedOn w:val="Heading1"/>
    <w:next w:val="Normal"/>
    <w:uiPriority w:val="99"/>
    <w:qFormat/>
    <w:rsid w:val="002A4F39"/>
    <w:pPr>
      <w:widowControl w:val="0"/>
      <w:spacing w:before="480" w:after="0"/>
      <w:outlineLvl w:val="9"/>
    </w:pPr>
    <w:rPr>
      <w:rFonts w:ascii="Cambria" w:hAnsi="Cambria"/>
      <w:color w:val="365F91"/>
      <w:kern w:val="0"/>
      <w:sz w:val="28"/>
      <w:szCs w:val="28"/>
      <w:u w:val="none"/>
    </w:rPr>
  </w:style>
  <w:style w:type="character" w:styleId="Hyperlink">
    <w:name w:val="Hyperlink"/>
    <w:basedOn w:val="DefaultParagraphFont"/>
    <w:uiPriority w:val="99"/>
    <w:rsid w:val="00A123E5"/>
    <w:rPr>
      <w:rFonts w:cs="Times New Roman"/>
      <w:color w:val="0000FF"/>
      <w:u w:val="single"/>
    </w:rPr>
  </w:style>
  <w:style w:type="character" w:customStyle="1" w:styleId="FERCparanumberChar">
    <w:name w:val="FERC paranumber Char"/>
    <w:link w:val="FERCparanumber"/>
    <w:uiPriority w:val="99"/>
    <w:locked/>
    <w:rsid w:val="003A4C5A"/>
    <w:rPr>
      <w:sz w:val="24"/>
      <w:lang w:val="en-US" w:eastAsia="en-US"/>
    </w:rPr>
  </w:style>
  <w:style w:type="paragraph" w:customStyle="1" w:styleId="RegText">
    <w:name w:val="Reg Text"/>
    <w:basedOn w:val="Normal"/>
    <w:uiPriority w:val="99"/>
    <w:rsid w:val="00A123E5"/>
    <w:pPr>
      <w:numPr>
        <w:numId w:val="39"/>
      </w:numPr>
      <w:ind w:left="0" w:firstLine="0"/>
    </w:pPr>
    <w:rPr>
      <w:szCs w:val="26"/>
    </w:rPr>
  </w:style>
  <w:style w:type="character" w:styleId="CommentReference">
    <w:name w:val="annotation reference"/>
    <w:basedOn w:val="DefaultParagraphFont"/>
    <w:uiPriority w:val="99"/>
    <w:semiHidden/>
    <w:rsid w:val="00A123E5"/>
    <w:rPr>
      <w:rFonts w:cs="Times New Roman"/>
      <w:sz w:val="16"/>
    </w:rPr>
  </w:style>
  <w:style w:type="paragraph" w:customStyle="1" w:styleId="Default">
    <w:name w:val="Default"/>
    <w:uiPriority w:val="99"/>
    <w:rsid w:val="00A123E5"/>
    <w:pPr>
      <w:autoSpaceDE w:val="0"/>
      <w:autoSpaceDN w:val="0"/>
      <w:adjustRightInd w:val="0"/>
    </w:pPr>
    <w:rPr>
      <w:color w:val="000000"/>
      <w:sz w:val="24"/>
      <w:szCs w:val="24"/>
    </w:rPr>
  </w:style>
  <w:style w:type="character" w:styleId="FollowedHyperlink">
    <w:name w:val="FollowedHyperlink"/>
    <w:basedOn w:val="DefaultParagraphFont"/>
    <w:uiPriority w:val="99"/>
    <w:rsid w:val="00A123E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55412431">
      <w:marLeft w:val="0"/>
      <w:marRight w:val="0"/>
      <w:marTop w:val="0"/>
      <w:marBottom w:val="0"/>
      <w:divBdr>
        <w:top w:val="none" w:sz="0" w:space="0" w:color="auto"/>
        <w:left w:val="none" w:sz="0" w:space="0" w:color="auto"/>
        <w:bottom w:val="none" w:sz="0" w:space="0" w:color="auto"/>
        <w:right w:val="none" w:sz="0" w:space="0" w:color="auto"/>
      </w:divBdr>
    </w:div>
    <w:div w:id="455412432">
      <w:marLeft w:val="0"/>
      <w:marRight w:val="0"/>
      <w:marTop w:val="0"/>
      <w:marBottom w:val="0"/>
      <w:divBdr>
        <w:top w:val="none" w:sz="0" w:space="0" w:color="auto"/>
        <w:left w:val="none" w:sz="0" w:space="0" w:color="auto"/>
        <w:bottom w:val="none" w:sz="0" w:space="0" w:color="auto"/>
        <w:right w:val="none" w:sz="0" w:space="0" w:color="auto"/>
      </w:divBdr>
    </w:div>
    <w:div w:id="45541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rc.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c.gov" TargetMode="Externa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c.referenceroom@fer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ferconlinesupport@ferc.gov"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erc.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whitehouse.gov/blog/2012/01/18/green-button-providing-consumers-access-their-energ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40</Pages>
  <Words>7275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FERC ¶ 61,026</dc:title>
  <dc:subject/>
  <dc:creator/>
  <cp:keywords/>
  <dc:description/>
  <cp:lastModifiedBy>Denise Rager</cp:lastModifiedBy>
  <cp:revision>2</cp:revision>
  <cp:lastPrinted>2013-07-18T15:22:00Z</cp:lastPrinted>
  <dcterms:created xsi:type="dcterms:W3CDTF">2013-07-18T17:44:00Z</dcterms:created>
  <dcterms:modified xsi:type="dcterms:W3CDTF">2013-07-18T17:44:00Z</dcterms:modified>
</cp:coreProperties>
</file>