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33" w:rsidRPr="008D5E12" w:rsidRDefault="001E0A33" w:rsidP="003C4E67">
      <w:pPr>
        <w:spacing w:before="80"/>
        <w:ind w:left="1440" w:hanging="1440"/>
        <w:jc w:val="both"/>
      </w:pPr>
      <w:r w:rsidRPr="008D5E12">
        <w:rPr>
          <w:b/>
        </w:rPr>
        <w:t>TO:</w:t>
      </w:r>
      <w:r w:rsidRPr="008D5E12">
        <w:rPr>
          <w:b/>
        </w:rPr>
        <w:tab/>
      </w:r>
      <w:r w:rsidR="007430D6">
        <w:t>Valerie Agnew, NERC Director or Standards Development</w:t>
      </w:r>
    </w:p>
    <w:p w:rsidR="001E0A33" w:rsidRPr="008D5E12" w:rsidRDefault="001E0A33" w:rsidP="003C4E67">
      <w:pPr>
        <w:spacing w:before="80"/>
        <w:ind w:left="1440" w:hanging="1440"/>
        <w:outlineLvl w:val="0"/>
      </w:pPr>
      <w:r w:rsidRPr="008D5E12">
        <w:rPr>
          <w:b/>
        </w:rPr>
        <w:t xml:space="preserve">FROM: </w:t>
      </w:r>
      <w:r w:rsidRPr="008D5E12">
        <w:rPr>
          <w:b/>
        </w:rPr>
        <w:tab/>
      </w:r>
      <w:smartTag w:uri="urn:schemas-microsoft-com:office:smarttags" w:element="PersonName">
        <w:r w:rsidR="008011D6">
          <w:t>Jonathan Booe</w:t>
        </w:r>
      </w:smartTag>
      <w:r w:rsidR="00C1471A">
        <w:t xml:space="preserve">, </w:t>
      </w:r>
      <w:r w:rsidR="003C4E67">
        <w:t xml:space="preserve">NAESB </w:t>
      </w:r>
      <w:r w:rsidR="008011D6">
        <w:t>Vice President</w:t>
      </w:r>
      <w:r w:rsidR="003C4E67">
        <w:t xml:space="preserve"> </w:t>
      </w:r>
    </w:p>
    <w:p w:rsidR="001E0A33" w:rsidRPr="008D5E12" w:rsidRDefault="001E0A33" w:rsidP="003C4E67">
      <w:pPr>
        <w:spacing w:before="80"/>
        <w:ind w:left="1440" w:hanging="1440"/>
        <w:jc w:val="both"/>
      </w:pPr>
      <w:r w:rsidRPr="008D5E12">
        <w:rPr>
          <w:b/>
        </w:rPr>
        <w:t>RE:</w:t>
      </w:r>
      <w:r w:rsidRPr="008D5E12">
        <w:rPr>
          <w:b/>
        </w:rPr>
        <w:tab/>
      </w:r>
      <w:r w:rsidR="007430D6">
        <w:rPr>
          <w:bCs/>
        </w:rPr>
        <w:t>NAESB/NERC Standards Development Coordination Plan</w:t>
      </w:r>
      <w:r w:rsidR="00975BEF">
        <w:rPr>
          <w:bCs/>
        </w:rPr>
        <w:t xml:space="preserve"> – </w:t>
      </w:r>
      <w:r w:rsidR="007430D6">
        <w:rPr>
          <w:bCs/>
        </w:rPr>
        <w:t>March 11</w:t>
      </w:r>
      <w:r w:rsidR="001D70B5">
        <w:rPr>
          <w:bCs/>
        </w:rPr>
        <w:t>, 20</w:t>
      </w:r>
      <w:r w:rsidR="006A02D9">
        <w:rPr>
          <w:bCs/>
        </w:rPr>
        <w:t>13</w:t>
      </w:r>
    </w:p>
    <w:p w:rsidR="00F76B33" w:rsidRPr="008D5E12" w:rsidRDefault="001E0A33" w:rsidP="003C4E67">
      <w:pPr>
        <w:pBdr>
          <w:bottom w:val="single" w:sz="12" w:space="1" w:color="auto"/>
        </w:pBdr>
        <w:spacing w:before="80"/>
        <w:jc w:val="both"/>
        <w:rPr>
          <w:b/>
        </w:rPr>
      </w:pPr>
      <w:r w:rsidRPr="008D5E12">
        <w:rPr>
          <w:b/>
        </w:rPr>
        <w:t>DATE:</w:t>
      </w:r>
      <w:r w:rsidR="008B342B" w:rsidRPr="008D5E12">
        <w:tab/>
      </w:r>
      <w:r w:rsidR="008B342B" w:rsidRPr="008D5E12">
        <w:tab/>
      </w:r>
      <w:r w:rsidR="007430D6">
        <w:t>March 11</w:t>
      </w:r>
      <w:r w:rsidR="008C7F82" w:rsidRPr="008D5E12">
        <w:t>, 20</w:t>
      </w:r>
      <w:r w:rsidR="006A02D9">
        <w:t>13</w:t>
      </w:r>
    </w:p>
    <w:p w:rsidR="00C57398" w:rsidRDefault="00C57398" w:rsidP="00BA290D"/>
    <w:p w:rsidR="007430D6" w:rsidRPr="007430D6" w:rsidRDefault="007430D6" w:rsidP="007430D6">
      <w:pPr>
        <w:jc w:val="center"/>
        <w:rPr>
          <w:b/>
        </w:rPr>
      </w:pPr>
      <w:r w:rsidRPr="007430D6">
        <w:rPr>
          <w:b/>
        </w:rPr>
        <w:t>NAESB/NERC Standards Development Coordination Plan</w:t>
      </w:r>
    </w:p>
    <w:p w:rsidR="007430D6" w:rsidRDefault="007430D6" w:rsidP="00BA290D"/>
    <w:tbl>
      <w:tblPr>
        <w:tblStyle w:val="TableGrid"/>
        <w:tblW w:w="0" w:type="auto"/>
        <w:tblInd w:w="115" w:type="dxa"/>
        <w:tblCellMar>
          <w:left w:w="115" w:type="dxa"/>
          <w:right w:w="115" w:type="dxa"/>
        </w:tblCellMar>
        <w:tblLook w:val="04A0"/>
      </w:tblPr>
      <w:tblGrid>
        <w:gridCol w:w="380"/>
        <w:gridCol w:w="2325"/>
        <w:gridCol w:w="2146"/>
        <w:gridCol w:w="2019"/>
        <w:gridCol w:w="3594"/>
        <w:gridCol w:w="2213"/>
        <w:gridCol w:w="1838"/>
      </w:tblGrid>
      <w:tr w:rsidR="00662CBB" w:rsidTr="00C80E7C">
        <w:trPr>
          <w:cantSplit/>
          <w:tblHeader/>
        </w:trPr>
        <w:tc>
          <w:tcPr>
            <w:tcW w:w="2705" w:type="dxa"/>
            <w:gridSpan w:val="2"/>
            <w:tcBorders>
              <w:bottom w:val="double" w:sz="4" w:space="0" w:color="auto"/>
            </w:tcBorders>
          </w:tcPr>
          <w:p w:rsidR="00662CBB" w:rsidRPr="00AC24A4" w:rsidRDefault="00662CBB" w:rsidP="001318A2">
            <w:pPr>
              <w:spacing w:before="12" w:after="12"/>
              <w:rPr>
                <w:b/>
              </w:rPr>
            </w:pPr>
            <w:r w:rsidRPr="00AC24A4">
              <w:rPr>
                <w:b/>
              </w:rPr>
              <w:t>NAESB Annu</w:t>
            </w:r>
            <w:r w:rsidR="00C80E7C">
              <w:rPr>
                <w:b/>
              </w:rPr>
              <w:t>a</w:t>
            </w:r>
            <w:r w:rsidRPr="00AC24A4">
              <w:rPr>
                <w:b/>
              </w:rPr>
              <w:t>l Plan Item</w:t>
            </w:r>
          </w:p>
        </w:tc>
        <w:tc>
          <w:tcPr>
            <w:tcW w:w="2146" w:type="dxa"/>
            <w:tcBorders>
              <w:bottom w:val="double" w:sz="4" w:space="0" w:color="auto"/>
            </w:tcBorders>
          </w:tcPr>
          <w:p w:rsidR="00662CBB" w:rsidRPr="00AC24A4" w:rsidRDefault="00662CBB" w:rsidP="001318A2">
            <w:pPr>
              <w:spacing w:before="12" w:after="12"/>
              <w:rPr>
                <w:b/>
              </w:rPr>
            </w:pPr>
            <w:r w:rsidRPr="00AC24A4">
              <w:rPr>
                <w:b/>
              </w:rPr>
              <w:t>NAESB Assignment</w:t>
            </w:r>
          </w:p>
        </w:tc>
        <w:tc>
          <w:tcPr>
            <w:tcW w:w="2019" w:type="dxa"/>
            <w:tcBorders>
              <w:bottom w:val="double" w:sz="4" w:space="0" w:color="auto"/>
            </w:tcBorders>
          </w:tcPr>
          <w:p w:rsidR="00662CBB" w:rsidRPr="00AC24A4" w:rsidRDefault="00662CBB" w:rsidP="001318A2">
            <w:pPr>
              <w:spacing w:before="12" w:after="12"/>
              <w:rPr>
                <w:b/>
              </w:rPr>
            </w:pPr>
            <w:r w:rsidRPr="00AC24A4">
              <w:rPr>
                <w:b/>
              </w:rPr>
              <w:t>NERC Project &amp; Effected Standards</w:t>
            </w:r>
          </w:p>
        </w:tc>
        <w:tc>
          <w:tcPr>
            <w:tcW w:w="3594" w:type="dxa"/>
            <w:tcBorders>
              <w:bottom w:val="double" w:sz="4" w:space="0" w:color="auto"/>
            </w:tcBorders>
          </w:tcPr>
          <w:p w:rsidR="00662CBB" w:rsidRPr="00AC24A4" w:rsidRDefault="00662CBB" w:rsidP="001318A2">
            <w:pPr>
              <w:spacing w:before="12" w:after="12"/>
              <w:rPr>
                <w:b/>
              </w:rPr>
            </w:pPr>
            <w:r w:rsidRPr="00AC24A4">
              <w:rPr>
                <w:b/>
              </w:rPr>
              <w:t>NERC Description</w:t>
            </w:r>
          </w:p>
        </w:tc>
        <w:tc>
          <w:tcPr>
            <w:tcW w:w="2213" w:type="dxa"/>
            <w:tcBorders>
              <w:bottom w:val="double" w:sz="4" w:space="0" w:color="auto"/>
            </w:tcBorders>
          </w:tcPr>
          <w:p w:rsidR="00662CBB" w:rsidRPr="00AC24A4" w:rsidRDefault="00662CBB" w:rsidP="001318A2">
            <w:pPr>
              <w:spacing w:before="12" w:after="12"/>
              <w:rPr>
                <w:b/>
              </w:rPr>
            </w:pPr>
            <w:r w:rsidRPr="00AC24A4">
              <w:rPr>
                <w:b/>
              </w:rPr>
              <w:t>NERC Timeline</w:t>
            </w:r>
          </w:p>
        </w:tc>
        <w:tc>
          <w:tcPr>
            <w:tcW w:w="1838" w:type="dxa"/>
            <w:tcBorders>
              <w:bottom w:val="double" w:sz="4" w:space="0" w:color="auto"/>
            </w:tcBorders>
          </w:tcPr>
          <w:p w:rsidR="00662CBB" w:rsidRPr="00AC24A4" w:rsidRDefault="00662CBB" w:rsidP="001318A2">
            <w:pPr>
              <w:spacing w:before="12" w:after="12"/>
              <w:rPr>
                <w:b/>
              </w:rPr>
            </w:pPr>
            <w:r w:rsidRPr="00AC24A4">
              <w:rPr>
                <w:b/>
              </w:rPr>
              <w:t>NERC Project Leads</w:t>
            </w:r>
          </w:p>
        </w:tc>
      </w:tr>
      <w:tr w:rsidR="007430D6" w:rsidTr="00C80E7C">
        <w:tc>
          <w:tcPr>
            <w:tcW w:w="380" w:type="dxa"/>
            <w:tcBorders>
              <w:top w:val="double" w:sz="4" w:space="0" w:color="auto"/>
            </w:tcBorders>
          </w:tcPr>
          <w:p w:rsidR="007430D6" w:rsidRPr="00125168" w:rsidRDefault="00662CBB" w:rsidP="001318A2">
            <w:pPr>
              <w:spacing w:before="12" w:after="12"/>
            </w:pPr>
            <w:r>
              <w:t>1.</w:t>
            </w:r>
          </w:p>
        </w:tc>
        <w:tc>
          <w:tcPr>
            <w:tcW w:w="2325" w:type="dxa"/>
            <w:tcBorders>
              <w:top w:val="double" w:sz="4" w:space="0" w:color="auto"/>
            </w:tcBorders>
          </w:tcPr>
          <w:p w:rsidR="007430D6" w:rsidRPr="00125168" w:rsidRDefault="007430D6" w:rsidP="001318A2">
            <w:pPr>
              <w:spacing w:before="12" w:after="12"/>
            </w:pPr>
            <w:proofErr w:type="gramStart"/>
            <w:r w:rsidRPr="00125168">
              <w:t>1</w:t>
            </w:r>
            <w:r>
              <w:t>.</w:t>
            </w:r>
            <w:r w:rsidRPr="00125168">
              <w:t>h</w:t>
            </w:r>
            <w:proofErr w:type="gramEnd"/>
            <w:r>
              <w:t>)</w:t>
            </w:r>
            <w:r w:rsidRPr="00125168">
              <w:t xml:space="preserve"> Develop complementary standards that align with NERC </w:t>
            </w:r>
            <w:hyperlink r:id="rId7" w:history="1">
              <w:r w:rsidRPr="00125168">
                <w:rPr>
                  <w:rStyle w:val="Hyperlink"/>
                </w:rPr>
                <w:t>Project 2008-01 Voltage and Reactive Planning and Control</w:t>
              </w:r>
            </w:hyperlink>
            <w:r w:rsidRPr="00125168">
              <w:t>. A SAR was finalized in April 2011</w:t>
            </w:r>
          </w:p>
        </w:tc>
        <w:tc>
          <w:tcPr>
            <w:tcW w:w="2146" w:type="dxa"/>
            <w:tcBorders>
              <w:top w:val="double" w:sz="4" w:space="0" w:color="auto"/>
            </w:tcBorders>
          </w:tcPr>
          <w:p w:rsidR="007430D6" w:rsidRPr="00125168" w:rsidRDefault="007430D6" w:rsidP="001318A2">
            <w:pPr>
              <w:spacing w:before="12" w:after="12"/>
            </w:pPr>
            <w:r w:rsidRPr="00125168">
              <w:t>Business Practice Subcommittee</w:t>
            </w:r>
          </w:p>
        </w:tc>
        <w:tc>
          <w:tcPr>
            <w:tcW w:w="2019" w:type="dxa"/>
            <w:tcBorders>
              <w:top w:val="double" w:sz="4" w:space="0" w:color="auto"/>
            </w:tcBorders>
          </w:tcPr>
          <w:p w:rsidR="007430D6" w:rsidRDefault="007430D6" w:rsidP="001318A2">
            <w:pPr>
              <w:spacing w:before="12" w:after="12"/>
            </w:pPr>
            <w:r>
              <w:t>2008-001 Voltage and Reactive Planning Control</w:t>
            </w:r>
          </w:p>
          <w:p w:rsidR="007430D6" w:rsidRDefault="007430D6" w:rsidP="001318A2">
            <w:pPr>
              <w:spacing w:before="12" w:after="12"/>
            </w:pPr>
          </w:p>
          <w:p w:rsidR="007430D6" w:rsidRPr="00125168" w:rsidRDefault="007430D6" w:rsidP="001318A2">
            <w:pPr>
              <w:spacing w:before="12" w:after="12"/>
            </w:pPr>
            <w:r>
              <w:t>VAR-001 &amp;VAR-002</w:t>
            </w:r>
          </w:p>
        </w:tc>
        <w:tc>
          <w:tcPr>
            <w:tcW w:w="3594" w:type="dxa"/>
            <w:tcBorders>
              <w:top w:val="double" w:sz="4" w:space="0" w:color="auto"/>
            </w:tcBorders>
          </w:tcPr>
          <w:p w:rsidR="007430D6" w:rsidRDefault="007430D6" w:rsidP="001318A2">
            <w:pPr>
              <w:autoSpaceDE w:val="0"/>
              <w:autoSpaceDN w:val="0"/>
              <w:adjustRightInd w:val="0"/>
              <w:spacing w:before="12" w:after="12"/>
            </w:pPr>
            <w:r w:rsidRPr="00125168">
              <w:t>This project will revise the VAR Standards to require that appropriate functional entities</w:t>
            </w:r>
            <w:r>
              <w:t xml:space="preserve"> </w:t>
            </w:r>
            <w:r w:rsidRPr="00125168">
              <w:t>develop and coordinate voltage and reactive planning and op</w:t>
            </w:r>
            <w:r>
              <w:t xml:space="preserve">erating criteria to ensure that </w:t>
            </w:r>
            <w:r w:rsidRPr="00125168">
              <w:t>there are sufficient reactive resources, and voltage and reactive</w:t>
            </w:r>
            <w:r>
              <w:t xml:space="preserve"> margins, to manage the risk of </w:t>
            </w:r>
            <w:r w:rsidRPr="00125168">
              <w:t>voltage instability. The project will also address the FERC directiv</w:t>
            </w:r>
            <w:r>
              <w:t xml:space="preserve">es in Order 693 associated </w:t>
            </w:r>
            <w:r w:rsidRPr="00125168">
              <w:t>w</w:t>
            </w:r>
            <w:r>
              <w:t xml:space="preserve">ith these standards. Review and </w:t>
            </w:r>
            <w:r w:rsidRPr="00125168">
              <w:t>modifications to the existing V</w:t>
            </w:r>
            <w:r>
              <w:t xml:space="preserve">AR standards will also consider </w:t>
            </w:r>
            <w:r w:rsidRPr="00125168">
              <w:t>the Transmission Issues Subcommittee’s “Reactive Supp</w:t>
            </w:r>
            <w:r>
              <w:t xml:space="preserve">ort &amp; Control Whitepaper” dated </w:t>
            </w:r>
            <w:r w:rsidRPr="00125168">
              <w:t>05/18/2009.</w:t>
            </w:r>
          </w:p>
          <w:p w:rsidR="007430D6" w:rsidRDefault="007430D6" w:rsidP="001318A2">
            <w:pPr>
              <w:autoSpaceDE w:val="0"/>
              <w:autoSpaceDN w:val="0"/>
              <w:adjustRightInd w:val="0"/>
              <w:spacing w:before="12" w:after="12"/>
            </w:pPr>
          </w:p>
          <w:p w:rsidR="007430D6" w:rsidRPr="00125168" w:rsidRDefault="007430D6" w:rsidP="001318A2">
            <w:pPr>
              <w:autoSpaceDE w:val="0"/>
              <w:autoSpaceDN w:val="0"/>
              <w:adjustRightInd w:val="0"/>
              <w:spacing w:before="12" w:after="12"/>
            </w:pPr>
            <w:r w:rsidRPr="00125168">
              <w:t>Prepare and achieve approval on the existing VAR</w:t>
            </w:r>
            <w:r>
              <w:t>-</w:t>
            </w:r>
            <w:r w:rsidRPr="00125168">
              <w:t>001 and VAR</w:t>
            </w:r>
            <w:r>
              <w:t>-</w:t>
            </w:r>
            <w:r w:rsidRPr="00125168">
              <w:t xml:space="preserve">002 Reliability Standards to be more specific in defining voltage and reactive power schedules. Consideration should be given to adding a requirement for the Reliability Coordinator to monitor and take action if reactive power falls outside </w:t>
            </w:r>
            <w:r>
              <w:t>identified limits.</w:t>
            </w:r>
          </w:p>
        </w:tc>
        <w:tc>
          <w:tcPr>
            <w:tcW w:w="2213" w:type="dxa"/>
            <w:tcBorders>
              <w:top w:val="double" w:sz="4" w:space="0" w:color="auto"/>
            </w:tcBorders>
          </w:tcPr>
          <w:p w:rsidR="007430D6" w:rsidRPr="00125168" w:rsidRDefault="007430D6" w:rsidP="001318A2">
            <w:pPr>
              <w:autoSpaceDE w:val="0"/>
              <w:autoSpaceDN w:val="0"/>
              <w:adjustRightInd w:val="0"/>
              <w:spacing w:before="12" w:after="12"/>
              <w:rPr>
                <w:bCs/>
              </w:rPr>
            </w:pPr>
            <w:r>
              <w:rPr>
                <w:bCs/>
              </w:rPr>
              <w:t xml:space="preserve">Informal Outreach </w:t>
            </w:r>
            <w:r w:rsidRPr="00125168">
              <w:rPr>
                <w:bCs/>
              </w:rPr>
              <w:t>02/2013</w:t>
            </w:r>
          </w:p>
          <w:p w:rsidR="007430D6" w:rsidRDefault="007430D6" w:rsidP="001318A2">
            <w:pPr>
              <w:autoSpaceDE w:val="0"/>
              <w:autoSpaceDN w:val="0"/>
              <w:adjustRightInd w:val="0"/>
              <w:spacing w:before="12" w:after="12"/>
              <w:rPr>
                <w:rFonts w:eastAsia="SymbolMT"/>
              </w:rPr>
            </w:pPr>
          </w:p>
          <w:p w:rsidR="007430D6" w:rsidRPr="00125168" w:rsidRDefault="007430D6" w:rsidP="001318A2">
            <w:pPr>
              <w:autoSpaceDE w:val="0"/>
              <w:autoSpaceDN w:val="0"/>
              <w:adjustRightInd w:val="0"/>
              <w:spacing w:before="12" w:after="12"/>
              <w:rPr>
                <w:bCs/>
              </w:rPr>
            </w:pPr>
            <w:r>
              <w:rPr>
                <w:bCs/>
              </w:rPr>
              <w:t xml:space="preserve">SAR Developed </w:t>
            </w:r>
            <w:r w:rsidRPr="00125168">
              <w:rPr>
                <w:bCs/>
              </w:rPr>
              <w:t>06/2013</w:t>
            </w:r>
          </w:p>
          <w:p w:rsidR="007430D6" w:rsidRDefault="007430D6" w:rsidP="001318A2">
            <w:pPr>
              <w:autoSpaceDE w:val="0"/>
              <w:autoSpaceDN w:val="0"/>
              <w:adjustRightInd w:val="0"/>
              <w:spacing w:before="12" w:after="12"/>
              <w:rPr>
                <w:rFonts w:eastAsia="SymbolMT"/>
              </w:rPr>
            </w:pPr>
          </w:p>
          <w:p w:rsidR="007430D6" w:rsidRDefault="007430D6" w:rsidP="001318A2">
            <w:pPr>
              <w:autoSpaceDE w:val="0"/>
              <w:autoSpaceDN w:val="0"/>
              <w:adjustRightInd w:val="0"/>
              <w:spacing w:before="12" w:after="12"/>
              <w:rPr>
                <w:bCs/>
              </w:rPr>
            </w:pPr>
            <w:r w:rsidRPr="00125168">
              <w:rPr>
                <w:bCs/>
              </w:rPr>
              <w:t xml:space="preserve">Initial Comment </w:t>
            </w:r>
            <w:r>
              <w:rPr>
                <w:bCs/>
              </w:rPr>
              <w:t>Period/Ballot 07/2013</w:t>
            </w:r>
          </w:p>
          <w:p w:rsidR="007430D6" w:rsidRDefault="007430D6" w:rsidP="001318A2">
            <w:pPr>
              <w:autoSpaceDE w:val="0"/>
              <w:autoSpaceDN w:val="0"/>
              <w:adjustRightInd w:val="0"/>
              <w:spacing w:before="12" w:after="12"/>
              <w:rPr>
                <w:bCs/>
              </w:rPr>
            </w:pPr>
          </w:p>
          <w:p w:rsidR="007430D6" w:rsidRDefault="007430D6" w:rsidP="001318A2">
            <w:pPr>
              <w:autoSpaceDE w:val="0"/>
              <w:autoSpaceDN w:val="0"/>
              <w:adjustRightInd w:val="0"/>
              <w:spacing w:before="12" w:after="12"/>
              <w:rPr>
                <w:bCs/>
              </w:rPr>
            </w:pPr>
            <w:r>
              <w:rPr>
                <w:bCs/>
              </w:rPr>
              <w:t xml:space="preserve">Recirculation Ballot </w:t>
            </w:r>
          </w:p>
          <w:p w:rsidR="007430D6" w:rsidRPr="00125168" w:rsidRDefault="007430D6" w:rsidP="001318A2">
            <w:pPr>
              <w:autoSpaceDE w:val="0"/>
              <w:autoSpaceDN w:val="0"/>
              <w:adjustRightInd w:val="0"/>
              <w:spacing w:before="12" w:after="12"/>
              <w:rPr>
                <w:bCs/>
              </w:rPr>
            </w:pPr>
            <w:r w:rsidRPr="00125168">
              <w:rPr>
                <w:bCs/>
              </w:rPr>
              <w:t>09/2013</w:t>
            </w:r>
          </w:p>
          <w:p w:rsidR="007430D6" w:rsidRDefault="007430D6" w:rsidP="001318A2">
            <w:pPr>
              <w:spacing w:before="12" w:after="12"/>
              <w:rPr>
                <w:rFonts w:eastAsia="SymbolMT"/>
              </w:rPr>
            </w:pPr>
          </w:p>
          <w:p w:rsidR="007430D6" w:rsidRPr="00125168" w:rsidRDefault="007430D6" w:rsidP="001318A2">
            <w:pPr>
              <w:spacing w:before="12" w:after="12"/>
            </w:pPr>
            <w:r>
              <w:rPr>
                <w:bCs/>
              </w:rPr>
              <w:t xml:space="preserve">Presented to BOT </w:t>
            </w:r>
            <w:r w:rsidRPr="00125168">
              <w:rPr>
                <w:bCs/>
              </w:rPr>
              <w:t>11/2013</w:t>
            </w:r>
          </w:p>
          <w:p w:rsidR="007430D6" w:rsidRPr="00125168" w:rsidRDefault="007430D6" w:rsidP="001318A2">
            <w:pPr>
              <w:spacing w:before="12" w:after="12"/>
            </w:pPr>
          </w:p>
        </w:tc>
        <w:tc>
          <w:tcPr>
            <w:tcW w:w="1838" w:type="dxa"/>
            <w:tcBorders>
              <w:top w:val="double" w:sz="4" w:space="0" w:color="auto"/>
            </w:tcBorders>
          </w:tcPr>
          <w:p w:rsidR="007430D6" w:rsidRDefault="001E25DD" w:rsidP="001318A2">
            <w:pPr>
              <w:spacing w:before="12" w:after="12"/>
            </w:pPr>
            <w:r>
              <w:t>Valerie Agnew</w:t>
            </w:r>
          </w:p>
          <w:p w:rsidR="001E25DD" w:rsidRPr="00125168" w:rsidRDefault="001E25DD" w:rsidP="001318A2">
            <w:pPr>
              <w:spacing w:before="12" w:after="12"/>
            </w:pPr>
            <w:r>
              <w:t>Soo Jin Kim</w:t>
            </w:r>
          </w:p>
        </w:tc>
      </w:tr>
      <w:tr w:rsidR="007430D6" w:rsidTr="00C80E7C">
        <w:tc>
          <w:tcPr>
            <w:tcW w:w="380" w:type="dxa"/>
          </w:tcPr>
          <w:p w:rsidR="007430D6" w:rsidRPr="00125168" w:rsidRDefault="00662CBB" w:rsidP="001318A2">
            <w:pPr>
              <w:pStyle w:val="TableText"/>
              <w:tabs>
                <w:tab w:val="left" w:pos="0"/>
              </w:tabs>
              <w:spacing w:before="12" w:after="12"/>
              <w:rPr>
                <w:rFonts w:ascii="Times New Roman" w:hAnsi="Times New Roman"/>
                <w:sz w:val="20"/>
              </w:rPr>
            </w:pPr>
            <w:r>
              <w:rPr>
                <w:rFonts w:ascii="Times New Roman" w:hAnsi="Times New Roman"/>
                <w:sz w:val="20"/>
              </w:rPr>
              <w:t>2.</w:t>
            </w:r>
          </w:p>
        </w:tc>
        <w:tc>
          <w:tcPr>
            <w:tcW w:w="2325" w:type="dxa"/>
          </w:tcPr>
          <w:p w:rsidR="007430D6" w:rsidRPr="00125168" w:rsidRDefault="007430D6" w:rsidP="001318A2">
            <w:pPr>
              <w:pStyle w:val="TableText"/>
              <w:tabs>
                <w:tab w:val="left" w:pos="0"/>
              </w:tabs>
              <w:spacing w:before="12" w:after="12"/>
              <w:rPr>
                <w:rFonts w:ascii="Times New Roman" w:hAnsi="Times New Roman"/>
                <w:sz w:val="20"/>
              </w:rPr>
            </w:pPr>
            <w:proofErr w:type="gramStart"/>
            <w:r w:rsidRPr="00125168">
              <w:rPr>
                <w:rFonts w:ascii="Times New Roman" w:hAnsi="Times New Roman"/>
                <w:sz w:val="20"/>
              </w:rPr>
              <w:t>1.i</w:t>
            </w:r>
            <w:proofErr w:type="gramEnd"/>
            <w:r w:rsidRPr="00125168">
              <w:rPr>
                <w:rFonts w:ascii="Times New Roman" w:hAnsi="Times New Roman"/>
                <w:sz w:val="20"/>
              </w:rPr>
              <w:t>) Develop complementary standards that align with NERC Project 2010-4 Demand Data. The NERC project may impact WEQ-015 Business Practices for Measurement and Verification of Wholesale Electricity Demand Response.</w:t>
            </w:r>
          </w:p>
          <w:p w:rsidR="007430D6" w:rsidRPr="00125168" w:rsidRDefault="007430D6" w:rsidP="001318A2">
            <w:pPr>
              <w:spacing w:before="12" w:after="12"/>
            </w:pPr>
          </w:p>
        </w:tc>
        <w:tc>
          <w:tcPr>
            <w:tcW w:w="2146" w:type="dxa"/>
          </w:tcPr>
          <w:p w:rsidR="007430D6" w:rsidRDefault="007430D6" w:rsidP="001318A2">
            <w:pPr>
              <w:spacing w:before="12" w:after="12"/>
            </w:pPr>
            <w:r>
              <w:t>Demand Side Management/</w:t>
            </w:r>
          </w:p>
          <w:p w:rsidR="007430D6" w:rsidRPr="00125168" w:rsidRDefault="007430D6" w:rsidP="001318A2">
            <w:pPr>
              <w:spacing w:before="12" w:after="12"/>
            </w:pPr>
            <w:r>
              <w:t xml:space="preserve">Energy Efficiency Subcommittee </w:t>
            </w:r>
          </w:p>
        </w:tc>
        <w:tc>
          <w:tcPr>
            <w:tcW w:w="2019" w:type="dxa"/>
          </w:tcPr>
          <w:p w:rsidR="007430D6" w:rsidRPr="00125168" w:rsidRDefault="007430D6" w:rsidP="001318A2">
            <w:pPr>
              <w:spacing w:before="12" w:after="12"/>
            </w:pPr>
            <w:r w:rsidRPr="00125168">
              <w:t xml:space="preserve">2010-4 Demand Data </w:t>
            </w:r>
          </w:p>
          <w:p w:rsidR="007430D6" w:rsidRPr="00125168" w:rsidRDefault="007430D6" w:rsidP="001318A2">
            <w:pPr>
              <w:spacing w:before="12" w:after="12"/>
            </w:pPr>
          </w:p>
          <w:p w:rsidR="007430D6" w:rsidRPr="00125168" w:rsidRDefault="007430D6" w:rsidP="001318A2">
            <w:pPr>
              <w:spacing w:before="12" w:after="12"/>
            </w:pPr>
            <w:r w:rsidRPr="00125168">
              <w:t>MOD</w:t>
            </w:r>
            <w:r w:rsidRPr="00125168">
              <w:rPr>
                <w:rFonts w:ascii="Cambria Math" w:hAnsi="Cambria Math" w:cs="Cambria Math"/>
              </w:rPr>
              <w:t>‐</w:t>
            </w:r>
            <w:r w:rsidRPr="00125168">
              <w:t>016, MOD</w:t>
            </w:r>
            <w:r w:rsidRPr="00125168">
              <w:rPr>
                <w:rFonts w:ascii="Cambria Math" w:hAnsi="Cambria Math" w:cs="Cambria Math"/>
              </w:rPr>
              <w:t>‐</w:t>
            </w:r>
            <w:r w:rsidRPr="00125168">
              <w:t>017, MOD</w:t>
            </w:r>
            <w:r w:rsidRPr="00125168">
              <w:rPr>
                <w:rFonts w:ascii="Cambria Math" w:hAnsi="Cambria Math" w:cs="Cambria Math"/>
              </w:rPr>
              <w:t>‐</w:t>
            </w:r>
            <w:r w:rsidRPr="00125168">
              <w:t>018, MOD</w:t>
            </w:r>
            <w:r w:rsidRPr="00125168">
              <w:rPr>
                <w:rFonts w:ascii="Cambria Math" w:hAnsi="Cambria Math" w:cs="Cambria Math"/>
              </w:rPr>
              <w:t>‐</w:t>
            </w:r>
            <w:r w:rsidRPr="00125168">
              <w:t>019, MOD</w:t>
            </w:r>
            <w:r w:rsidRPr="00125168">
              <w:rPr>
                <w:rFonts w:ascii="Cambria Math" w:hAnsi="Cambria Math" w:cs="Cambria Math"/>
              </w:rPr>
              <w:t>‐</w:t>
            </w:r>
            <w:r>
              <w:t xml:space="preserve">020 &amp; </w:t>
            </w:r>
            <w:r w:rsidRPr="00125168">
              <w:t>MOD</w:t>
            </w:r>
            <w:r w:rsidRPr="00125168">
              <w:rPr>
                <w:rFonts w:ascii="Cambria Math" w:hAnsi="Cambria Math" w:cs="Cambria Math"/>
              </w:rPr>
              <w:t>‐</w:t>
            </w:r>
            <w:r w:rsidRPr="00125168">
              <w:t>021</w:t>
            </w:r>
          </w:p>
        </w:tc>
        <w:tc>
          <w:tcPr>
            <w:tcW w:w="3594" w:type="dxa"/>
          </w:tcPr>
          <w:p w:rsidR="007430D6" w:rsidRDefault="007430D6" w:rsidP="001318A2">
            <w:pPr>
              <w:autoSpaceDE w:val="0"/>
              <w:autoSpaceDN w:val="0"/>
              <w:adjustRightInd w:val="0"/>
              <w:spacing w:before="12" w:after="12"/>
            </w:pPr>
            <w:r w:rsidRPr="00125168">
              <w:t>This project will consolidate MOD</w:t>
            </w:r>
            <w:r w:rsidRPr="00125168">
              <w:rPr>
                <w:rFonts w:ascii="Cambria Math" w:hAnsi="Cambria Math" w:cs="Cambria Math"/>
              </w:rPr>
              <w:t>‐</w:t>
            </w:r>
            <w:r w:rsidRPr="00125168">
              <w:t>016 through MOD</w:t>
            </w:r>
            <w:r w:rsidRPr="00125168">
              <w:rPr>
                <w:rFonts w:ascii="Cambria Math" w:hAnsi="Cambria Math" w:cs="Cambria Math"/>
              </w:rPr>
              <w:t>‐</w:t>
            </w:r>
            <w:r w:rsidRPr="00125168">
              <w:t>020 into a single standard, with MOD</w:t>
            </w:r>
            <w:r w:rsidRPr="00125168">
              <w:rPr>
                <w:rFonts w:ascii="Cambria Math" w:hAnsi="Cambria Math" w:cs="Cambria Math"/>
              </w:rPr>
              <w:t>‐</w:t>
            </w:r>
            <w:r w:rsidRPr="00125168">
              <w:t>021 remaining as a separate standard. Requirements will be made be more specific to clearly identify the format for providing data, and modifications will made in support if previously received industry comments and regulatory directives.</w:t>
            </w:r>
          </w:p>
          <w:p w:rsidR="007430D6" w:rsidRPr="00125168" w:rsidRDefault="007430D6" w:rsidP="001318A2">
            <w:pPr>
              <w:autoSpaceDE w:val="0"/>
              <w:autoSpaceDN w:val="0"/>
              <w:adjustRightInd w:val="0"/>
              <w:spacing w:before="12" w:after="12"/>
            </w:pPr>
          </w:p>
          <w:p w:rsidR="007430D6" w:rsidRPr="00125168" w:rsidRDefault="007430D6" w:rsidP="001318A2">
            <w:pPr>
              <w:autoSpaceDE w:val="0"/>
              <w:autoSpaceDN w:val="0"/>
              <w:adjustRightInd w:val="0"/>
              <w:spacing w:before="12" w:after="12"/>
            </w:pPr>
            <w:r w:rsidRPr="00125168">
              <w:t>The Planning Committee has been asked to provide an analys</w:t>
            </w:r>
            <w:r>
              <w:t xml:space="preserve">is of which requirements should </w:t>
            </w:r>
            <w:r w:rsidRPr="00125168">
              <w:t>be modified to be more specific and clearly identify the format for providing demand data. The</w:t>
            </w:r>
          </w:p>
          <w:p w:rsidR="007430D6" w:rsidRDefault="007430D6" w:rsidP="001318A2">
            <w:pPr>
              <w:autoSpaceDE w:val="0"/>
              <w:autoSpaceDN w:val="0"/>
              <w:adjustRightInd w:val="0"/>
              <w:spacing w:before="12" w:after="12"/>
            </w:pPr>
            <w:proofErr w:type="gramStart"/>
            <w:r w:rsidRPr="00125168">
              <w:t>technical</w:t>
            </w:r>
            <w:proofErr w:type="gramEnd"/>
            <w:r w:rsidRPr="00125168">
              <w:t xml:space="preserve"> report should provide a design for the consolidati</w:t>
            </w:r>
            <w:r>
              <w:t xml:space="preserve">on of the MOD standards, taking </w:t>
            </w:r>
            <w:r w:rsidRPr="00125168">
              <w:t>into consideration the EIA data collection efforts.</w:t>
            </w:r>
          </w:p>
          <w:p w:rsidR="007430D6" w:rsidRPr="00125168" w:rsidRDefault="007430D6" w:rsidP="001318A2">
            <w:pPr>
              <w:autoSpaceDE w:val="0"/>
              <w:autoSpaceDN w:val="0"/>
              <w:adjustRightInd w:val="0"/>
              <w:spacing w:before="12" w:after="12"/>
            </w:pPr>
          </w:p>
          <w:p w:rsidR="007430D6" w:rsidRPr="00125168" w:rsidRDefault="007430D6" w:rsidP="001318A2">
            <w:pPr>
              <w:autoSpaceDE w:val="0"/>
              <w:autoSpaceDN w:val="0"/>
              <w:adjustRightInd w:val="0"/>
              <w:spacing w:before="12" w:after="12"/>
              <w:rPr>
                <w:bCs/>
              </w:rPr>
            </w:pPr>
            <w:r w:rsidRPr="00125168">
              <w:rPr>
                <w:bCs/>
              </w:rPr>
              <w:t>Prepare and achieve approval on</w:t>
            </w:r>
            <w:r>
              <w:rPr>
                <w:bCs/>
              </w:rPr>
              <w:t xml:space="preserve"> </w:t>
            </w:r>
            <w:r w:rsidRPr="00125168">
              <w:rPr>
                <w:bCs/>
              </w:rPr>
              <w:t>Reliability</w:t>
            </w:r>
            <w:r>
              <w:rPr>
                <w:bCs/>
              </w:rPr>
              <w:t xml:space="preserve"> </w:t>
            </w:r>
            <w:r w:rsidRPr="00125168">
              <w:rPr>
                <w:bCs/>
              </w:rPr>
              <w:t>Stand</w:t>
            </w:r>
            <w:r>
              <w:rPr>
                <w:bCs/>
              </w:rPr>
              <w:t xml:space="preserve">ards that requires merging, upgrading and expanding existing requirements </w:t>
            </w:r>
            <w:r w:rsidRPr="00125168">
              <w:rPr>
                <w:bCs/>
              </w:rPr>
              <w:t>fo</w:t>
            </w:r>
            <w:r>
              <w:rPr>
                <w:bCs/>
              </w:rPr>
              <w:t xml:space="preserve">r entities to provide data used </w:t>
            </w:r>
            <w:r w:rsidRPr="00125168">
              <w:rPr>
                <w:bCs/>
              </w:rPr>
              <w:t>to model the Bulk Electric</w:t>
            </w:r>
          </w:p>
          <w:p w:rsidR="007430D6" w:rsidRPr="00360EED" w:rsidRDefault="007430D6" w:rsidP="001318A2">
            <w:pPr>
              <w:autoSpaceDE w:val="0"/>
              <w:autoSpaceDN w:val="0"/>
              <w:adjustRightInd w:val="0"/>
              <w:spacing w:before="12" w:after="12"/>
              <w:rPr>
                <w:bCs/>
              </w:rPr>
            </w:pPr>
            <w:r>
              <w:rPr>
                <w:bCs/>
              </w:rPr>
              <w:t xml:space="preserve">System which relates to Blackout recommendations and the modeling Initiative; and to prepare and achieve approval on </w:t>
            </w:r>
            <w:r w:rsidRPr="00125168">
              <w:rPr>
                <w:bCs/>
              </w:rPr>
              <w:t>Reli</w:t>
            </w:r>
            <w:r>
              <w:rPr>
                <w:bCs/>
              </w:rPr>
              <w:t xml:space="preserve">ability Standards that clearly identifies the requirements for </w:t>
            </w:r>
            <w:r w:rsidRPr="00125168">
              <w:rPr>
                <w:bCs/>
              </w:rPr>
              <w:t>providing data.</w:t>
            </w:r>
          </w:p>
        </w:tc>
        <w:tc>
          <w:tcPr>
            <w:tcW w:w="2213" w:type="dxa"/>
          </w:tcPr>
          <w:p w:rsidR="007430D6" w:rsidRDefault="007430D6" w:rsidP="001318A2">
            <w:pPr>
              <w:autoSpaceDE w:val="0"/>
              <w:autoSpaceDN w:val="0"/>
              <w:adjustRightInd w:val="0"/>
              <w:spacing w:before="12" w:after="12"/>
            </w:pPr>
            <w:r>
              <w:t xml:space="preserve">Research Complete </w:t>
            </w:r>
          </w:p>
          <w:p w:rsidR="007430D6" w:rsidRDefault="007430D6" w:rsidP="001318A2">
            <w:pPr>
              <w:autoSpaceDE w:val="0"/>
              <w:autoSpaceDN w:val="0"/>
              <w:adjustRightInd w:val="0"/>
              <w:spacing w:before="12" w:after="12"/>
            </w:pPr>
            <w:r>
              <w:t>03/2013</w:t>
            </w:r>
          </w:p>
          <w:p w:rsidR="007430D6" w:rsidRDefault="007430D6" w:rsidP="001318A2">
            <w:pPr>
              <w:autoSpaceDE w:val="0"/>
              <w:autoSpaceDN w:val="0"/>
              <w:adjustRightInd w:val="0"/>
              <w:spacing w:before="12" w:after="12"/>
            </w:pPr>
          </w:p>
          <w:p w:rsidR="007430D6" w:rsidRDefault="007430D6" w:rsidP="001318A2">
            <w:pPr>
              <w:autoSpaceDE w:val="0"/>
              <w:autoSpaceDN w:val="0"/>
              <w:adjustRightInd w:val="0"/>
              <w:spacing w:before="12" w:after="12"/>
            </w:pPr>
            <w:r>
              <w:t>Informal Outreach</w:t>
            </w:r>
          </w:p>
          <w:p w:rsidR="007430D6" w:rsidRPr="00360EED" w:rsidRDefault="007430D6" w:rsidP="001318A2">
            <w:pPr>
              <w:autoSpaceDE w:val="0"/>
              <w:autoSpaceDN w:val="0"/>
              <w:adjustRightInd w:val="0"/>
              <w:spacing w:before="12" w:after="12"/>
              <w:rPr>
                <w:rFonts w:eastAsiaTheme="minorHAnsi"/>
              </w:rPr>
            </w:pPr>
            <w:r w:rsidRPr="00360EED">
              <w:rPr>
                <w:rFonts w:eastAsiaTheme="minorHAnsi"/>
              </w:rPr>
              <w:t>03/2013</w:t>
            </w:r>
          </w:p>
          <w:p w:rsidR="007430D6" w:rsidRDefault="007430D6" w:rsidP="001318A2">
            <w:pPr>
              <w:autoSpaceDE w:val="0"/>
              <w:autoSpaceDN w:val="0"/>
              <w:adjustRightInd w:val="0"/>
              <w:spacing w:before="12" w:after="12"/>
            </w:pPr>
          </w:p>
          <w:p w:rsidR="007430D6" w:rsidRDefault="007430D6" w:rsidP="001318A2">
            <w:pPr>
              <w:autoSpaceDE w:val="0"/>
              <w:autoSpaceDN w:val="0"/>
              <w:adjustRightInd w:val="0"/>
              <w:spacing w:before="12" w:after="12"/>
            </w:pPr>
            <w:r w:rsidRPr="00360EED">
              <w:rPr>
                <w:rFonts w:eastAsiaTheme="minorHAnsi"/>
              </w:rPr>
              <w:t xml:space="preserve">SAR Developed </w:t>
            </w:r>
          </w:p>
          <w:p w:rsidR="007430D6" w:rsidRDefault="007430D6" w:rsidP="001318A2">
            <w:pPr>
              <w:autoSpaceDE w:val="0"/>
              <w:autoSpaceDN w:val="0"/>
              <w:adjustRightInd w:val="0"/>
              <w:spacing w:before="12" w:after="12"/>
            </w:pPr>
            <w:r>
              <w:t>06/2013</w:t>
            </w:r>
          </w:p>
          <w:p w:rsidR="007430D6" w:rsidRDefault="007430D6" w:rsidP="001318A2">
            <w:pPr>
              <w:autoSpaceDE w:val="0"/>
              <w:autoSpaceDN w:val="0"/>
              <w:adjustRightInd w:val="0"/>
              <w:spacing w:before="12" w:after="12"/>
            </w:pPr>
          </w:p>
          <w:p w:rsidR="007430D6" w:rsidRDefault="007430D6" w:rsidP="001318A2">
            <w:pPr>
              <w:autoSpaceDE w:val="0"/>
              <w:autoSpaceDN w:val="0"/>
              <w:adjustRightInd w:val="0"/>
              <w:spacing w:before="12" w:after="12"/>
            </w:pPr>
            <w:r>
              <w:t>Initial Comment Period/Ballot</w:t>
            </w:r>
          </w:p>
          <w:p w:rsidR="007430D6" w:rsidRPr="00360EED" w:rsidRDefault="007430D6" w:rsidP="001318A2">
            <w:pPr>
              <w:autoSpaceDE w:val="0"/>
              <w:autoSpaceDN w:val="0"/>
              <w:adjustRightInd w:val="0"/>
              <w:spacing w:before="12" w:after="12"/>
              <w:rPr>
                <w:rFonts w:eastAsiaTheme="minorHAnsi"/>
              </w:rPr>
            </w:pPr>
            <w:r w:rsidRPr="00360EED">
              <w:rPr>
                <w:rFonts w:eastAsiaTheme="minorHAnsi"/>
              </w:rPr>
              <w:t>07/2013</w:t>
            </w:r>
          </w:p>
          <w:p w:rsidR="007430D6" w:rsidRDefault="007430D6" w:rsidP="001318A2">
            <w:pPr>
              <w:autoSpaceDE w:val="0"/>
              <w:autoSpaceDN w:val="0"/>
              <w:adjustRightInd w:val="0"/>
              <w:spacing w:before="12" w:after="12"/>
            </w:pPr>
          </w:p>
          <w:p w:rsidR="007430D6" w:rsidRDefault="007430D6" w:rsidP="001318A2">
            <w:pPr>
              <w:autoSpaceDE w:val="0"/>
              <w:autoSpaceDN w:val="0"/>
              <w:adjustRightInd w:val="0"/>
              <w:spacing w:before="12" w:after="12"/>
            </w:pPr>
            <w:r>
              <w:t>Recirculation Ballot</w:t>
            </w:r>
          </w:p>
          <w:p w:rsidR="007430D6" w:rsidRDefault="007430D6" w:rsidP="001318A2">
            <w:pPr>
              <w:autoSpaceDE w:val="0"/>
              <w:autoSpaceDN w:val="0"/>
              <w:adjustRightInd w:val="0"/>
              <w:spacing w:before="12" w:after="12"/>
            </w:pPr>
            <w:r>
              <w:t>09/2013</w:t>
            </w:r>
          </w:p>
          <w:p w:rsidR="007430D6" w:rsidRDefault="007430D6" w:rsidP="001318A2">
            <w:pPr>
              <w:autoSpaceDE w:val="0"/>
              <w:autoSpaceDN w:val="0"/>
              <w:adjustRightInd w:val="0"/>
              <w:spacing w:before="12" w:after="12"/>
            </w:pPr>
          </w:p>
          <w:p w:rsidR="007430D6" w:rsidRDefault="007430D6" w:rsidP="001318A2">
            <w:pPr>
              <w:autoSpaceDE w:val="0"/>
              <w:autoSpaceDN w:val="0"/>
              <w:adjustRightInd w:val="0"/>
              <w:spacing w:before="12" w:after="12"/>
            </w:pPr>
            <w:r w:rsidRPr="00360EED">
              <w:rPr>
                <w:rFonts w:eastAsiaTheme="minorHAnsi"/>
              </w:rPr>
              <w:t>Presented to BO</w:t>
            </w:r>
            <w:r>
              <w:t>T</w:t>
            </w:r>
          </w:p>
          <w:p w:rsidR="007430D6" w:rsidRPr="00360EED" w:rsidRDefault="007430D6" w:rsidP="001318A2">
            <w:pPr>
              <w:autoSpaceDE w:val="0"/>
              <w:autoSpaceDN w:val="0"/>
              <w:adjustRightInd w:val="0"/>
              <w:spacing w:before="12" w:after="12"/>
            </w:pPr>
            <w:r w:rsidRPr="00360EED">
              <w:rPr>
                <w:rFonts w:eastAsiaTheme="minorHAnsi"/>
              </w:rPr>
              <w:t>11/2013</w:t>
            </w:r>
          </w:p>
        </w:tc>
        <w:tc>
          <w:tcPr>
            <w:tcW w:w="1838" w:type="dxa"/>
          </w:tcPr>
          <w:p w:rsidR="007430D6" w:rsidRDefault="001E25DD" w:rsidP="001318A2">
            <w:pPr>
              <w:spacing w:before="12" w:after="12"/>
            </w:pPr>
            <w:r>
              <w:t xml:space="preserve">Valerie Agnew </w:t>
            </w:r>
          </w:p>
          <w:p w:rsidR="001E25DD" w:rsidRDefault="001E25DD" w:rsidP="001318A2">
            <w:pPr>
              <w:spacing w:before="12" w:after="12"/>
            </w:pPr>
            <w:r>
              <w:t>Darrel Richardson</w:t>
            </w:r>
          </w:p>
          <w:p w:rsidR="001E25DD" w:rsidRPr="00125168" w:rsidRDefault="001E25DD" w:rsidP="001318A2">
            <w:pPr>
              <w:spacing w:before="12" w:after="12"/>
            </w:pPr>
          </w:p>
        </w:tc>
      </w:tr>
      <w:tr w:rsidR="007430D6" w:rsidTr="00C80E7C">
        <w:tc>
          <w:tcPr>
            <w:tcW w:w="380" w:type="dxa"/>
          </w:tcPr>
          <w:p w:rsidR="007430D6" w:rsidRPr="00360EED" w:rsidRDefault="00662CBB" w:rsidP="00C80E7C">
            <w:pPr>
              <w:pStyle w:val="TableText"/>
              <w:keepNext/>
              <w:spacing w:before="12" w:after="12"/>
              <w:rPr>
                <w:rFonts w:ascii="Times New Roman" w:hAnsi="Times New Roman"/>
                <w:sz w:val="20"/>
              </w:rPr>
            </w:pPr>
            <w:r>
              <w:rPr>
                <w:rFonts w:ascii="Times New Roman" w:hAnsi="Times New Roman"/>
                <w:sz w:val="20"/>
              </w:rPr>
              <w:t>3.</w:t>
            </w:r>
          </w:p>
        </w:tc>
        <w:tc>
          <w:tcPr>
            <w:tcW w:w="2325" w:type="dxa"/>
          </w:tcPr>
          <w:p w:rsidR="007430D6" w:rsidRPr="00360EED" w:rsidRDefault="007430D6" w:rsidP="001318A2">
            <w:pPr>
              <w:pStyle w:val="TableText"/>
              <w:spacing w:before="12" w:after="12"/>
              <w:rPr>
                <w:rFonts w:ascii="Times New Roman" w:hAnsi="Times New Roman"/>
                <w:sz w:val="20"/>
              </w:rPr>
            </w:pPr>
            <w:proofErr w:type="gramStart"/>
            <w:r w:rsidRPr="00360EED">
              <w:rPr>
                <w:rFonts w:ascii="Times New Roman" w:hAnsi="Times New Roman"/>
                <w:sz w:val="20"/>
              </w:rPr>
              <w:t>1.j</w:t>
            </w:r>
            <w:proofErr w:type="gramEnd"/>
            <w:r w:rsidRPr="00360EED">
              <w:rPr>
                <w:rFonts w:ascii="Times New Roman" w:hAnsi="Times New Roman"/>
                <w:sz w:val="20"/>
              </w:rPr>
              <w:t xml:space="preserve">) Coordinate with NERC on the functional model glossary revisions NERC </w:t>
            </w:r>
            <w:hyperlink r:id="rId8" w:history="1">
              <w:r w:rsidRPr="00360EED">
                <w:rPr>
                  <w:rStyle w:val="Hyperlink"/>
                  <w:rFonts w:ascii="Times New Roman" w:hAnsi="Times New Roman"/>
                  <w:sz w:val="20"/>
                </w:rPr>
                <w:t>Project 2010-08 Functional Glossary Model Revisions</w:t>
              </w:r>
            </w:hyperlink>
            <w:r w:rsidRPr="00360EED">
              <w:rPr>
                <w:rFonts w:ascii="Times New Roman" w:hAnsi="Times New Roman"/>
                <w:sz w:val="20"/>
              </w:rPr>
              <w:t>.  The NERC project may impact WEQ-000 Abbreviations, Acronyms, and Definition of Terms.</w:t>
            </w:r>
          </w:p>
        </w:tc>
        <w:tc>
          <w:tcPr>
            <w:tcW w:w="2146" w:type="dxa"/>
          </w:tcPr>
          <w:p w:rsidR="007430D6" w:rsidRDefault="007430D6" w:rsidP="001318A2">
            <w:pPr>
              <w:spacing w:before="12" w:after="12"/>
            </w:pPr>
            <w:r>
              <w:t>Standards Review Subcommittee</w:t>
            </w:r>
          </w:p>
        </w:tc>
        <w:tc>
          <w:tcPr>
            <w:tcW w:w="2019" w:type="dxa"/>
          </w:tcPr>
          <w:p w:rsidR="007430D6" w:rsidRDefault="007430D6" w:rsidP="001318A2">
            <w:pPr>
              <w:spacing w:before="12" w:after="12"/>
            </w:pPr>
            <w:r>
              <w:t>2010-08 Functional Glossary Model Revisions</w:t>
            </w:r>
          </w:p>
          <w:p w:rsidR="007430D6" w:rsidRDefault="007430D6" w:rsidP="001318A2">
            <w:pPr>
              <w:spacing w:before="12" w:after="12"/>
            </w:pPr>
          </w:p>
          <w:p w:rsidR="007430D6" w:rsidRPr="00125168" w:rsidRDefault="007430D6" w:rsidP="001318A2">
            <w:pPr>
              <w:spacing w:before="12" w:after="12"/>
            </w:pPr>
            <w:r>
              <w:t>NERC Glossary</w:t>
            </w:r>
          </w:p>
        </w:tc>
        <w:tc>
          <w:tcPr>
            <w:tcW w:w="3594" w:type="dxa"/>
          </w:tcPr>
          <w:p w:rsidR="007430D6" w:rsidRPr="00360EED" w:rsidRDefault="007430D6" w:rsidP="001318A2">
            <w:pPr>
              <w:autoSpaceDE w:val="0"/>
              <w:autoSpaceDN w:val="0"/>
              <w:adjustRightInd w:val="0"/>
              <w:spacing w:before="12" w:after="12"/>
            </w:pPr>
            <w:r w:rsidRPr="00360EED">
              <w:t>This project will ensure the definitions of various functional entities between the Functional Model, the NERC Glossary of Terms, and the NERC Statement of Compliance Registration Criteria is consistent.</w:t>
            </w:r>
          </w:p>
        </w:tc>
        <w:tc>
          <w:tcPr>
            <w:tcW w:w="2213" w:type="dxa"/>
          </w:tcPr>
          <w:p w:rsidR="007430D6" w:rsidRDefault="007430D6" w:rsidP="001318A2">
            <w:pPr>
              <w:autoSpaceDE w:val="0"/>
              <w:autoSpaceDN w:val="0"/>
              <w:adjustRightInd w:val="0"/>
              <w:spacing w:before="12" w:after="12"/>
            </w:pPr>
            <w:r>
              <w:t>None Set</w:t>
            </w:r>
          </w:p>
        </w:tc>
        <w:tc>
          <w:tcPr>
            <w:tcW w:w="1838" w:type="dxa"/>
          </w:tcPr>
          <w:p w:rsidR="001318A2" w:rsidRDefault="001318A2" w:rsidP="001318A2">
            <w:pPr>
              <w:spacing w:before="12" w:after="12"/>
            </w:pPr>
            <w:r>
              <w:t>Howard Gugel</w:t>
            </w:r>
          </w:p>
          <w:p w:rsidR="001318A2" w:rsidRPr="00125168" w:rsidRDefault="001318A2" w:rsidP="001318A2">
            <w:pPr>
              <w:spacing w:before="12" w:after="12"/>
            </w:pPr>
            <w:r>
              <w:t>Not yet assigned</w:t>
            </w:r>
          </w:p>
        </w:tc>
      </w:tr>
      <w:tr w:rsidR="007430D6" w:rsidRPr="00DE38D9" w:rsidTr="00C80E7C">
        <w:tc>
          <w:tcPr>
            <w:tcW w:w="380" w:type="dxa"/>
          </w:tcPr>
          <w:p w:rsidR="007430D6" w:rsidRPr="00DE38D9" w:rsidRDefault="00662CBB" w:rsidP="001318A2">
            <w:pPr>
              <w:pStyle w:val="TableText"/>
              <w:spacing w:before="12" w:after="12"/>
              <w:rPr>
                <w:rFonts w:ascii="Times New Roman" w:hAnsi="Times New Roman"/>
                <w:sz w:val="20"/>
              </w:rPr>
            </w:pPr>
            <w:r>
              <w:rPr>
                <w:rFonts w:ascii="Times New Roman" w:hAnsi="Times New Roman"/>
                <w:sz w:val="20"/>
              </w:rPr>
              <w:t>4.</w:t>
            </w:r>
          </w:p>
        </w:tc>
        <w:tc>
          <w:tcPr>
            <w:tcW w:w="2325" w:type="dxa"/>
          </w:tcPr>
          <w:p w:rsidR="007430D6" w:rsidRPr="00DE38D9" w:rsidRDefault="007430D6" w:rsidP="001318A2">
            <w:pPr>
              <w:pStyle w:val="TableText"/>
              <w:spacing w:before="12" w:after="12"/>
              <w:rPr>
                <w:rFonts w:ascii="Times New Roman" w:hAnsi="Times New Roman"/>
                <w:sz w:val="20"/>
              </w:rPr>
            </w:pPr>
            <w:proofErr w:type="gramStart"/>
            <w:r w:rsidRPr="00DE38D9">
              <w:rPr>
                <w:rFonts w:ascii="Times New Roman" w:hAnsi="Times New Roman"/>
                <w:sz w:val="20"/>
              </w:rPr>
              <w:t>1.k</w:t>
            </w:r>
            <w:proofErr w:type="gramEnd"/>
            <w:r w:rsidRPr="00DE38D9">
              <w:rPr>
                <w:rFonts w:ascii="Times New Roman" w:hAnsi="Times New Roman"/>
                <w:sz w:val="20"/>
              </w:rPr>
              <w:t>) Coordinate with NERC on NERC Project 2012-05 ATC Revisions - Order 729.  The NERC project may impact the WEQ-001 Open Access Same-Time Information Systems (OASIS) Standards, WEQ-002 OASIS Standards and Communication Protocol (S&amp;CP), WEQ-003 Open Access Same-Time Information Systems (OASIS) Data Dictionary, and WEQ-013 OASIS Implementation Guide.</w:t>
            </w:r>
          </w:p>
        </w:tc>
        <w:tc>
          <w:tcPr>
            <w:tcW w:w="2146" w:type="dxa"/>
          </w:tcPr>
          <w:p w:rsidR="007430D6" w:rsidRPr="00DE38D9" w:rsidRDefault="007430D6" w:rsidP="001318A2">
            <w:pPr>
              <w:spacing w:before="12" w:after="12"/>
            </w:pPr>
            <w:r w:rsidRPr="00DE38D9">
              <w:t>OASIS Subcommittee &amp; Business Practice Subcommittee</w:t>
            </w:r>
          </w:p>
        </w:tc>
        <w:tc>
          <w:tcPr>
            <w:tcW w:w="2019" w:type="dxa"/>
          </w:tcPr>
          <w:p w:rsidR="007430D6" w:rsidRPr="00DE38D9" w:rsidRDefault="007430D6" w:rsidP="001318A2">
            <w:pPr>
              <w:spacing w:before="12" w:after="12"/>
            </w:pPr>
            <w:r w:rsidRPr="00DE38D9">
              <w:t>2012-05 ATC Revisions – FERC Order No. 729</w:t>
            </w:r>
          </w:p>
          <w:p w:rsidR="007430D6" w:rsidRPr="00DE38D9" w:rsidRDefault="007430D6" w:rsidP="001318A2">
            <w:pPr>
              <w:spacing w:before="12" w:after="12"/>
            </w:pPr>
          </w:p>
          <w:p w:rsidR="007430D6" w:rsidRPr="00DE38D9" w:rsidRDefault="007430D6" w:rsidP="001318A2">
            <w:pPr>
              <w:spacing w:before="12" w:after="12"/>
            </w:pPr>
            <w:r w:rsidRPr="00DE38D9">
              <w:t>MOD</w:t>
            </w:r>
            <w:r w:rsidRPr="00DE38D9">
              <w:rPr>
                <w:rFonts w:ascii="Cambria Math" w:hAnsi="Cambria Math" w:cs="Cambria Math"/>
              </w:rPr>
              <w:t>‐</w:t>
            </w:r>
            <w:r w:rsidRPr="00DE38D9">
              <w:t>001, MOD</w:t>
            </w:r>
            <w:r w:rsidRPr="00DE38D9">
              <w:rPr>
                <w:rFonts w:ascii="Cambria Math" w:hAnsi="Cambria Math" w:cs="Cambria Math"/>
              </w:rPr>
              <w:t>‐</w:t>
            </w:r>
            <w:r w:rsidRPr="00DE38D9">
              <w:t>004, MOD</w:t>
            </w:r>
            <w:r w:rsidRPr="00DE38D9">
              <w:rPr>
                <w:rFonts w:ascii="Cambria Math" w:hAnsi="Cambria Math" w:cs="Cambria Math"/>
              </w:rPr>
              <w:t>‐</w:t>
            </w:r>
            <w:r w:rsidRPr="00DE38D9">
              <w:t>008, MOD</w:t>
            </w:r>
            <w:r w:rsidRPr="00DE38D9">
              <w:rPr>
                <w:rFonts w:ascii="Cambria Math" w:hAnsi="Cambria Math" w:cs="Cambria Math"/>
              </w:rPr>
              <w:t>‐</w:t>
            </w:r>
            <w:r w:rsidRPr="00DE38D9">
              <w:t>028, MOD</w:t>
            </w:r>
            <w:r w:rsidRPr="00DE38D9">
              <w:rPr>
                <w:rFonts w:ascii="Cambria Math" w:hAnsi="Cambria Math" w:cs="Cambria Math"/>
              </w:rPr>
              <w:t>‐</w:t>
            </w:r>
            <w:r w:rsidRPr="00DE38D9">
              <w:t>029 &amp; MOD</w:t>
            </w:r>
            <w:r w:rsidRPr="00DE38D9">
              <w:rPr>
                <w:rFonts w:ascii="Cambria Math" w:hAnsi="Cambria Math" w:cs="Cambria Math"/>
              </w:rPr>
              <w:t>‐</w:t>
            </w:r>
            <w:r w:rsidRPr="00DE38D9">
              <w:t>030</w:t>
            </w:r>
          </w:p>
        </w:tc>
        <w:tc>
          <w:tcPr>
            <w:tcW w:w="3594" w:type="dxa"/>
          </w:tcPr>
          <w:p w:rsidR="007430D6" w:rsidRPr="001E25DD" w:rsidRDefault="007430D6" w:rsidP="001318A2">
            <w:pPr>
              <w:autoSpaceDE w:val="0"/>
              <w:autoSpaceDN w:val="0"/>
              <w:adjustRightInd w:val="0"/>
              <w:spacing w:before="12" w:after="12"/>
              <w:rPr>
                <w:strike/>
              </w:rPr>
            </w:pPr>
            <w:r w:rsidRPr="001E25DD">
              <w:rPr>
                <w:strike/>
              </w:rPr>
              <w:t>This is a new project, which will require SAR development. It is estimated this project will start in Q3 2014 and complete in Q1 2016.</w:t>
            </w:r>
          </w:p>
          <w:p w:rsidR="007430D6" w:rsidRPr="00DE38D9" w:rsidRDefault="007430D6" w:rsidP="001318A2">
            <w:pPr>
              <w:autoSpaceDE w:val="0"/>
              <w:autoSpaceDN w:val="0"/>
              <w:adjustRightInd w:val="0"/>
              <w:spacing w:before="12" w:after="12"/>
            </w:pPr>
          </w:p>
          <w:p w:rsidR="007430D6" w:rsidRPr="00DE38D9" w:rsidRDefault="007430D6" w:rsidP="001318A2">
            <w:pPr>
              <w:autoSpaceDE w:val="0"/>
              <w:autoSpaceDN w:val="0"/>
              <w:adjustRightInd w:val="0"/>
              <w:spacing w:before="12" w:after="12"/>
              <w:rPr>
                <w:bCs/>
              </w:rPr>
            </w:pPr>
            <w:r w:rsidRPr="00DE38D9">
              <w:rPr>
                <w:bCs/>
              </w:rPr>
              <w:t>Prepare and achieve approval on Reliability Standards for a subset of MOD standards identified in FERC Order 729 with regards to the Calculation of Available Transfer Capability, Capacity Benefit Margins, Transmission Reliability Margins, Total Transfer Capability and Existing Transmission Commitments.</w:t>
            </w:r>
          </w:p>
        </w:tc>
        <w:tc>
          <w:tcPr>
            <w:tcW w:w="2213" w:type="dxa"/>
          </w:tcPr>
          <w:p w:rsidR="007430D6" w:rsidRPr="00DE38D9" w:rsidRDefault="007430D6" w:rsidP="001318A2">
            <w:pPr>
              <w:autoSpaceDE w:val="0"/>
              <w:autoSpaceDN w:val="0"/>
              <w:adjustRightInd w:val="0"/>
              <w:spacing w:before="12" w:after="12"/>
              <w:rPr>
                <w:bCs/>
              </w:rPr>
            </w:pPr>
            <w:r w:rsidRPr="00DE38D9">
              <w:rPr>
                <w:bCs/>
              </w:rPr>
              <w:t>Research Complete 01/2013</w:t>
            </w:r>
          </w:p>
          <w:p w:rsidR="007430D6" w:rsidRPr="00DE38D9" w:rsidRDefault="007430D6" w:rsidP="001318A2">
            <w:pPr>
              <w:autoSpaceDE w:val="0"/>
              <w:autoSpaceDN w:val="0"/>
              <w:adjustRightInd w:val="0"/>
              <w:spacing w:before="12" w:after="12"/>
              <w:rPr>
                <w:bCs/>
              </w:rPr>
            </w:pPr>
          </w:p>
          <w:p w:rsidR="007430D6" w:rsidRPr="00DE38D9" w:rsidRDefault="007430D6" w:rsidP="001318A2">
            <w:pPr>
              <w:autoSpaceDE w:val="0"/>
              <w:autoSpaceDN w:val="0"/>
              <w:adjustRightInd w:val="0"/>
              <w:spacing w:before="12" w:after="12"/>
              <w:rPr>
                <w:bCs/>
              </w:rPr>
            </w:pPr>
            <w:r w:rsidRPr="00DE38D9">
              <w:rPr>
                <w:bCs/>
              </w:rPr>
              <w:t>Informal Outreach</w:t>
            </w:r>
          </w:p>
          <w:p w:rsidR="007430D6" w:rsidRPr="00DE38D9" w:rsidRDefault="007430D6" w:rsidP="001318A2">
            <w:pPr>
              <w:autoSpaceDE w:val="0"/>
              <w:autoSpaceDN w:val="0"/>
              <w:adjustRightInd w:val="0"/>
              <w:spacing w:before="12" w:after="12"/>
              <w:rPr>
                <w:bCs/>
              </w:rPr>
            </w:pPr>
            <w:r w:rsidRPr="00DE38D9">
              <w:rPr>
                <w:bCs/>
              </w:rPr>
              <w:t>04/2013</w:t>
            </w:r>
          </w:p>
          <w:p w:rsidR="007430D6" w:rsidRPr="00DE38D9" w:rsidRDefault="007430D6" w:rsidP="001318A2">
            <w:pPr>
              <w:autoSpaceDE w:val="0"/>
              <w:autoSpaceDN w:val="0"/>
              <w:adjustRightInd w:val="0"/>
              <w:spacing w:before="12" w:after="12"/>
              <w:rPr>
                <w:bCs/>
              </w:rPr>
            </w:pPr>
          </w:p>
          <w:p w:rsidR="007430D6" w:rsidRPr="00DE38D9" w:rsidRDefault="007430D6" w:rsidP="001318A2">
            <w:pPr>
              <w:autoSpaceDE w:val="0"/>
              <w:autoSpaceDN w:val="0"/>
              <w:adjustRightInd w:val="0"/>
              <w:spacing w:before="12" w:after="12"/>
              <w:rPr>
                <w:bCs/>
              </w:rPr>
            </w:pPr>
            <w:r w:rsidRPr="00DE38D9">
              <w:rPr>
                <w:bCs/>
              </w:rPr>
              <w:t>SAR Developed</w:t>
            </w:r>
          </w:p>
          <w:p w:rsidR="007430D6" w:rsidRPr="00DE38D9" w:rsidRDefault="007430D6" w:rsidP="001318A2">
            <w:pPr>
              <w:autoSpaceDE w:val="0"/>
              <w:autoSpaceDN w:val="0"/>
              <w:adjustRightInd w:val="0"/>
              <w:spacing w:before="12" w:after="12"/>
              <w:rPr>
                <w:bCs/>
              </w:rPr>
            </w:pPr>
            <w:r w:rsidRPr="00DE38D9">
              <w:rPr>
                <w:bCs/>
              </w:rPr>
              <w:t>07/2013</w:t>
            </w:r>
          </w:p>
          <w:p w:rsidR="007430D6" w:rsidRPr="00DE38D9" w:rsidRDefault="007430D6" w:rsidP="001318A2">
            <w:pPr>
              <w:autoSpaceDE w:val="0"/>
              <w:autoSpaceDN w:val="0"/>
              <w:adjustRightInd w:val="0"/>
              <w:spacing w:before="12" w:after="12"/>
              <w:rPr>
                <w:bCs/>
              </w:rPr>
            </w:pPr>
          </w:p>
          <w:p w:rsidR="007430D6" w:rsidRPr="00DE38D9" w:rsidRDefault="007430D6" w:rsidP="001318A2">
            <w:pPr>
              <w:autoSpaceDE w:val="0"/>
              <w:autoSpaceDN w:val="0"/>
              <w:adjustRightInd w:val="0"/>
              <w:spacing w:before="12" w:after="12"/>
              <w:rPr>
                <w:bCs/>
              </w:rPr>
            </w:pPr>
            <w:r w:rsidRPr="00DE38D9">
              <w:rPr>
                <w:bCs/>
              </w:rPr>
              <w:t>Initial Comment Period/Ballot</w:t>
            </w:r>
          </w:p>
          <w:p w:rsidR="007430D6" w:rsidRPr="00DE38D9" w:rsidRDefault="007430D6" w:rsidP="001318A2">
            <w:pPr>
              <w:autoSpaceDE w:val="0"/>
              <w:autoSpaceDN w:val="0"/>
              <w:adjustRightInd w:val="0"/>
              <w:spacing w:before="12" w:after="12"/>
              <w:rPr>
                <w:bCs/>
              </w:rPr>
            </w:pPr>
            <w:r w:rsidRPr="00DE38D9">
              <w:rPr>
                <w:bCs/>
              </w:rPr>
              <w:t>07/2013</w:t>
            </w:r>
          </w:p>
          <w:p w:rsidR="007430D6" w:rsidRPr="00DE38D9" w:rsidRDefault="007430D6" w:rsidP="001318A2">
            <w:pPr>
              <w:autoSpaceDE w:val="0"/>
              <w:autoSpaceDN w:val="0"/>
              <w:adjustRightInd w:val="0"/>
              <w:spacing w:before="12" w:after="12"/>
              <w:rPr>
                <w:rFonts w:eastAsia="SymbolMT"/>
              </w:rPr>
            </w:pPr>
          </w:p>
          <w:p w:rsidR="007430D6" w:rsidRPr="00DE38D9" w:rsidRDefault="007430D6" w:rsidP="001318A2">
            <w:pPr>
              <w:autoSpaceDE w:val="0"/>
              <w:autoSpaceDN w:val="0"/>
              <w:adjustRightInd w:val="0"/>
              <w:spacing w:before="12" w:after="12"/>
              <w:rPr>
                <w:bCs/>
              </w:rPr>
            </w:pPr>
            <w:r w:rsidRPr="00DE38D9">
              <w:rPr>
                <w:bCs/>
              </w:rPr>
              <w:t>Recirculation Ballot</w:t>
            </w:r>
          </w:p>
          <w:p w:rsidR="007430D6" w:rsidRPr="00DE38D9" w:rsidRDefault="007430D6" w:rsidP="001318A2">
            <w:pPr>
              <w:autoSpaceDE w:val="0"/>
              <w:autoSpaceDN w:val="0"/>
              <w:adjustRightInd w:val="0"/>
              <w:spacing w:before="12" w:after="12"/>
              <w:rPr>
                <w:bCs/>
              </w:rPr>
            </w:pPr>
            <w:r w:rsidRPr="00DE38D9">
              <w:rPr>
                <w:bCs/>
              </w:rPr>
              <w:t>09/2013</w:t>
            </w:r>
          </w:p>
          <w:p w:rsidR="007430D6" w:rsidRPr="00DE38D9" w:rsidRDefault="007430D6" w:rsidP="001318A2">
            <w:pPr>
              <w:autoSpaceDE w:val="0"/>
              <w:autoSpaceDN w:val="0"/>
              <w:adjustRightInd w:val="0"/>
              <w:spacing w:before="12" w:after="12"/>
              <w:rPr>
                <w:bCs/>
              </w:rPr>
            </w:pPr>
            <w:r w:rsidRPr="00DE38D9">
              <w:rPr>
                <w:bCs/>
              </w:rPr>
              <w:t>Presented to BOT</w:t>
            </w:r>
          </w:p>
          <w:p w:rsidR="007430D6" w:rsidRPr="00DE38D9" w:rsidRDefault="007430D6" w:rsidP="001318A2">
            <w:pPr>
              <w:autoSpaceDE w:val="0"/>
              <w:autoSpaceDN w:val="0"/>
              <w:adjustRightInd w:val="0"/>
              <w:spacing w:before="12" w:after="12"/>
              <w:rPr>
                <w:bCs/>
              </w:rPr>
            </w:pPr>
            <w:r w:rsidRPr="00DE38D9">
              <w:rPr>
                <w:bCs/>
              </w:rPr>
              <w:t>11/2013</w:t>
            </w:r>
          </w:p>
        </w:tc>
        <w:tc>
          <w:tcPr>
            <w:tcW w:w="1838" w:type="dxa"/>
          </w:tcPr>
          <w:p w:rsidR="007430D6" w:rsidRDefault="001318A2" w:rsidP="001318A2">
            <w:pPr>
              <w:spacing w:before="12" w:after="12"/>
            </w:pPr>
            <w:r>
              <w:t>Valerie Agnew</w:t>
            </w:r>
          </w:p>
          <w:p w:rsidR="001318A2" w:rsidRPr="00DE38D9" w:rsidRDefault="001318A2" w:rsidP="001318A2">
            <w:pPr>
              <w:spacing w:before="12" w:after="12"/>
            </w:pPr>
            <w:r>
              <w:t>Ryan Stewart</w:t>
            </w:r>
          </w:p>
        </w:tc>
      </w:tr>
      <w:tr w:rsidR="007430D6" w:rsidRPr="00DE38D9" w:rsidTr="00C80E7C">
        <w:tc>
          <w:tcPr>
            <w:tcW w:w="380" w:type="dxa"/>
          </w:tcPr>
          <w:p w:rsidR="007430D6" w:rsidRPr="00DE38D9" w:rsidRDefault="00662CBB" w:rsidP="00C80E7C">
            <w:pPr>
              <w:pStyle w:val="TableText"/>
              <w:keepNext/>
              <w:spacing w:before="12" w:after="12"/>
              <w:rPr>
                <w:rFonts w:ascii="Times New Roman" w:hAnsi="Times New Roman"/>
                <w:sz w:val="20"/>
              </w:rPr>
            </w:pPr>
            <w:r>
              <w:rPr>
                <w:rFonts w:ascii="Times New Roman" w:hAnsi="Times New Roman"/>
                <w:sz w:val="20"/>
              </w:rPr>
              <w:t>5.</w:t>
            </w:r>
          </w:p>
        </w:tc>
        <w:tc>
          <w:tcPr>
            <w:tcW w:w="2325" w:type="dxa"/>
          </w:tcPr>
          <w:p w:rsidR="007430D6" w:rsidRPr="00DE38D9" w:rsidRDefault="007430D6" w:rsidP="00C80E7C">
            <w:pPr>
              <w:pStyle w:val="TableText"/>
              <w:spacing w:before="12" w:after="12"/>
              <w:rPr>
                <w:rFonts w:ascii="Times New Roman" w:hAnsi="Times New Roman"/>
                <w:sz w:val="20"/>
              </w:rPr>
            </w:pPr>
            <w:proofErr w:type="gramStart"/>
            <w:r w:rsidRPr="00DE38D9">
              <w:rPr>
                <w:rFonts w:ascii="Times New Roman" w:hAnsi="Times New Roman"/>
                <w:sz w:val="20"/>
              </w:rPr>
              <w:t>1.l</w:t>
            </w:r>
            <w:proofErr w:type="gramEnd"/>
            <w:r w:rsidRPr="00DE38D9">
              <w:rPr>
                <w:rFonts w:ascii="Times New Roman" w:hAnsi="Times New Roman"/>
                <w:sz w:val="20"/>
              </w:rPr>
              <w:t>) Coordinate with NERC on NERC Project 2012-08 Glossary Updates.  The NERC project may impact WEQ-000 Abbreviations, Acronyms, and Definition of Terms</w:t>
            </w:r>
            <w:bookmarkStart w:id="0" w:name="_GoBack"/>
            <w:bookmarkEnd w:id="0"/>
          </w:p>
        </w:tc>
        <w:tc>
          <w:tcPr>
            <w:tcW w:w="2146" w:type="dxa"/>
          </w:tcPr>
          <w:p w:rsidR="007430D6" w:rsidRPr="00DE38D9" w:rsidRDefault="007430D6" w:rsidP="001318A2">
            <w:pPr>
              <w:spacing w:before="12" w:after="12"/>
            </w:pPr>
            <w:r>
              <w:t>Standards Review Subcommittee</w:t>
            </w:r>
          </w:p>
        </w:tc>
        <w:tc>
          <w:tcPr>
            <w:tcW w:w="2019" w:type="dxa"/>
          </w:tcPr>
          <w:p w:rsidR="007430D6" w:rsidRDefault="007430D6" w:rsidP="001318A2">
            <w:pPr>
              <w:spacing w:before="12" w:after="12"/>
            </w:pPr>
            <w:r>
              <w:t>2012-08 Glossary Updates</w:t>
            </w:r>
          </w:p>
          <w:p w:rsidR="007430D6" w:rsidRDefault="007430D6" w:rsidP="001318A2">
            <w:pPr>
              <w:spacing w:before="12" w:after="12"/>
            </w:pPr>
          </w:p>
          <w:p w:rsidR="007430D6" w:rsidRPr="00DE38D9" w:rsidRDefault="007430D6" w:rsidP="001318A2">
            <w:pPr>
              <w:spacing w:before="12" w:after="12"/>
            </w:pPr>
            <w:r>
              <w:t>NERC Glossary</w:t>
            </w:r>
          </w:p>
        </w:tc>
        <w:tc>
          <w:tcPr>
            <w:tcW w:w="3594" w:type="dxa"/>
          </w:tcPr>
          <w:p w:rsidR="007430D6" w:rsidRPr="00964974" w:rsidRDefault="007430D6" w:rsidP="001318A2">
            <w:pPr>
              <w:autoSpaceDE w:val="0"/>
              <w:autoSpaceDN w:val="0"/>
              <w:adjustRightInd w:val="0"/>
              <w:spacing w:before="12" w:after="12"/>
            </w:pPr>
            <w:r w:rsidRPr="00964974">
              <w:t>This project will respond to FERC directives to either create or modify the following definitions: Transmission Operator, Generator Operator, Bulk Power System, Reliable Operation, and Reliability Standard.</w:t>
            </w:r>
          </w:p>
        </w:tc>
        <w:tc>
          <w:tcPr>
            <w:tcW w:w="2213" w:type="dxa"/>
          </w:tcPr>
          <w:p w:rsidR="007430D6" w:rsidRPr="00DE38D9" w:rsidRDefault="007430D6" w:rsidP="001318A2">
            <w:pPr>
              <w:autoSpaceDE w:val="0"/>
              <w:autoSpaceDN w:val="0"/>
              <w:adjustRightInd w:val="0"/>
              <w:spacing w:before="12" w:after="12"/>
              <w:rPr>
                <w:bCs/>
              </w:rPr>
            </w:pPr>
            <w:r>
              <w:rPr>
                <w:bCs/>
              </w:rPr>
              <w:t>None Set</w:t>
            </w:r>
          </w:p>
        </w:tc>
        <w:tc>
          <w:tcPr>
            <w:tcW w:w="1838" w:type="dxa"/>
          </w:tcPr>
          <w:p w:rsidR="007430D6" w:rsidRDefault="001318A2" w:rsidP="001318A2">
            <w:pPr>
              <w:spacing w:before="12" w:after="12"/>
            </w:pPr>
            <w:r>
              <w:t>Valerie Agnew</w:t>
            </w:r>
          </w:p>
          <w:p w:rsidR="001318A2" w:rsidRPr="00DE38D9" w:rsidRDefault="001318A2" w:rsidP="001318A2">
            <w:pPr>
              <w:spacing w:before="12" w:after="12"/>
            </w:pPr>
            <w:r>
              <w:t>Soo Jin Kim</w:t>
            </w:r>
          </w:p>
        </w:tc>
      </w:tr>
      <w:tr w:rsidR="007430D6" w:rsidRPr="00DE38D9" w:rsidTr="00C80E7C">
        <w:tc>
          <w:tcPr>
            <w:tcW w:w="380" w:type="dxa"/>
          </w:tcPr>
          <w:p w:rsidR="007430D6" w:rsidRDefault="00662CBB" w:rsidP="001318A2">
            <w:pPr>
              <w:pStyle w:val="TableText"/>
              <w:spacing w:before="12" w:after="12"/>
              <w:rPr>
                <w:rFonts w:ascii="Times New Roman" w:hAnsi="Times New Roman"/>
                <w:sz w:val="20"/>
              </w:rPr>
            </w:pPr>
            <w:r>
              <w:rPr>
                <w:rFonts w:ascii="Times New Roman" w:hAnsi="Times New Roman"/>
                <w:sz w:val="20"/>
              </w:rPr>
              <w:t>6.</w:t>
            </w:r>
          </w:p>
        </w:tc>
        <w:tc>
          <w:tcPr>
            <w:tcW w:w="2325" w:type="dxa"/>
          </w:tcPr>
          <w:p w:rsidR="007430D6" w:rsidRPr="00DE38D9" w:rsidRDefault="007430D6" w:rsidP="001318A2">
            <w:pPr>
              <w:pStyle w:val="TableText"/>
              <w:spacing w:before="12" w:after="12"/>
              <w:rPr>
                <w:rFonts w:ascii="Times New Roman" w:hAnsi="Times New Roman"/>
                <w:sz w:val="20"/>
              </w:rPr>
            </w:pPr>
            <w:proofErr w:type="gramStart"/>
            <w:r>
              <w:rPr>
                <w:rFonts w:ascii="Times New Roman" w:hAnsi="Times New Roman"/>
                <w:sz w:val="20"/>
              </w:rPr>
              <w:t>1.m</w:t>
            </w:r>
            <w:proofErr w:type="gramEnd"/>
            <w:r>
              <w:rPr>
                <w:rFonts w:ascii="Times New Roman" w:hAnsi="Times New Roman"/>
                <w:sz w:val="20"/>
              </w:rPr>
              <w:t xml:space="preserve">) </w:t>
            </w:r>
            <w:r w:rsidRPr="00DE38D9">
              <w:rPr>
                <w:rFonts w:ascii="Times New Roman" w:hAnsi="Times New Roman"/>
                <w:sz w:val="20"/>
              </w:rPr>
              <w:t>Coordinate with NERC on NERC Project 2012-09 IRO Review.  The NERC project may impact WEQ-008 Transmission Loading Relief – Eastern Interconnection Standards.</w:t>
            </w:r>
          </w:p>
          <w:p w:rsidR="007430D6" w:rsidRPr="00DE38D9" w:rsidRDefault="007430D6" w:rsidP="001318A2">
            <w:pPr>
              <w:pStyle w:val="TableText"/>
              <w:spacing w:before="12" w:after="12"/>
              <w:rPr>
                <w:rFonts w:ascii="Times New Roman" w:hAnsi="Times New Roman"/>
                <w:sz w:val="20"/>
              </w:rPr>
            </w:pPr>
          </w:p>
        </w:tc>
        <w:tc>
          <w:tcPr>
            <w:tcW w:w="2146" w:type="dxa"/>
          </w:tcPr>
          <w:p w:rsidR="007430D6" w:rsidRDefault="007430D6" w:rsidP="001318A2">
            <w:pPr>
              <w:spacing w:before="12" w:after="12"/>
            </w:pPr>
            <w:r>
              <w:t>Business Practice Subcommittee</w:t>
            </w:r>
          </w:p>
        </w:tc>
        <w:tc>
          <w:tcPr>
            <w:tcW w:w="2019" w:type="dxa"/>
          </w:tcPr>
          <w:p w:rsidR="007430D6" w:rsidRDefault="007430D6" w:rsidP="001318A2">
            <w:pPr>
              <w:spacing w:before="12" w:after="12"/>
            </w:pPr>
            <w:r>
              <w:t>2012-09 IRO Review</w:t>
            </w:r>
          </w:p>
          <w:p w:rsidR="007430D6" w:rsidRDefault="007430D6" w:rsidP="001318A2">
            <w:pPr>
              <w:spacing w:before="12" w:after="12"/>
            </w:pPr>
          </w:p>
          <w:p w:rsidR="007430D6" w:rsidRPr="00964974" w:rsidRDefault="007430D6" w:rsidP="001318A2">
            <w:pPr>
              <w:spacing w:before="12" w:after="12"/>
            </w:pPr>
            <w:r w:rsidRPr="00964974">
              <w:t>IRO</w:t>
            </w:r>
            <w:r w:rsidRPr="00964974">
              <w:rPr>
                <w:rFonts w:ascii="Cambria Math" w:hAnsi="Cambria Math" w:cs="Cambria Math"/>
              </w:rPr>
              <w:t>‐</w:t>
            </w:r>
            <w:r w:rsidRPr="00964974">
              <w:t>006, IRO</w:t>
            </w:r>
            <w:r w:rsidRPr="00964974">
              <w:rPr>
                <w:rFonts w:ascii="Cambria Math" w:hAnsi="Cambria Math" w:cs="Cambria Math"/>
              </w:rPr>
              <w:t>‐</w:t>
            </w:r>
            <w:r w:rsidRPr="00964974">
              <w:t>006</w:t>
            </w:r>
            <w:r w:rsidRPr="00964974">
              <w:rPr>
                <w:rFonts w:ascii="Cambria Math" w:hAnsi="Cambria Math" w:cs="Cambria Math"/>
              </w:rPr>
              <w:t>‐</w:t>
            </w:r>
            <w:r w:rsidRPr="00964974">
              <w:t>EAST, IRO</w:t>
            </w:r>
            <w:r w:rsidRPr="00964974">
              <w:rPr>
                <w:rFonts w:ascii="Cambria Math" w:hAnsi="Cambria Math" w:cs="Cambria Math"/>
              </w:rPr>
              <w:t>‐</w:t>
            </w:r>
            <w:r w:rsidRPr="00964974">
              <w:t>008, IRO</w:t>
            </w:r>
            <w:r w:rsidRPr="00964974">
              <w:rPr>
                <w:rFonts w:ascii="Cambria Math" w:hAnsi="Cambria Math" w:cs="Cambria Math"/>
              </w:rPr>
              <w:t>‐</w:t>
            </w:r>
            <w:r w:rsidRPr="00964974">
              <w:t>009, &amp;</w:t>
            </w:r>
            <w:r>
              <w:t xml:space="preserve"> </w:t>
            </w:r>
            <w:r w:rsidRPr="00964974">
              <w:t>IRO</w:t>
            </w:r>
            <w:r w:rsidRPr="00964974">
              <w:rPr>
                <w:rFonts w:ascii="Cambria Math" w:hAnsi="Cambria Math" w:cs="Cambria Math"/>
              </w:rPr>
              <w:t>‐</w:t>
            </w:r>
            <w:r w:rsidRPr="00964974">
              <w:t>010</w:t>
            </w:r>
          </w:p>
        </w:tc>
        <w:tc>
          <w:tcPr>
            <w:tcW w:w="3594" w:type="dxa"/>
          </w:tcPr>
          <w:p w:rsidR="007430D6" w:rsidRPr="00964974" w:rsidRDefault="007430D6" w:rsidP="001318A2">
            <w:pPr>
              <w:autoSpaceDE w:val="0"/>
              <w:autoSpaceDN w:val="0"/>
              <w:adjustRightInd w:val="0"/>
              <w:spacing w:before="12" w:after="12"/>
            </w:pPr>
            <w:r w:rsidRPr="00964974">
              <w:t>This project will perform the five</w:t>
            </w:r>
            <w:r w:rsidRPr="00964974">
              <w:rPr>
                <w:rFonts w:ascii="Cambria Math" w:hAnsi="Cambria Math" w:cs="Cambria Math"/>
              </w:rPr>
              <w:t>‐</w:t>
            </w:r>
            <w:r w:rsidRPr="00964974">
              <w:t>year review of sev</w:t>
            </w:r>
            <w:r>
              <w:t xml:space="preserve">eral IRO standards, pursuant to </w:t>
            </w:r>
            <w:r w:rsidRPr="00964974">
              <w:t>NERC’s Rules of Procedure.</w:t>
            </w:r>
          </w:p>
          <w:p w:rsidR="007430D6" w:rsidRPr="00964974" w:rsidRDefault="007430D6" w:rsidP="001318A2">
            <w:pPr>
              <w:autoSpaceDE w:val="0"/>
              <w:autoSpaceDN w:val="0"/>
              <w:adjustRightInd w:val="0"/>
              <w:spacing w:before="12" w:after="12"/>
            </w:pPr>
          </w:p>
          <w:p w:rsidR="007430D6" w:rsidRPr="00964974" w:rsidRDefault="007430D6" w:rsidP="001318A2">
            <w:pPr>
              <w:autoSpaceDE w:val="0"/>
              <w:autoSpaceDN w:val="0"/>
              <w:adjustRightInd w:val="0"/>
              <w:spacing w:before="12" w:after="12"/>
              <w:rPr>
                <w:bCs/>
              </w:rPr>
            </w:pPr>
            <w:r>
              <w:rPr>
                <w:bCs/>
              </w:rPr>
              <w:t xml:space="preserve">This project will conduct a comprehensive review of the IRO </w:t>
            </w:r>
            <w:r w:rsidRPr="00964974">
              <w:rPr>
                <w:bCs/>
              </w:rPr>
              <w:t>set of standards.</w:t>
            </w:r>
          </w:p>
          <w:p w:rsidR="007430D6" w:rsidRDefault="007430D6" w:rsidP="001318A2">
            <w:pPr>
              <w:autoSpaceDE w:val="0"/>
              <w:autoSpaceDN w:val="0"/>
              <w:adjustRightInd w:val="0"/>
              <w:spacing w:before="12" w:after="12"/>
              <w:rPr>
                <w:bCs/>
              </w:rPr>
            </w:pPr>
          </w:p>
          <w:p w:rsidR="007430D6" w:rsidRPr="00964974" w:rsidRDefault="007430D6" w:rsidP="001318A2">
            <w:pPr>
              <w:autoSpaceDE w:val="0"/>
              <w:autoSpaceDN w:val="0"/>
              <w:adjustRightInd w:val="0"/>
              <w:spacing w:before="12" w:after="12"/>
            </w:pPr>
            <w:r w:rsidRPr="00964974">
              <w:t>This project may incorporate</w:t>
            </w:r>
          </w:p>
          <w:p w:rsidR="007430D6" w:rsidRPr="00964974" w:rsidRDefault="007430D6" w:rsidP="001318A2">
            <w:pPr>
              <w:autoSpaceDE w:val="0"/>
              <w:autoSpaceDN w:val="0"/>
              <w:adjustRightInd w:val="0"/>
              <w:spacing w:before="12" w:after="12"/>
              <w:rPr>
                <w:rFonts w:ascii="Calibri" w:hAnsi="Calibri" w:cs="Calibri"/>
              </w:rPr>
            </w:pPr>
            <w:r w:rsidRPr="00964974">
              <w:t>Phase 2 of Project 2006</w:t>
            </w:r>
            <w:r w:rsidRPr="00964974">
              <w:rPr>
                <w:rFonts w:ascii="Cambria Math" w:hAnsi="Cambria Math" w:cs="Cambria Math"/>
              </w:rPr>
              <w:t>‐</w:t>
            </w:r>
            <w:r w:rsidRPr="00964974">
              <w:t>06 Reliability Coordination.</w:t>
            </w:r>
          </w:p>
        </w:tc>
        <w:tc>
          <w:tcPr>
            <w:tcW w:w="2213" w:type="dxa"/>
          </w:tcPr>
          <w:p w:rsidR="007430D6" w:rsidRPr="00964974" w:rsidRDefault="007430D6" w:rsidP="001318A2">
            <w:pPr>
              <w:autoSpaceDE w:val="0"/>
              <w:autoSpaceDN w:val="0"/>
              <w:adjustRightInd w:val="0"/>
              <w:spacing w:before="12" w:after="12"/>
              <w:rPr>
                <w:rFonts w:eastAsia="SymbolMT"/>
                <w:bCs/>
              </w:rPr>
            </w:pPr>
            <w:r w:rsidRPr="00964974">
              <w:rPr>
                <w:rFonts w:eastAsia="SymbolMT"/>
                <w:bCs/>
              </w:rPr>
              <w:t>Informal outreach and SMEs assembled for comprehensive review</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Q1 2013</w:t>
            </w:r>
          </w:p>
          <w:p w:rsidR="007430D6" w:rsidRPr="00964974" w:rsidRDefault="007430D6" w:rsidP="001318A2">
            <w:pPr>
              <w:autoSpaceDE w:val="0"/>
              <w:autoSpaceDN w:val="0"/>
              <w:adjustRightInd w:val="0"/>
              <w:spacing w:before="12" w:after="12"/>
              <w:rPr>
                <w:rFonts w:eastAsia="SymbolMT"/>
                <w:bCs/>
              </w:rPr>
            </w:pPr>
          </w:p>
          <w:p w:rsidR="007430D6" w:rsidRPr="00964974" w:rsidRDefault="007430D6" w:rsidP="001318A2">
            <w:pPr>
              <w:autoSpaceDE w:val="0"/>
              <w:autoSpaceDN w:val="0"/>
              <w:adjustRightInd w:val="0"/>
              <w:spacing w:before="12" w:after="12"/>
              <w:rPr>
                <w:rFonts w:eastAsia="SymbolMT"/>
                <w:bCs/>
              </w:rPr>
            </w:pPr>
            <w:r w:rsidRPr="00964974">
              <w:rPr>
                <w:rFonts w:eastAsia="SymbolMT"/>
                <w:bCs/>
              </w:rPr>
              <w:t>Review</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results/assessment</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posted for industry</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comment</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Q1 2013</w:t>
            </w:r>
          </w:p>
          <w:p w:rsidR="007430D6" w:rsidRPr="00964974" w:rsidRDefault="007430D6" w:rsidP="001318A2">
            <w:pPr>
              <w:autoSpaceDE w:val="0"/>
              <w:autoSpaceDN w:val="0"/>
              <w:adjustRightInd w:val="0"/>
              <w:spacing w:before="12" w:after="12"/>
              <w:rPr>
                <w:rFonts w:eastAsia="SymbolMT"/>
                <w:bCs/>
              </w:rPr>
            </w:pPr>
          </w:p>
          <w:p w:rsidR="007430D6" w:rsidRPr="00964974" w:rsidRDefault="007430D6" w:rsidP="001318A2">
            <w:pPr>
              <w:autoSpaceDE w:val="0"/>
              <w:autoSpaceDN w:val="0"/>
              <w:adjustRightInd w:val="0"/>
              <w:spacing w:before="12" w:after="12"/>
              <w:rPr>
                <w:rFonts w:eastAsia="SymbolMT"/>
                <w:bCs/>
              </w:rPr>
            </w:pPr>
            <w:r w:rsidRPr="00964974">
              <w:rPr>
                <w:rFonts w:eastAsia="SymbolMT"/>
                <w:bCs/>
              </w:rPr>
              <w:t>Comments reviewed;</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review results posted</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Q2 2013</w:t>
            </w:r>
          </w:p>
          <w:p w:rsidR="007430D6" w:rsidRPr="00964974" w:rsidRDefault="007430D6" w:rsidP="001318A2">
            <w:pPr>
              <w:autoSpaceDE w:val="0"/>
              <w:autoSpaceDN w:val="0"/>
              <w:adjustRightInd w:val="0"/>
              <w:spacing w:before="12" w:after="12"/>
              <w:rPr>
                <w:rFonts w:eastAsia="SymbolMT"/>
                <w:bCs/>
              </w:rPr>
            </w:pPr>
          </w:p>
          <w:p w:rsidR="007430D6" w:rsidRPr="00964974" w:rsidRDefault="007430D6" w:rsidP="001318A2">
            <w:pPr>
              <w:autoSpaceDE w:val="0"/>
              <w:autoSpaceDN w:val="0"/>
              <w:adjustRightInd w:val="0"/>
              <w:spacing w:before="12" w:after="12"/>
              <w:rPr>
                <w:rFonts w:eastAsia="SymbolMT"/>
                <w:bCs/>
              </w:rPr>
            </w:pPr>
            <w:r w:rsidRPr="00964974">
              <w:rPr>
                <w:rFonts w:eastAsia="SymbolMT"/>
                <w:bCs/>
              </w:rPr>
              <w:t>SAR developed, SDT appointed</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Q2 2013</w:t>
            </w:r>
          </w:p>
          <w:p w:rsidR="007430D6" w:rsidRPr="00964974" w:rsidRDefault="007430D6" w:rsidP="001318A2">
            <w:pPr>
              <w:autoSpaceDE w:val="0"/>
              <w:autoSpaceDN w:val="0"/>
              <w:adjustRightInd w:val="0"/>
              <w:spacing w:before="12" w:after="12"/>
              <w:rPr>
                <w:rFonts w:eastAsia="SymbolMT"/>
                <w:bCs/>
              </w:rPr>
            </w:pPr>
          </w:p>
          <w:p w:rsidR="007430D6" w:rsidRPr="00964974" w:rsidRDefault="007430D6" w:rsidP="001318A2">
            <w:pPr>
              <w:autoSpaceDE w:val="0"/>
              <w:autoSpaceDN w:val="0"/>
              <w:adjustRightInd w:val="0"/>
              <w:spacing w:before="12" w:after="12"/>
              <w:rPr>
                <w:rFonts w:eastAsia="SymbolMT"/>
                <w:bCs/>
              </w:rPr>
            </w:pPr>
            <w:r w:rsidRPr="00964974">
              <w:rPr>
                <w:rFonts w:eastAsia="SymbolMT"/>
                <w:bCs/>
              </w:rPr>
              <w:t>Initial Ballot</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Q3 2012</w:t>
            </w:r>
          </w:p>
          <w:p w:rsidR="007430D6" w:rsidRPr="00964974" w:rsidRDefault="007430D6" w:rsidP="001318A2">
            <w:pPr>
              <w:autoSpaceDE w:val="0"/>
              <w:autoSpaceDN w:val="0"/>
              <w:adjustRightInd w:val="0"/>
              <w:spacing w:before="12" w:after="12"/>
              <w:rPr>
                <w:rFonts w:eastAsia="SymbolMT"/>
                <w:bCs/>
              </w:rPr>
            </w:pPr>
          </w:p>
          <w:p w:rsidR="007430D6" w:rsidRPr="00964974" w:rsidRDefault="007430D6" w:rsidP="001318A2">
            <w:pPr>
              <w:autoSpaceDE w:val="0"/>
              <w:autoSpaceDN w:val="0"/>
              <w:adjustRightInd w:val="0"/>
              <w:spacing w:before="12" w:after="12"/>
              <w:rPr>
                <w:rFonts w:eastAsia="SymbolMT"/>
                <w:bCs/>
              </w:rPr>
            </w:pPr>
            <w:r w:rsidRPr="00964974">
              <w:rPr>
                <w:rFonts w:eastAsia="SymbolMT"/>
                <w:bCs/>
              </w:rPr>
              <w:t>Recirculation Ballot</w:t>
            </w:r>
          </w:p>
          <w:p w:rsidR="007430D6" w:rsidRPr="00964974" w:rsidRDefault="007430D6" w:rsidP="001318A2">
            <w:pPr>
              <w:autoSpaceDE w:val="0"/>
              <w:autoSpaceDN w:val="0"/>
              <w:adjustRightInd w:val="0"/>
              <w:spacing w:before="12" w:after="12"/>
              <w:rPr>
                <w:rFonts w:eastAsia="SymbolMT"/>
                <w:bCs/>
              </w:rPr>
            </w:pPr>
            <w:r w:rsidRPr="00964974">
              <w:rPr>
                <w:rFonts w:eastAsia="SymbolMT"/>
                <w:bCs/>
              </w:rPr>
              <w:t>Q4 2013</w:t>
            </w:r>
          </w:p>
          <w:p w:rsidR="007430D6" w:rsidRPr="00964974" w:rsidRDefault="007430D6" w:rsidP="001318A2">
            <w:pPr>
              <w:autoSpaceDE w:val="0"/>
              <w:autoSpaceDN w:val="0"/>
              <w:adjustRightInd w:val="0"/>
              <w:spacing w:before="12" w:after="12"/>
              <w:rPr>
                <w:rFonts w:eastAsia="SymbolMT"/>
                <w:bCs/>
              </w:rPr>
            </w:pPr>
          </w:p>
          <w:p w:rsidR="007430D6" w:rsidRPr="00964974" w:rsidRDefault="007430D6" w:rsidP="001318A2">
            <w:pPr>
              <w:autoSpaceDE w:val="0"/>
              <w:autoSpaceDN w:val="0"/>
              <w:adjustRightInd w:val="0"/>
              <w:spacing w:before="12" w:after="12"/>
              <w:rPr>
                <w:rFonts w:eastAsia="SymbolMT"/>
                <w:bCs/>
              </w:rPr>
            </w:pPr>
            <w:r w:rsidRPr="00964974">
              <w:rPr>
                <w:rFonts w:eastAsia="SymbolMT"/>
                <w:bCs/>
              </w:rPr>
              <w:t>Presented to BOT</w:t>
            </w:r>
          </w:p>
          <w:p w:rsidR="007430D6" w:rsidRPr="00964974" w:rsidRDefault="007430D6" w:rsidP="001318A2">
            <w:pPr>
              <w:autoSpaceDE w:val="0"/>
              <w:autoSpaceDN w:val="0"/>
              <w:adjustRightInd w:val="0"/>
              <w:spacing w:before="12" w:after="12"/>
              <w:rPr>
                <w:rFonts w:ascii="Calibri-Bold" w:eastAsia="SymbolMT" w:hAnsi="Calibri-Bold" w:cs="Calibri-Bold"/>
                <w:b/>
                <w:bCs/>
              </w:rPr>
            </w:pPr>
            <w:r w:rsidRPr="00964974">
              <w:rPr>
                <w:rFonts w:eastAsia="SymbolMT"/>
                <w:bCs/>
              </w:rPr>
              <w:t>2/2014</w:t>
            </w:r>
          </w:p>
        </w:tc>
        <w:tc>
          <w:tcPr>
            <w:tcW w:w="1838" w:type="dxa"/>
          </w:tcPr>
          <w:p w:rsidR="007430D6" w:rsidRDefault="001318A2" w:rsidP="001318A2">
            <w:pPr>
              <w:spacing w:before="12" w:after="12"/>
            </w:pPr>
            <w:r>
              <w:t>Laura Hussey</w:t>
            </w:r>
          </w:p>
          <w:p w:rsidR="001318A2" w:rsidRPr="00DE38D9" w:rsidRDefault="001318A2" w:rsidP="001318A2">
            <w:pPr>
              <w:spacing w:before="12" w:after="12"/>
            </w:pPr>
            <w:r>
              <w:t>Steve Crutchfield</w:t>
            </w:r>
          </w:p>
        </w:tc>
      </w:tr>
      <w:tr w:rsidR="007430D6" w:rsidRPr="00DE38D9" w:rsidTr="00C80E7C">
        <w:tc>
          <w:tcPr>
            <w:tcW w:w="380" w:type="dxa"/>
          </w:tcPr>
          <w:p w:rsidR="007430D6" w:rsidRDefault="00662CBB" w:rsidP="001318A2">
            <w:pPr>
              <w:pStyle w:val="TableText"/>
              <w:spacing w:before="12" w:after="12"/>
              <w:rPr>
                <w:rFonts w:ascii="Times New Roman" w:hAnsi="Times New Roman"/>
                <w:sz w:val="20"/>
              </w:rPr>
            </w:pPr>
            <w:r>
              <w:rPr>
                <w:rFonts w:ascii="Times New Roman" w:hAnsi="Times New Roman"/>
                <w:sz w:val="20"/>
              </w:rPr>
              <w:t>7.</w:t>
            </w:r>
          </w:p>
        </w:tc>
        <w:tc>
          <w:tcPr>
            <w:tcW w:w="2325" w:type="dxa"/>
          </w:tcPr>
          <w:p w:rsidR="007430D6" w:rsidRDefault="007430D6" w:rsidP="001318A2">
            <w:pPr>
              <w:pStyle w:val="TableText"/>
              <w:spacing w:before="12" w:after="12"/>
              <w:rPr>
                <w:rFonts w:ascii="Times New Roman" w:hAnsi="Times New Roman"/>
                <w:sz w:val="18"/>
                <w:szCs w:val="18"/>
              </w:rPr>
            </w:pPr>
            <w:r>
              <w:rPr>
                <w:rFonts w:ascii="Times New Roman" w:hAnsi="Times New Roman"/>
                <w:sz w:val="20"/>
              </w:rPr>
              <w:t xml:space="preserve">1.n) </w:t>
            </w:r>
            <w:r>
              <w:rPr>
                <w:rFonts w:ascii="Times New Roman" w:hAnsi="Times New Roman"/>
                <w:sz w:val="18"/>
                <w:szCs w:val="18"/>
              </w:rPr>
              <w:t>Develop, modify or delete business practices standards to support NERC activities related to NERC Time Error Correction (BAL-004-1)</w:t>
            </w:r>
          </w:p>
          <w:p w:rsidR="007430D6" w:rsidRDefault="007430D6" w:rsidP="001318A2">
            <w:pPr>
              <w:pStyle w:val="TableText"/>
              <w:spacing w:before="12" w:after="12"/>
              <w:rPr>
                <w:rFonts w:ascii="Times New Roman" w:hAnsi="Times New Roman"/>
                <w:sz w:val="20"/>
              </w:rPr>
            </w:pPr>
          </w:p>
        </w:tc>
        <w:tc>
          <w:tcPr>
            <w:tcW w:w="2146" w:type="dxa"/>
          </w:tcPr>
          <w:p w:rsidR="007430D6" w:rsidRDefault="007430D6" w:rsidP="001318A2">
            <w:pPr>
              <w:spacing w:before="12" w:after="12"/>
            </w:pPr>
            <w:r>
              <w:t>Business Practice Subcommittee</w:t>
            </w:r>
          </w:p>
        </w:tc>
        <w:tc>
          <w:tcPr>
            <w:tcW w:w="2019" w:type="dxa"/>
          </w:tcPr>
          <w:p w:rsidR="007430D6" w:rsidRDefault="007430D6" w:rsidP="001318A2">
            <w:pPr>
              <w:spacing w:before="12" w:after="12"/>
            </w:pPr>
            <w:r>
              <w:t xml:space="preserve">No Project </w:t>
            </w:r>
          </w:p>
        </w:tc>
        <w:tc>
          <w:tcPr>
            <w:tcW w:w="3594" w:type="dxa"/>
          </w:tcPr>
          <w:p w:rsidR="007430D6" w:rsidRPr="00964974" w:rsidRDefault="007430D6" w:rsidP="001318A2">
            <w:pPr>
              <w:spacing w:before="12" w:after="12"/>
            </w:pPr>
            <w:r w:rsidRPr="00AC24A4">
              <w:t xml:space="preserve">NERC submitted a petition to withdraw the BAL-004-1 standards </w:t>
            </w:r>
            <w:r>
              <w:t>in October 2012 in Docket No.  R</w:t>
            </w:r>
            <w:r w:rsidRPr="00AC24A4">
              <w:t xml:space="preserve">M09-13-000.  </w:t>
            </w:r>
            <w:r>
              <w:t xml:space="preserve">The NAESB </w:t>
            </w:r>
            <w:r w:rsidRPr="00AC24A4">
              <w:t>WEQ-006 Manual Ti</w:t>
            </w:r>
            <w:r>
              <w:t>me Error Corrections standards will need to be modified to reflect this NERC action.</w:t>
            </w:r>
          </w:p>
        </w:tc>
        <w:tc>
          <w:tcPr>
            <w:tcW w:w="2213" w:type="dxa"/>
          </w:tcPr>
          <w:p w:rsidR="007430D6" w:rsidRPr="00964974" w:rsidRDefault="007430D6" w:rsidP="001318A2">
            <w:pPr>
              <w:autoSpaceDE w:val="0"/>
              <w:autoSpaceDN w:val="0"/>
              <w:adjustRightInd w:val="0"/>
              <w:spacing w:before="12" w:after="12"/>
              <w:rPr>
                <w:rFonts w:eastAsia="SymbolMT"/>
                <w:bCs/>
              </w:rPr>
            </w:pPr>
            <w:r>
              <w:rPr>
                <w:rFonts w:eastAsia="SymbolMT"/>
                <w:bCs/>
              </w:rPr>
              <w:t>None Set</w:t>
            </w:r>
          </w:p>
        </w:tc>
        <w:tc>
          <w:tcPr>
            <w:tcW w:w="1838" w:type="dxa"/>
          </w:tcPr>
          <w:p w:rsidR="007430D6" w:rsidRDefault="001318A2" w:rsidP="001318A2">
            <w:pPr>
              <w:spacing w:before="12" w:after="12"/>
            </w:pPr>
            <w:r>
              <w:t>Howard Gugel</w:t>
            </w:r>
          </w:p>
          <w:p w:rsidR="001318A2" w:rsidRPr="00DE38D9" w:rsidRDefault="001318A2" w:rsidP="001318A2">
            <w:pPr>
              <w:spacing w:before="12" w:after="12"/>
            </w:pPr>
            <w:r>
              <w:t>Not yet assigned</w:t>
            </w:r>
          </w:p>
        </w:tc>
      </w:tr>
    </w:tbl>
    <w:p w:rsidR="007430D6" w:rsidRPr="008D5E12" w:rsidRDefault="007430D6" w:rsidP="00BA290D"/>
    <w:sectPr w:rsidR="007430D6" w:rsidRPr="008D5E12" w:rsidSect="00C80E7C">
      <w:headerReference w:type="default" r:id="rId9"/>
      <w:footerReference w:type="default" r:id="rId10"/>
      <w:type w:val="continuous"/>
      <w:pgSz w:w="15840" w:h="12240" w:orient="landscape" w:code="1"/>
      <w:pgMar w:top="1166" w:right="720" w:bottom="1267"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45" w:rsidRDefault="00337E45">
      <w:r>
        <w:separator/>
      </w:r>
    </w:p>
  </w:endnote>
  <w:endnote w:type="continuationSeparator" w:id="0">
    <w:p w:rsidR="00337E45" w:rsidRDefault="00337E45">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w:panose1 w:val="00000000000000000000"/>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A2" w:rsidRPr="008A57E4" w:rsidRDefault="001318A2" w:rsidP="009E7939">
    <w:pPr>
      <w:pStyle w:val="Footer"/>
      <w:pBdr>
        <w:top w:val="single" w:sz="12" w:space="1" w:color="auto"/>
      </w:pBdr>
      <w:jc w:val="right"/>
      <w:rPr>
        <w:sz w:val="18"/>
        <w:szCs w:val="18"/>
      </w:rPr>
    </w:pPr>
    <w:r>
      <w:rPr>
        <w:sz w:val="18"/>
        <w:szCs w:val="18"/>
      </w:rPr>
      <w:t>NAESB/NERC Coordination Plan, March 13,</w:t>
    </w:r>
    <w:r w:rsidRPr="008A57E4">
      <w:rPr>
        <w:sz w:val="18"/>
        <w:szCs w:val="18"/>
      </w:rPr>
      <w:t xml:space="preserve"> 20</w:t>
    </w:r>
    <w:r>
      <w:rPr>
        <w:sz w:val="18"/>
        <w:szCs w:val="18"/>
      </w:rPr>
      <w:t>13</w:t>
    </w:r>
  </w:p>
  <w:p w:rsidR="001318A2" w:rsidRPr="008A57E4" w:rsidRDefault="001318A2">
    <w:pPr>
      <w:pStyle w:val="Footer"/>
      <w:jc w:val="right"/>
      <w:rPr>
        <w:sz w:val="18"/>
        <w:szCs w:val="18"/>
      </w:rPr>
    </w:pPr>
    <w:r w:rsidRPr="008A57E4">
      <w:rPr>
        <w:sz w:val="18"/>
        <w:szCs w:val="18"/>
      </w:rPr>
      <w:t xml:space="preserve">Page </w:t>
    </w:r>
    <w:r w:rsidRPr="008A57E4">
      <w:rPr>
        <w:rStyle w:val="PageNumber"/>
        <w:sz w:val="18"/>
        <w:szCs w:val="18"/>
      </w:rPr>
      <w:fldChar w:fldCharType="begin"/>
    </w:r>
    <w:r w:rsidRPr="008A57E4">
      <w:rPr>
        <w:rStyle w:val="PageNumber"/>
        <w:sz w:val="18"/>
        <w:szCs w:val="18"/>
      </w:rPr>
      <w:instrText xml:space="preserve"> PAGE </w:instrText>
    </w:r>
    <w:r w:rsidRPr="008A57E4">
      <w:rPr>
        <w:rStyle w:val="PageNumber"/>
        <w:sz w:val="18"/>
        <w:szCs w:val="18"/>
      </w:rPr>
      <w:fldChar w:fldCharType="separate"/>
    </w:r>
    <w:r w:rsidR="001E25DD">
      <w:rPr>
        <w:rStyle w:val="PageNumber"/>
        <w:noProof/>
        <w:sz w:val="18"/>
        <w:szCs w:val="18"/>
      </w:rPr>
      <w:t>5</w:t>
    </w:r>
    <w:r w:rsidRPr="008A57E4">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45" w:rsidRDefault="00337E45">
      <w:r>
        <w:separator/>
      </w:r>
    </w:p>
  </w:footnote>
  <w:footnote w:type="continuationSeparator" w:id="0">
    <w:p w:rsidR="00337E45" w:rsidRDefault="00337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A2" w:rsidRPr="008A57E4" w:rsidRDefault="001318A2">
    <w:pPr>
      <w:pStyle w:val="Header"/>
      <w:tabs>
        <w:tab w:val="left" w:pos="1080"/>
      </w:tabs>
      <w:jc w:val="center"/>
      <w:rPr>
        <w:b/>
        <w:sz w:val="28"/>
      </w:rPr>
    </w:pPr>
    <w:r>
      <w:rPr>
        <w:noProof/>
      </w:rPr>
      <w:drawing>
        <wp:anchor distT="0" distB="0" distL="114300" distR="114300" simplePos="0" relativeHeight="251657728"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8"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6185" cy="1485900"/>
                  </a:xfrm>
                  <a:prstGeom prst="rect">
                    <a:avLst/>
                  </a:prstGeom>
                  <a:noFill/>
                  <a:ln>
                    <a:noFill/>
                  </a:ln>
                </pic:spPr>
              </pic:pic>
            </a:graphicData>
          </a:graphic>
        </wp:anchor>
      </w:drawing>
    </w:r>
  </w:p>
  <w:p w:rsidR="001318A2" w:rsidRPr="008A57E4" w:rsidRDefault="001318A2">
    <w:pPr>
      <w:pStyle w:val="Header"/>
      <w:tabs>
        <w:tab w:val="left" w:pos="1080"/>
      </w:tabs>
      <w:jc w:val="center"/>
      <w:rPr>
        <w:b/>
        <w:sz w:val="28"/>
      </w:rPr>
    </w:pPr>
  </w:p>
  <w:p w:rsidR="001318A2" w:rsidRPr="008A57E4" w:rsidRDefault="001318A2" w:rsidP="008A57E4">
    <w:pPr>
      <w:pStyle w:val="Header"/>
      <w:tabs>
        <w:tab w:val="left" w:pos="1080"/>
      </w:tabs>
      <w:jc w:val="right"/>
      <w:rPr>
        <w:b/>
        <w:sz w:val="28"/>
      </w:rPr>
    </w:pPr>
    <w:r w:rsidRPr="008A57E4">
      <w:rPr>
        <w:b/>
        <w:sz w:val="28"/>
      </w:rPr>
      <w:t xml:space="preserve">                                        North American Energy Standards Board</w:t>
    </w:r>
  </w:p>
  <w:p w:rsidR="001318A2" w:rsidRPr="008A57E4" w:rsidRDefault="001318A2">
    <w:pPr>
      <w:pStyle w:val="Header"/>
      <w:jc w:val="right"/>
    </w:pPr>
    <w:r>
      <w:t>801 Travis</w:t>
    </w:r>
    <w:r w:rsidRPr="008A57E4">
      <w:t xml:space="preserve">, </w:t>
    </w:r>
    <w:smartTag w:uri="urn:schemas-microsoft-com:office:smarttags" w:element="address">
      <w:smartTag w:uri="urn:schemas-microsoft-com:office:smarttags" w:element="Street">
        <w:r w:rsidRPr="008A57E4">
          <w:t>Suite</w:t>
        </w:r>
      </w:smartTag>
      <w:r w:rsidRPr="008A57E4">
        <w:t xml:space="preserve"> </w:t>
      </w:r>
      <w:r>
        <w:t>1675</w:t>
      </w:r>
    </w:smartTag>
    <w:r w:rsidRPr="008A57E4">
      <w:t xml:space="preserve">, </w:t>
    </w:r>
    <w:smartTag w:uri="urn:schemas-microsoft-com:office:smarttags" w:element="place">
      <w:smartTag w:uri="urn:schemas-microsoft-com:office:smarttags" w:element="City">
        <w:r w:rsidRPr="008A57E4">
          <w:t>Houston</w:t>
        </w:r>
      </w:smartTag>
      <w:r w:rsidRPr="008A57E4">
        <w:t xml:space="preserve">, </w:t>
      </w:r>
      <w:smartTag w:uri="urn:schemas-microsoft-com:office:smarttags" w:element="State">
        <w:r w:rsidRPr="008A57E4">
          <w:t>Texas</w:t>
        </w:r>
      </w:smartTag>
      <w:r w:rsidRPr="008A57E4">
        <w:t xml:space="preserve"> </w:t>
      </w:r>
      <w:smartTag w:uri="urn:schemas-microsoft-com:office:smarttags" w:element="PostalCode">
        <w:r w:rsidRPr="008A57E4">
          <w:t>77002</w:t>
        </w:r>
      </w:smartTag>
    </w:smartTag>
  </w:p>
  <w:p w:rsidR="001318A2" w:rsidRPr="008A57E4" w:rsidRDefault="001318A2" w:rsidP="002F235D">
    <w:pPr>
      <w:pStyle w:val="Header"/>
      <w:jc w:val="right"/>
    </w:pPr>
    <w:r w:rsidRPr="008A57E4">
      <w:t>Phone:  (713) 356-0060, Fax:  (713) 356-0067, E-mail: naesb@naesb.org</w:t>
    </w:r>
  </w:p>
  <w:p w:rsidR="001318A2" w:rsidRPr="008A57E4" w:rsidRDefault="001318A2" w:rsidP="00C80E7C">
    <w:pPr>
      <w:pStyle w:val="Header"/>
      <w:pBdr>
        <w:bottom w:val="single" w:sz="4" w:space="1" w:color="auto"/>
      </w:pBdr>
      <w:spacing w:after="240"/>
      <w:jc w:val="right"/>
    </w:pPr>
    <w:r w:rsidRPr="008A57E4">
      <w:t>Home Page: www.naesb.org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0B07CD1"/>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
    <w:nsid w:val="03BF6D19"/>
    <w:multiLevelType w:val="hybridMultilevel"/>
    <w:tmpl w:val="2CFE68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43B02CA"/>
    <w:multiLevelType w:val="singleLevel"/>
    <w:tmpl w:val="C4D47F1C"/>
    <w:lvl w:ilvl="0">
      <w:start w:val="5"/>
      <w:numFmt w:val="upperRoman"/>
      <w:lvlText w:val="%1."/>
      <w:lvlJc w:val="left"/>
      <w:pPr>
        <w:tabs>
          <w:tab w:val="num" w:pos="720"/>
        </w:tabs>
        <w:ind w:left="720" w:hanging="720"/>
      </w:pPr>
      <w:rPr>
        <w:rFonts w:hint="default"/>
      </w:rPr>
    </w:lvl>
  </w:abstractNum>
  <w:abstractNum w:abstractNumId="4">
    <w:nsid w:val="0A063C3D"/>
    <w:multiLevelType w:val="hybridMultilevel"/>
    <w:tmpl w:val="3BE05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6F2572"/>
    <w:multiLevelType w:val="multilevel"/>
    <w:tmpl w:val="44EED508"/>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14DC6D44"/>
    <w:multiLevelType w:val="hybridMultilevel"/>
    <w:tmpl w:val="301E6BE8"/>
    <w:lvl w:ilvl="0" w:tplc="04090007">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617170D"/>
    <w:multiLevelType w:val="hybridMultilevel"/>
    <w:tmpl w:val="8F786CD8"/>
    <w:lvl w:ilvl="0" w:tplc="7228FC7A">
      <w:start w:val="1"/>
      <w:numFmt w:val="decimal"/>
      <w:lvlText w:val="%1."/>
      <w:lvlJc w:val="left"/>
      <w:pPr>
        <w:tabs>
          <w:tab w:val="num" w:pos="720"/>
        </w:tabs>
        <w:ind w:left="720" w:hanging="360"/>
      </w:pPr>
      <w:rPr>
        <w:rFonts w:hint="default"/>
        <w:b/>
        <w:bCs/>
      </w:rPr>
    </w:lvl>
    <w:lvl w:ilvl="1" w:tplc="04090007">
      <w:start w:val="1"/>
      <w:numFmt w:val="bullet"/>
      <w:lvlText w:val=""/>
      <w:lvlJc w:val="left"/>
      <w:pPr>
        <w:tabs>
          <w:tab w:val="num" w:pos="1440"/>
        </w:tabs>
        <w:ind w:left="1440" w:hanging="360"/>
      </w:pPr>
      <w:rPr>
        <w:rFonts w:ascii="Symbol" w:hAnsi="Symbol"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BE26E79"/>
    <w:multiLevelType w:val="hybridMultilevel"/>
    <w:tmpl w:val="E8FA7D4C"/>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3942B21"/>
    <w:multiLevelType w:val="hybridMultilevel"/>
    <w:tmpl w:val="7458D8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84C2F04"/>
    <w:multiLevelType w:val="hybridMultilevel"/>
    <w:tmpl w:val="8370D9DE"/>
    <w:lvl w:ilvl="0" w:tplc="AF76BF40">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38D91F01"/>
    <w:multiLevelType w:val="hybridMultilevel"/>
    <w:tmpl w:val="53F43DFE"/>
    <w:lvl w:ilvl="0" w:tplc="925C4C16">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B86CBA"/>
    <w:multiLevelType w:val="hybridMultilevel"/>
    <w:tmpl w:val="C9265C2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4CA462A"/>
    <w:multiLevelType w:val="multilevel"/>
    <w:tmpl w:val="C9265C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46DB0FFE"/>
    <w:multiLevelType w:val="hybridMultilevel"/>
    <w:tmpl w:val="64B0411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7BE78FC"/>
    <w:multiLevelType w:val="multilevel"/>
    <w:tmpl w:val="3BE05B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B4421CD"/>
    <w:multiLevelType w:val="hybridMultilevel"/>
    <w:tmpl w:val="221E46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D184C64"/>
    <w:multiLevelType w:val="hybridMultilevel"/>
    <w:tmpl w:val="04DA69DA"/>
    <w:lvl w:ilvl="0" w:tplc="7228FC7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470AF3"/>
    <w:multiLevelType w:val="hybridMultilevel"/>
    <w:tmpl w:val="5670A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7D67E14"/>
    <w:multiLevelType w:val="hybridMultilevel"/>
    <w:tmpl w:val="061CAE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85D3B51"/>
    <w:multiLevelType w:val="hybridMultilevel"/>
    <w:tmpl w:val="B06CA3E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5">
    <w:nsid w:val="5BA22A60"/>
    <w:multiLevelType w:val="hybridMultilevel"/>
    <w:tmpl w:val="09988810"/>
    <w:lvl w:ilvl="0" w:tplc="9E2440D8">
      <w:start w:val="1"/>
      <w:numFmt w:val="upperLetter"/>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BCA274E"/>
    <w:multiLevelType w:val="hybridMultilevel"/>
    <w:tmpl w:val="8AA8F85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6D6C249C">
      <w:start w:val="1"/>
      <w:numFmt w:val="bullet"/>
      <w:lvlText w:val=""/>
      <w:lvlJc w:val="left"/>
      <w:pPr>
        <w:tabs>
          <w:tab w:val="num" w:pos="1512"/>
        </w:tabs>
        <w:ind w:left="1512" w:hanging="432"/>
      </w:pPr>
      <w:rPr>
        <w:rFonts w:ascii="Symbol" w:hAnsi="Symbol" w:hint="default"/>
        <w:b w:val="0"/>
        <w:i w:val="0"/>
        <w:sz w:val="18"/>
        <w:szCs w:val="18"/>
      </w:rPr>
    </w:lvl>
    <w:lvl w:ilvl="2" w:tplc="04090001">
      <w:start w:val="1"/>
      <w:numFmt w:val="bullet"/>
      <w:lvlText w:val=""/>
      <w:lvlJc w:val="left"/>
      <w:pPr>
        <w:tabs>
          <w:tab w:val="num" w:pos="2160"/>
        </w:tabs>
        <w:ind w:left="2160" w:hanging="360"/>
      </w:pPr>
      <w:rPr>
        <w:rFonts w:ascii="Symbol" w:hAnsi="Symbol" w:hint="default"/>
        <w:b w:val="0"/>
        <w:i w:val="0"/>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0553D7"/>
    <w:multiLevelType w:val="hybridMultilevel"/>
    <w:tmpl w:val="70863FA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60818BE"/>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9">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nsid w:val="6B4E4AB7"/>
    <w:multiLevelType w:val="singleLevel"/>
    <w:tmpl w:val="28049048"/>
    <w:lvl w:ilvl="0">
      <w:start w:val="19"/>
      <w:numFmt w:val="lowerLetter"/>
      <w:lvlText w:val="(%1)"/>
      <w:lvlJc w:val="left"/>
      <w:pPr>
        <w:tabs>
          <w:tab w:val="num" w:pos="3960"/>
        </w:tabs>
        <w:ind w:left="3960" w:hanging="360"/>
      </w:pPr>
      <w:rPr>
        <w:rFonts w:hint="default"/>
      </w:rPr>
    </w:lvl>
  </w:abstractNum>
  <w:abstractNum w:abstractNumId="32">
    <w:nsid w:val="6C9E30F0"/>
    <w:multiLevelType w:val="hybridMultilevel"/>
    <w:tmpl w:val="608C753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nsid w:val="6F6F3E9F"/>
    <w:multiLevelType w:val="hybridMultilevel"/>
    <w:tmpl w:val="23E0C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140E68"/>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36">
    <w:nsid w:val="77D6151B"/>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37">
    <w:nsid w:val="77FB37FF"/>
    <w:multiLevelType w:val="hybridMultilevel"/>
    <w:tmpl w:val="C0D64360"/>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7AE446D3"/>
    <w:multiLevelType w:val="singleLevel"/>
    <w:tmpl w:val="9E6E4D74"/>
    <w:lvl w:ilvl="0">
      <w:start w:val="1"/>
      <w:numFmt w:val="lowerLetter"/>
      <w:lvlText w:val="(%1)"/>
      <w:lvlJc w:val="left"/>
      <w:pPr>
        <w:tabs>
          <w:tab w:val="num" w:pos="792"/>
        </w:tabs>
        <w:ind w:left="792" w:hanging="360"/>
      </w:pPr>
      <w:rPr>
        <w:rFonts w:ascii="Times New Roman" w:hAnsi="Times New Roman" w:hint="default"/>
        <w:b/>
        <w:i w:val="0"/>
        <w:sz w:val="22"/>
      </w:rPr>
    </w:lvl>
  </w:abstractNum>
  <w:num w:numId="1">
    <w:abstractNumId w:val="12"/>
  </w:num>
  <w:num w:numId="2">
    <w:abstractNumId w:val="6"/>
  </w:num>
  <w:num w:numId="3">
    <w:abstractNumId w:val="13"/>
  </w:num>
  <w:num w:numId="4">
    <w:abstractNumId w:val="30"/>
  </w:num>
  <w:num w:numId="5">
    <w:abstractNumId w:val="33"/>
  </w:num>
  <w:num w:numId="6">
    <w:abstractNumId w:val="3"/>
  </w:num>
  <w:num w:numId="7">
    <w:abstractNumId w:val="31"/>
  </w:num>
  <w:num w:numId="8">
    <w:abstractNumId w:val="3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29"/>
  </w:num>
  <w:num w:numId="12">
    <w:abstractNumId w:val="35"/>
  </w:num>
  <w:num w:numId="13">
    <w:abstractNumId w:val="1"/>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1"/>
  </w:num>
  <w:num w:numId="22">
    <w:abstractNumId w:val="8"/>
  </w:num>
  <w:num w:numId="23">
    <w:abstractNumId w:val="20"/>
  </w:num>
  <w:num w:numId="24">
    <w:abstractNumId w:val="34"/>
  </w:num>
  <w:num w:numId="25">
    <w:abstractNumId w:val="2"/>
  </w:num>
  <w:num w:numId="26">
    <w:abstractNumId w:val="10"/>
  </w:num>
  <w:num w:numId="27">
    <w:abstractNumId w:val="32"/>
  </w:num>
  <w:num w:numId="28">
    <w:abstractNumId w:val="7"/>
  </w:num>
  <w:num w:numId="29">
    <w:abstractNumId w:val="16"/>
  </w:num>
  <w:num w:numId="30">
    <w:abstractNumId w:val="17"/>
  </w:num>
  <w:num w:numId="31">
    <w:abstractNumId w:val="9"/>
  </w:num>
  <w:num w:numId="32">
    <w:abstractNumId w:val="5"/>
  </w:num>
  <w:num w:numId="33">
    <w:abstractNumId w:val="18"/>
  </w:num>
  <w:num w:numId="34">
    <w:abstractNumId w:val="27"/>
  </w:num>
  <w:num w:numId="35">
    <w:abstractNumId w:val="37"/>
  </w:num>
  <w:num w:numId="36">
    <w:abstractNumId w:val="22"/>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
  </w:num>
  <w:num w:numId="40">
    <w:abstractNumId w:val="26"/>
  </w:num>
  <w:num w:numId="41">
    <w:abstractNumId w:val="11"/>
  </w:num>
  <w:num w:numId="42">
    <w:abstractNumId w:val="19"/>
  </w:num>
  <w:num w:numId="43">
    <w:abstractNumId w:val="15"/>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EE5196"/>
    <w:rsid w:val="00000ED0"/>
    <w:rsid w:val="00004F42"/>
    <w:rsid w:val="00007E88"/>
    <w:rsid w:val="00012023"/>
    <w:rsid w:val="0001226A"/>
    <w:rsid w:val="00016171"/>
    <w:rsid w:val="00016573"/>
    <w:rsid w:val="00016BF4"/>
    <w:rsid w:val="00017A64"/>
    <w:rsid w:val="00024034"/>
    <w:rsid w:val="00024863"/>
    <w:rsid w:val="0002692B"/>
    <w:rsid w:val="00030855"/>
    <w:rsid w:val="000325A8"/>
    <w:rsid w:val="000357FE"/>
    <w:rsid w:val="0004200E"/>
    <w:rsid w:val="00045309"/>
    <w:rsid w:val="00050202"/>
    <w:rsid w:val="00055D15"/>
    <w:rsid w:val="00056BF1"/>
    <w:rsid w:val="00056C54"/>
    <w:rsid w:val="00062911"/>
    <w:rsid w:val="00065323"/>
    <w:rsid w:val="00065495"/>
    <w:rsid w:val="000658CD"/>
    <w:rsid w:val="00067546"/>
    <w:rsid w:val="00074B4A"/>
    <w:rsid w:val="0007615D"/>
    <w:rsid w:val="00081866"/>
    <w:rsid w:val="0008197D"/>
    <w:rsid w:val="000853E4"/>
    <w:rsid w:val="00090770"/>
    <w:rsid w:val="00090D67"/>
    <w:rsid w:val="0009396B"/>
    <w:rsid w:val="000945C4"/>
    <w:rsid w:val="00094975"/>
    <w:rsid w:val="0009770C"/>
    <w:rsid w:val="000A0EBF"/>
    <w:rsid w:val="000A47B6"/>
    <w:rsid w:val="000B14EC"/>
    <w:rsid w:val="000B1E81"/>
    <w:rsid w:val="000B53A6"/>
    <w:rsid w:val="000B77DA"/>
    <w:rsid w:val="000C1F37"/>
    <w:rsid w:val="000C37BD"/>
    <w:rsid w:val="000C3CD5"/>
    <w:rsid w:val="000C4B31"/>
    <w:rsid w:val="000C4D93"/>
    <w:rsid w:val="000C755E"/>
    <w:rsid w:val="000D0531"/>
    <w:rsid w:val="000D229B"/>
    <w:rsid w:val="000D2320"/>
    <w:rsid w:val="000D23F3"/>
    <w:rsid w:val="000D3016"/>
    <w:rsid w:val="000D4218"/>
    <w:rsid w:val="000E3EDB"/>
    <w:rsid w:val="000E5119"/>
    <w:rsid w:val="000E75F7"/>
    <w:rsid w:val="000F0712"/>
    <w:rsid w:val="000F20D3"/>
    <w:rsid w:val="000F6880"/>
    <w:rsid w:val="000F7E63"/>
    <w:rsid w:val="00104417"/>
    <w:rsid w:val="00104E6A"/>
    <w:rsid w:val="00111D72"/>
    <w:rsid w:val="00117B6C"/>
    <w:rsid w:val="0012169F"/>
    <w:rsid w:val="00121FF5"/>
    <w:rsid w:val="001269DD"/>
    <w:rsid w:val="00131638"/>
    <w:rsid w:val="001318A2"/>
    <w:rsid w:val="00134C2F"/>
    <w:rsid w:val="001372F0"/>
    <w:rsid w:val="00137CBF"/>
    <w:rsid w:val="00145452"/>
    <w:rsid w:val="001455A6"/>
    <w:rsid w:val="001523A0"/>
    <w:rsid w:val="00153254"/>
    <w:rsid w:val="00157160"/>
    <w:rsid w:val="0016434E"/>
    <w:rsid w:val="0016702A"/>
    <w:rsid w:val="0017030C"/>
    <w:rsid w:val="00170C8B"/>
    <w:rsid w:val="00173B2A"/>
    <w:rsid w:val="0017495F"/>
    <w:rsid w:val="0017674B"/>
    <w:rsid w:val="00176DEF"/>
    <w:rsid w:val="00180414"/>
    <w:rsid w:val="00180E9F"/>
    <w:rsid w:val="001836C1"/>
    <w:rsid w:val="001916D0"/>
    <w:rsid w:val="00196554"/>
    <w:rsid w:val="001975FF"/>
    <w:rsid w:val="001A1301"/>
    <w:rsid w:val="001A43F5"/>
    <w:rsid w:val="001A522E"/>
    <w:rsid w:val="001A7309"/>
    <w:rsid w:val="001B77DC"/>
    <w:rsid w:val="001C0DAC"/>
    <w:rsid w:val="001C17DC"/>
    <w:rsid w:val="001C1AC2"/>
    <w:rsid w:val="001C60A3"/>
    <w:rsid w:val="001C7021"/>
    <w:rsid w:val="001D3763"/>
    <w:rsid w:val="001D4976"/>
    <w:rsid w:val="001D51F2"/>
    <w:rsid w:val="001D657C"/>
    <w:rsid w:val="001D70B5"/>
    <w:rsid w:val="001E0A33"/>
    <w:rsid w:val="001E25DD"/>
    <w:rsid w:val="001E27AD"/>
    <w:rsid w:val="001E2A66"/>
    <w:rsid w:val="001E6C41"/>
    <w:rsid w:val="001E6CE7"/>
    <w:rsid w:val="001F1899"/>
    <w:rsid w:val="001F4CB1"/>
    <w:rsid w:val="001F7B5F"/>
    <w:rsid w:val="00201809"/>
    <w:rsid w:val="00203C60"/>
    <w:rsid w:val="00204DE0"/>
    <w:rsid w:val="002070CF"/>
    <w:rsid w:val="002113CE"/>
    <w:rsid w:val="0021209D"/>
    <w:rsid w:val="00214F96"/>
    <w:rsid w:val="0022477C"/>
    <w:rsid w:val="00227B88"/>
    <w:rsid w:val="0023448B"/>
    <w:rsid w:val="00235A4F"/>
    <w:rsid w:val="00235B7D"/>
    <w:rsid w:val="00240BC9"/>
    <w:rsid w:val="00241FE9"/>
    <w:rsid w:val="00246AD8"/>
    <w:rsid w:val="00247665"/>
    <w:rsid w:val="00251E6E"/>
    <w:rsid w:val="00256AF4"/>
    <w:rsid w:val="002609FA"/>
    <w:rsid w:val="00261289"/>
    <w:rsid w:val="00262BF9"/>
    <w:rsid w:val="00264A86"/>
    <w:rsid w:val="00265AFD"/>
    <w:rsid w:val="0027011A"/>
    <w:rsid w:val="00270FD6"/>
    <w:rsid w:val="00271723"/>
    <w:rsid w:val="0027333A"/>
    <w:rsid w:val="00277E6C"/>
    <w:rsid w:val="0028368B"/>
    <w:rsid w:val="00284BE2"/>
    <w:rsid w:val="00286318"/>
    <w:rsid w:val="0029283F"/>
    <w:rsid w:val="002948B9"/>
    <w:rsid w:val="00297227"/>
    <w:rsid w:val="002A0765"/>
    <w:rsid w:val="002A49CF"/>
    <w:rsid w:val="002A5066"/>
    <w:rsid w:val="002A7953"/>
    <w:rsid w:val="002B7A84"/>
    <w:rsid w:val="002C200C"/>
    <w:rsid w:val="002C266A"/>
    <w:rsid w:val="002C2BF7"/>
    <w:rsid w:val="002C5D9B"/>
    <w:rsid w:val="002C6041"/>
    <w:rsid w:val="002C6E3B"/>
    <w:rsid w:val="002D0316"/>
    <w:rsid w:val="002D1129"/>
    <w:rsid w:val="002D2001"/>
    <w:rsid w:val="002D2D28"/>
    <w:rsid w:val="002D43DD"/>
    <w:rsid w:val="002E3EC8"/>
    <w:rsid w:val="002E3F50"/>
    <w:rsid w:val="002E6BDC"/>
    <w:rsid w:val="002F1E2E"/>
    <w:rsid w:val="002F235D"/>
    <w:rsid w:val="002F5254"/>
    <w:rsid w:val="00316723"/>
    <w:rsid w:val="00317E20"/>
    <w:rsid w:val="00322952"/>
    <w:rsid w:val="003236BF"/>
    <w:rsid w:val="00324268"/>
    <w:rsid w:val="003244AD"/>
    <w:rsid w:val="00324FFB"/>
    <w:rsid w:val="00337B70"/>
    <w:rsid w:val="00337E45"/>
    <w:rsid w:val="0035442E"/>
    <w:rsid w:val="0035450A"/>
    <w:rsid w:val="00354A8C"/>
    <w:rsid w:val="003560FC"/>
    <w:rsid w:val="003572BA"/>
    <w:rsid w:val="00357B11"/>
    <w:rsid w:val="0036411B"/>
    <w:rsid w:val="00366C93"/>
    <w:rsid w:val="00374A8A"/>
    <w:rsid w:val="00374B57"/>
    <w:rsid w:val="00374E27"/>
    <w:rsid w:val="00376393"/>
    <w:rsid w:val="00377F14"/>
    <w:rsid w:val="00380B3D"/>
    <w:rsid w:val="0038402C"/>
    <w:rsid w:val="003840D8"/>
    <w:rsid w:val="0038558A"/>
    <w:rsid w:val="00386856"/>
    <w:rsid w:val="00390942"/>
    <w:rsid w:val="0039194F"/>
    <w:rsid w:val="0039205F"/>
    <w:rsid w:val="00396DEC"/>
    <w:rsid w:val="003A4145"/>
    <w:rsid w:val="003B2EA1"/>
    <w:rsid w:val="003B394B"/>
    <w:rsid w:val="003B6147"/>
    <w:rsid w:val="003C048B"/>
    <w:rsid w:val="003C4E67"/>
    <w:rsid w:val="003C7FD1"/>
    <w:rsid w:val="003D1D6A"/>
    <w:rsid w:val="003D371F"/>
    <w:rsid w:val="003D63C7"/>
    <w:rsid w:val="003D6749"/>
    <w:rsid w:val="003E1B9F"/>
    <w:rsid w:val="003E402A"/>
    <w:rsid w:val="003E4EC3"/>
    <w:rsid w:val="003E50B2"/>
    <w:rsid w:val="003F0EDF"/>
    <w:rsid w:val="003F371B"/>
    <w:rsid w:val="003F569C"/>
    <w:rsid w:val="003F57B0"/>
    <w:rsid w:val="003F5DA2"/>
    <w:rsid w:val="003F620C"/>
    <w:rsid w:val="003F758E"/>
    <w:rsid w:val="00400A89"/>
    <w:rsid w:val="00402387"/>
    <w:rsid w:val="00402449"/>
    <w:rsid w:val="00402B45"/>
    <w:rsid w:val="00411534"/>
    <w:rsid w:val="004131EC"/>
    <w:rsid w:val="004225D5"/>
    <w:rsid w:val="00426781"/>
    <w:rsid w:val="00427299"/>
    <w:rsid w:val="004277F5"/>
    <w:rsid w:val="00427D79"/>
    <w:rsid w:val="00440391"/>
    <w:rsid w:val="004416C2"/>
    <w:rsid w:val="00443BD3"/>
    <w:rsid w:val="004458E5"/>
    <w:rsid w:val="00445B49"/>
    <w:rsid w:val="00450E43"/>
    <w:rsid w:val="0045263C"/>
    <w:rsid w:val="00457A6E"/>
    <w:rsid w:val="004603AD"/>
    <w:rsid w:val="0046222F"/>
    <w:rsid w:val="00463144"/>
    <w:rsid w:val="004640C2"/>
    <w:rsid w:val="004641A5"/>
    <w:rsid w:val="004672C7"/>
    <w:rsid w:val="004715F3"/>
    <w:rsid w:val="0047276D"/>
    <w:rsid w:val="00473A5C"/>
    <w:rsid w:val="00475FBB"/>
    <w:rsid w:val="004803FE"/>
    <w:rsid w:val="00481416"/>
    <w:rsid w:val="00484377"/>
    <w:rsid w:val="00486708"/>
    <w:rsid w:val="0049029D"/>
    <w:rsid w:val="00490740"/>
    <w:rsid w:val="004907F0"/>
    <w:rsid w:val="00495C5A"/>
    <w:rsid w:val="004962D4"/>
    <w:rsid w:val="00496A3E"/>
    <w:rsid w:val="004A0FCE"/>
    <w:rsid w:val="004A1268"/>
    <w:rsid w:val="004A1EEE"/>
    <w:rsid w:val="004A2632"/>
    <w:rsid w:val="004A2A23"/>
    <w:rsid w:val="004A2BD9"/>
    <w:rsid w:val="004A3ED0"/>
    <w:rsid w:val="004A71C2"/>
    <w:rsid w:val="004B67A6"/>
    <w:rsid w:val="004B725C"/>
    <w:rsid w:val="004C2A39"/>
    <w:rsid w:val="004C4B8A"/>
    <w:rsid w:val="004D0655"/>
    <w:rsid w:val="004D4606"/>
    <w:rsid w:val="004D5221"/>
    <w:rsid w:val="004D6FBD"/>
    <w:rsid w:val="004E2EF3"/>
    <w:rsid w:val="004E55F7"/>
    <w:rsid w:val="004E598F"/>
    <w:rsid w:val="004F1158"/>
    <w:rsid w:val="004F2CE2"/>
    <w:rsid w:val="004F3CFB"/>
    <w:rsid w:val="004F529C"/>
    <w:rsid w:val="0050110C"/>
    <w:rsid w:val="00501816"/>
    <w:rsid w:val="00503256"/>
    <w:rsid w:val="00503651"/>
    <w:rsid w:val="00510CE7"/>
    <w:rsid w:val="0051456A"/>
    <w:rsid w:val="00514957"/>
    <w:rsid w:val="005164B2"/>
    <w:rsid w:val="00524F0D"/>
    <w:rsid w:val="005250D0"/>
    <w:rsid w:val="00525746"/>
    <w:rsid w:val="00527D33"/>
    <w:rsid w:val="005312F6"/>
    <w:rsid w:val="00532831"/>
    <w:rsid w:val="0053413E"/>
    <w:rsid w:val="00534AF7"/>
    <w:rsid w:val="00535EE7"/>
    <w:rsid w:val="0054326B"/>
    <w:rsid w:val="00543E0D"/>
    <w:rsid w:val="005441F3"/>
    <w:rsid w:val="00547C3D"/>
    <w:rsid w:val="005569DD"/>
    <w:rsid w:val="00556AAF"/>
    <w:rsid w:val="005573E7"/>
    <w:rsid w:val="005616BC"/>
    <w:rsid w:val="00561CBD"/>
    <w:rsid w:val="005629AC"/>
    <w:rsid w:val="00565C6B"/>
    <w:rsid w:val="00566E3D"/>
    <w:rsid w:val="00570A67"/>
    <w:rsid w:val="00571283"/>
    <w:rsid w:val="00572048"/>
    <w:rsid w:val="00573D0C"/>
    <w:rsid w:val="00576396"/>
    <w:rsid w:val="00582514"/>
    <w:rsid w:val="00590575"/>
    <w:rsid w:val="0059284E"/>
    <w:rsid w:val="005950C2"/>
    <w:rsid w:val="005A2BE3"/>
    <w:rsid w:val="005A6784"/>
    <w:rsid w:val="005A69C8"/>
    <w:rsid w:val="005A7003"/>
    <w:rsid w:val="005A7F7F"/>
    <w:rsid w:val="005B37D2"/>
    <w:rsid w:val="005C380D"/>
    <w:rsid w:val="005C7C30"/>
    <w:rsid w:val="005D1036"/>
    <w:rsid w:val="005D1B83"/>
    <w:rsid w:val="005D2217"/>
    <w:rsid w:val="005E2418"/>
    <w:rsid w:val="005E2518"/>
    <w:rsid w:val="005E481A"/>
    <w:rsid w:val="005E5AA9"/>
    <w:rsid w:val="005E797E"/>
    <w:rsid w:val="005F0990"/>
    <w:rsid w:val="005F4BA3"/>
    <w:rsid w:val="005F5F4C"/>
    <w:rsid w:val="005F70EB"/>
    <w:rsid w:val="00601FD9"/>
    <w:rsid w:val="006024FB"/>
    <w:rsid w:val="00602DEA"/>
    <w:rsid w:val="00604986"/>
    <w:rsid w:val="0061089E"/>
    <w:rsid w:val="00610D23"/>
    <w:rsid w:val="00611D7D"/>
    <w:rsid w:val="00611EFE"/>
    <w:rsid w:val="00613717"/>
    <w:rsid w:val="006158F0"/>
    <w:rsid w:val="00616240"/>
    <w:rsid w:val="00620B38"/>
    <w:rsid w:val="00622EBE"/>
    <w:rsid w:val="00632FA3"/>
    <w:rsid w:val="00633F29"/>
    <w:rsid w:val="00634A81"/>
    <w:rsid w:val="00641521"/>
    <w:rsid w:val="00646AFD"/>
    <w:rsid w:val="00647D1F"/>
    <w:rsid w:val="00651F45"/>
    <w:rsid w:val="00655745"/>
    <w:rsid w:val="00661B8D"/>
    <w:rsid w:val="00662CBB"/>
    <w:rsid w:val="0066680A"/>
    <w:rsid w:val="006754D2"/>
    <w:rsid w:val="00676F46"/>
    <w:rsid w:val="00681328"/>
    <w:rsid w:val="0068210C"/>
    <w:rsid w:val="00682D24"/>
    <w:rsid w:val="006839A4"/>
    <w:rsid w:val="006843B7"/>
    <w:rsid w:val="00684595"/>
    <w:rsid w:val="00690977"/>
    <w:rsid w:val="0069249D"/>
    <w:rsid w:val="00694854"/>
    <w:rsid w:val="006963E0"/>
    <w:rsid w:val="006974EA"/>
    <w:rsid w:val="00697583"/>
    <w:rsid w:val="006A02D9"/>
    <w:rsid w:val="006A12F1"/>
    <w:rsid w:val="006A20B4"/>
    <w:rsid w:val="006A5DA8"/>
    <w:rsid w:val="006A66B4"/>
    <w:rsid w:val="006B4023"/>
    <w:rsid w:val="006B5702"/>
    <w:rsid w:val="006C3215"/>
    <w:rsid w:val="006C5F64"/>
    <w:rsid w:val="006C77C9"/>
    <w:rsid w:val="006D078D"/>
    <w:rsid w:val="006D767B"/>
    <w:rsid w:val="006E3711"/>
    <w:rsid w:val="006E4034"/>
    <w:rsid w:val="006E533F"/>
    <w:rsid w:val="006E5672"/>
    <w:rsid w:val="006E56CC"/>
    <w:rsid w:val="006F1568"/>
    <w:rsid w:val="006F2907"/>
    <w:rsid w:val="006F30BC"/>
    <w:rsid w:val="006F7BFF"/>
    <w:rsid w:val="00701CE3"/>
    <w:rsid w:val="007046AA"/>
    <w:rsid w:val="00704E33"/>
    <w:rsid w:val="00705A44"/>
    <w:rsid w:val="0070648F"/>
    <w:rsid w:val="007073DC"/>
    <w:rsid w:val="0071488D"/>
    <w:rsid w:val="00714A14"/>
    <w:rsid w:val="00714FAF"/>
    <w:rsid w:val="00715109"/>
    <w:rsid w:val="007200FA"/>
    <w:rsid w:val="00722FAA"/>
    <w:rsid w:val="00725F00"/>
    <w:rsid w:val="00727648"/>
    <w:rsid w:val="00740EAB"/>
    <w:rsid w:val="0074223A"/>
    <w:rsid w:val="0074308F"/>
    <w:rsid w:val="007430D6"/>
    <w:rsid w:val="00746DE1"/>
    <w:rsid w:val="00750BAA"/>
    <w:rsid w:val="0075518E"/>
    <w:rsid w:val="00756708"/>
    <w:rsid w:val="007632DA"/>
    <w:rsid w:val="00770211"/>
    <w:rsid w:val="00771CC0"/>
    <w:rsid w:val="00775155"/>
    <w:rsid w:val="0077763C"/>
    <w:rsid w:val="00781D43"/>
    <w:rsid w:val="007820E9"/>
    <w:rsid w:val="007856A0"/>
    <w:rsid w:val="00786294"/>
    <w:rsid w:val="0079219D"/>
    <w:rsid w:val="00792EA3"/>
    <w:rsid w:val="007A4AAF"/>
    <w:rsid w:val="007A7130"/>
    <w:rsid w:val="007A71E5"/>
    <w:rsid w:val="007B20CF"/>
    <w:rsid w:val="007B2FBA"/>
    <w:rsid w:val="007B361A"/>
    <w:rsid w:val="007B6BE5"/>
    <w:rsid w:val="007C30E0"/>
    <w:rsid w:val="007C455A"/>
    <w:rsid w:val="007C594E"/>
    <w:rsid w:val="007D193E"/>
    <w:rsid w:val="007D296E"/>
    <w:rsid w:val="007D2CF9"/>
    <w:rsid w:val="007D2F11"/>
    <w:rsid w:val="007D3279"/>
    <w:rsid w:val="007D6CE4"/>
    <w:rsid w:val="007E13D9"/>
    <w:rsid w:val="007E2C0F"/>
    <w:rsid w:val="007E54D3"/>
    <w:rsid w:val="007E738E"/>
    <w:rsid w:val="007F0CA3"/>
    <w:rsid w:val="007F4CAD"/>
    <w:rsid w:val="007F4DFF"/>
    <w:rsid w:val="007F6424"/>
    <w:rsid w:val="007F7883"/>
    <w:rsid w:val="007F7BD9"/>
    <w:rsid w:val="008011D6"/>
    <w:rsid w:val="008021BB"/>
    <w:rsid w:val="008067ED"/>
    <w:rsid w:val="00807FE5"/>
    <w:rsid w:val="00812666"/>
    <w:rsid w:val="0081517C"/>
    <w:rsid w:val="00820488"/>
    <w:rsid w:val="00833FE7"/>
    <w:rsid w:val="008402B6"/>
    <w:rsid w:val="00840BC2"/>
    <w:rsid w:val="00841926"/>
    <w:rsid w:val="00843741"/>
    <w:rsid w:val="008557CF"/>
    <w:rsid w:val="00857CC9"/>
    <w:rsid w:val="0087499E"/>
    <w:rsid w:val="008761D1"/>
    <w:rsid w:val="00876FC5"/>
    <w:rsid w:val="00887E42"/>
    <w:rsid w:val="00891566"/>
    <w:rsid w:val="00893B6D"/>
    <w:rsid w:val="0089571F"/>
    <w:rsid w:val="00897E6F"/>
    <w:rsid w:val="008A0D8C"/>
    <w:rsid w:val="008A2968"/>
    <w:rsid w:val="008A3305"/>
    <w:rsid w:val="008A57E4"/>
    <w:rsid w:val="008B1636"/>
    <w:rsid w:val="008B24BF"/>
    <w:rsid w:val="008B33BA"/>
    <w:rsid w:val="008B342B"/>
    <w:rsid w:val="008B5A08"/>
    <w:rsid w:val="008C2695"/>
    <w:rsid w:val="008C7D19"/>
    <w:rsid w:val="008C7F82"/>
    <w:rsid w:val="008D04FB"/>
    <w:rsid w:val="008D0C8A"/>
    <w:rsid w:val="008D195B"/>
    <w:rsid w:val="008D3167"/>
    <w:rsid w:val="008D49C4"/>
    <w:rsid w:val="008D5010"/>
    <w:rsid w:val="008D52E3"/>
    <w:rsid w:val="008D5E12"/>
    <w:rsid w:val="008D7038"/>
    <w:rsid w:val="008D756C"/>
    <w:rsid w:val="008E052E"/>
    <w:rsid w:val="008E2A1B"/>
    <w:rsid w:val="008F3351"/>
    <w:rsid w:val="008F378B"/>
    <w:rsid w:val="00905B35"/>
    <w:rsid w:val="00905B56"/>
    <w:rsid w:val="0091643A"/>
    <w:rsid w:val="0092047A"/>
    <w:rsid w:val="009247E7"/>
    <w:rsid w:val="00927648"/>
    <w:rsid w:val="00930BB6"/>
    <w:rsid w:val="00933F86"/>
    <w:rsid w:val="00936173"/>
    <w:rsid w:val="00936FAC"/>
    <w:rsid w:val="00942C04"/>
    <w:rsid w:val="009461F2"/>
    <w:rsid w:val="00946208"/>
    <w:rsid w:val="00946B0E"/>
    <w:rsid w:val="00952ABA"/>
    <w:rsid w:val="00953076"/>
    <w:rsid w:val="0095460A"/>
    <w:rsid w:val="0096009B"/>
    <w:rsid w:val="00960792"/>
    <w:rsid w:val="0096701F"/>
    <w:rsid w:val="00967CB5"/>
    <w:rsid w:val="009700C6"/>
    <w:rsid w:val="00971937"/>
    <w:rsid w:val="00975BEF"/>
    <w:rsid w:val="00982374"/>
    <w:rsid w:val="00983011"/>
    <w:rsid w:val="00983586"/>
    <w:rsid w:val="0099079A"/>
    <w:rsid w:val="009938C1"/>
    <w:rsid w:val="00997A43"/>
    <w:rsid w:val="009A3EF2"/>
    <w:rsid w:val="009A74B4"/>
    <w:rsid w:val="009B01DD"/>
    <w:rsid w:val="009B12B6"/>
    <w:rsid w:val="009B3CA0"/>
    <w:rsid w:val="009C1075"/>
    <w:rsid w:val="009C2A9D"/>
    <w:rsid w:val="009D1B71"/>
    <w:rsid w:val="009D26A9"/>
    <w:rsid w:val="009D37C7"/>
    <w:rsid w:val="009D3F9C"/>
    <w:rsid w:val="009D7D96"/>
    <w:rsid w:val="009E012D"/>
    <w:rsid w:val="009E1969"/>
    <w:rsid w:val="009E2DC7"/>
    <w:rsid w:val="009E7939"/>
    <w:rsid w:val="009F0F74"/>
    <w:rsid w:val="009F39AB"/>
    <w:rsid w:val="009F4FF6"/>
    <w:rsid w:val="009F56BF"/>
    <w:rsid w:val="009F7C79"/>
    <w:rsid w:val="00A00662"/>
    <w:rsid w:val="00A00FBB"/>
    <w:rsid w:val="00A06A4C"/>
    <w:rsid w:val="00A126D8"/>
    <w:rsid w:val="00A12C4A"/>
    <w:rsid w:val="00A2018D"/>
    <w:rsid w:val="00A20AD3"/>
    <w:rsid w:val="00A20AD4"/>
    <w:rsid w:val="00A25E0A"/>
    <w:rsid w:val="00A26F54"/>
    <w:rsid w:val="00A27385"/>
    <w:rsid w:val="00A337C0"/>
    <w:rsid w:val="00A40DB9"/>
    <w:rsid w:val="00A416A0"/>
    <w:rsid w:val="00A42539"/>
    <w:rsid w:val="00A4285F"/>
    <w:rsid w:val="00A4517A"/>
    <w:rsid w:val="00A47C62"/>
    <w:rsid w:val="00A515F9"/>
    <w:rsid w:val="00A51C4D"/>
    <w:rsid w:val="00A52CE1"/>
    <w:rsid w:val="00A534CA"/>
    <w:rsid w:val="00A55A02"/>
    <w:rsid w:val="00A62C2F"/>
    <w:rsid w:val="00A630DD"/>
    <w:rsid w:val="00A672F0"/>
    <w:rsid w:val="00A70703"/>
    <w:rsid w:val="00A7103A"/>
    <w:rsid w:val="00A752FA"/>
    <w:rsid w:val="00A83743"/>
    <w:rsid w:val="00A84169"/>
    <w:rsid w:val="00A850B0"/>
    <w:rsid w:val="00A85BCF"/>
    <w:rsid w:val="00A86512"/>
    <w:rsid w:val="00AA103E"/>
    <w:rsid w:val="00AA297F"/>
    <w:rsid w:val="00AA3E22"/>
    <w:rsid w:val="00AA4BE6"/>
    <w:rsid w:val="00AB0804"/>
    <w:rsid w:val="00AB19CB"/>
    <w:rsid w:val="00AB2CCB"/>
    <w:rsid w:val="00AB5274"/>
    <w:rsid w:val="00AB5A0A"/>
    <w:rsid w:val="00AC31DB"/>
    <w:rsid w:val="00AC4DC1"/>
    <w:rsid w:val="00AC67F6"/>
    <w:rsid w:val="00AD0281"/>
    <w:rsid w:val="00AD2594"/>
    <w:rsid w:val="00AD490E"/>
    <w:rsid w:val="00AD796E"/>
    <w:rsid w:val="00AE058F"/>
    <w:rsid w:val="00AE1038"/>
    <w:rsid w:val="00AE3D34"/>
    <w:rsid w:val="00AE546B"/>
    <w:rsid w:val="00AF0887"/>
    <w:rsid w:val="00AF4338"/>
    <w:rsid w:val="00AF4949"/>
    <w:rsid w:val="00AF5450"/>
    <w:rsid w:val="00B00010"/>
    <w:rsid w:val="00B00BD2"/>
    <w:rsid w:val="00B01CB8"/>
    <w:rsid w:val="00B1037C"/>
    <w:rsid w:val="00B1335A"/>
    <w:rsid w:val="00B16433"/>
    <w:rsid w:val="00B16734"/>
    <w:rsid w:val="00B215DD"/>
    <w:rsid w:val="00B23F4C"/>
    <w:rsid w:val="00B245B1"/>
    <w:rsid w:val="00B24F98"/>
    <w:rsid w:val="00B2515F"/>
    <w:rsid w:val="00B3084F"/>
    <w:rsid w:val="00B31765"/>
    <w:rsid w:val="00B321DF"/>
    <w:rsid w:val="00B33B49"/>
    <w:rsid w:val="00B34D7D"/>
    <w:rsid w:val="00B40A5E"/>
    <w:rsid w:val="00B41ADB"/>
    <w:rsid w:val="00B42F53"/>
    <w:rsid w:val="00B50805"/>
    <w:rsid w:val="00B50EB7"/>
    <w:rsid w:val="00B56F01"/>
    <w:rsid w:val="00B6008D"/>
    <w:rsid w:val="00B61F91"/>
    <w:rsid w:val="00B62B02"/>
    <w:rsid w:val="00B632BB"/>
    <w:rsid w:val="00B7093D"/>
    <w:rsid w:val="00B731DF"/>
    <w:rsid w:val="00B77818"/>
    <w:rsid w:val="00B81267"/>
    <w:rsid w:val="00B83056"/>
    <w:rsid w:val="00B843BB"/>
    <w:rsid w:val="00B91136"/>
    <w:rsid w:val="00B9298D"/>
    <w:rsid w:val="00B96086"/>
    <w:rsid w:val="00B9648E"/>
    <w:rsid w:val="00BA0668"/>
    <w:rsid w:val="00BA0A09"/>
    <w:rsid w:val="00BA290D"/>
    <w:rsid w:val="00BA31D2"/>
    <w:rsid w:val="00BA3D3D"/>
    <w:rsid w:val="00BA5A81"/>
    <w:rsid w:val="00BB175B"/>
    <w:rsid w:val="00BC1F97"/>
    <w:rsid w:val="00BC2D16"/>
    <w:rsid w:val="00BC54EF"/>
    <w:rsid w:val="00BC7083"/>
    <w:rsid w:val="00BC73A6"/>
    <w:rsid w:val="00BC7973"/>
    <w:rsid w:val="00BD37A5"/>
    <w:rsid w:val="00BD5BB5"/>
    <w:rsid w:val="00BD7825"/>
    <w:rsid w:val="00BE5E49"/>
    <w:rsid w:val="00BF0F03"/>
    <w:rsid w:val="00BF6D4F"/>
    <w:rsid w:val="00BF715F"/>
    <w:rsid w:val="00BF78EE"/>
    <w:rsid w:val="00C065AA"/>
    <w:rsid w:val="00C0798E"/>
    <w:rsid w:val="00C11002"/>
    <w:rsid w:val="00C122E8"/>
    <w:rsid w:val="00C1471A"/>
    <w:rsid w:val="00C15D76"/>
    <w:rsid w:val="00C16B94"/>
    <w:rsid w:val="00C2015C"/>
    <w:rsid w:val="00C21043"/>
    <w:rsid w:val="00C23361"/>
    <w:rsid w:val="00C272D1"/>
    <w:rsid w:val="00C31A0A"/>
    <w:rsid w:val="00C33B5C"/>
    <w:rsid w:val="00C33EB2"/>
    <w:rsid w:val="00C37A9E"/>
    <w:rsid w:val="00C40741"/>
    <w:rsid w:val="00C41150"/>
    <w:rsid w:val="00C42420"/>
    <w:rsid w:val="00C42A87"/>
    <w:rsid w:val="00C518BE"/>
    <w:rsid w:val="00C52B5A"/>
    <w:rsid w:val="00C5308F"/>
    <w:rsid w:val="00C56BDF"/>
    <w:rsid w:val="00C57398"/>
    <w:rsid w:val="00C6132A"/>
    <w:rsid w:val="00C63E23"/>
    <w:rsid w:val="00C64710"/>
    <w:rsid w:val="00C664B2"/>
    <w:rsid w:val="00C71C3C"/>
    <w:rsid w:val="00C7231D"/>
    <w:rsid w:val="00C808EB"/>
    <w:rsid w:val="00C80E7C"/>
    <w:rsid w:val="00C82114"/>
    <w:rsid w:val="00C824E2"/>
    <w:rsid w:val="00C86C00"/>
    <w:rsid w:val="00C90C90"/>
    <w:rsid w:val="00C93866"/>
    <w:rsid w:val="00C97070"/>
    <w:rsid w:val="00CA340E"/>
    <w:rsid w:val="00CA5272"/>
    <w:rsid w:val="00CA709B"/>
    <w:rsid w:val="00CA7309"/>
    <w:rsid w:val="00CB0279"/>
    <w:rsid w:val="00CB0601"/>
    <w:rsid w:val="00CB2D61"/>
    <w:rsid w:val="00CB305C"/>
    <w:rsid w:val="00CB41C0"/>
    <w:rsid w:val="00CB5DB6"/>
    <w:rsid w:val="00CB6E46"/>
    <w:rsid w:val="00CC4808"/>
    <w:rsid w:val="00CC6BF5"/>
    <w:rsid w:val="00CC6E07"/>
    <w:rsid w:val="00CD054E"/>
    <w:rsid w:val="00CD5223"/>
    <w:rsid w:val="00CE0999"/>
    <w:rsid w:val="00CE2C5D"/>
    <w:rsid w:val="00CE38C3"/>
    <w:rsid w:val="00CE6BB6"/>
    <w:rsid w:val="00CE7D5A"/>
    <w:rsid w:val="00CF23AE"/>
    <w:rsid w:val="00D030CE"/>
    <w:rsid w:val="00D10573"/>
    <w:rsid w:val="00D11A4D"/>
    <w:rsid w:val="00D13168"/>
    <w:rsid w:val="00D23648"/>
    <w:rsid w:val="00D23D5F"/>
    <w:rsid w:val="00D26A88"/>
    <w:rsid w:val="00D3011D"/>
    <w:rsid w:val="00D31057"/>
    <w:rsid w:val="00D31767"/>
    <w:rsid w:val="00D420DF"/>
    <w:rsid w:val="00D43AE4"/>
    <w:rsid w:val="00D51C4B"/>
    <w:rsid w:val="00D548D4"/>
    <w:rsid w:val="00D55796"/>
    <w:rsid w:val="00D609D6"/>
    <w:rsid w:val="00D60B71"/>
    <w:rsid w:val="00D6186F"/>
    <w:rsid w:val="00D643F5"/>
    <w:rsid w:val="00D662C9"/>
    <w:rsid w:val="00D66762"/>
    <w:rsid w:val="00D67EA4"/>
    <w:rsid w:val="00D702D5"/>
    <w:rsid w:val="00D73F3F"/>
    <w:rsid w:val="00D76F90"/>
    <w:rsid w:val="00D77962"/>
    <w:rsid w:val="00D919AC"/>
    <w:rsid w:val="00D93160"/>
    <w:rsid w:val="00D9398F"/>
    <w:rsid w:val="00D93A7B"/>
    <w:rsid w:val="00D93B02"/>
    <w:rsid w:val="00D94276"/>
    <w:rsid w:val="00D94B97"/>
    <w:rsid w:val="00D955AB"/>
    <w:rsid w:val="00D960FF"/>
    <w:rsid w:val="00DA102F"/>
    <w:rsid w:val="00DA23D0"/>
    <w:rsid w:val="00DA3C0C"/>
    <w:rsid w:val="00DA50E8"/>
    <w:rsid w:val="00DB045B"/>
    <w:rsid w:val="00DB1791"/>
    <w:rsid w:val="00DB43D8"/>
    <w:rsid w:val="00DB7931"/>
    <w:rsid w:val="00DC2B8C"/>
    <w:rsid w:val="00DC6506"/>
    <w:rsid w:val="00DC73DA"/>
    <w:rsid w:val="00DD2182"/>
    <w:rsid w:val="00DD314E"/>
    <w:rsid w:val="00DD4308"/>
    <w:rsid w:val="00DD6D63"/>
    <w:rsid w:val="00DE0C5A"/>
    <w:rsid w:val="00DE13E6"/>
    <w:rsid w:val="00DE3826"/>
    <w:rsid w:val="00DE39E0"/>
    <w:rsid w:val="00DE530F"/>
    <w:rsid w:val="00DE6236"/>
    <w:rsid w:val="00DF274F"/>
    <w:rsid w:val="00DF2D5F"/>
    <w:rsid w:val="00DF3163"/>
    <w:rsid w:val="00DF43FE"/>
    <w:rsid w:val="00DF5620"/>
    <w:rsid w:val="00DF77B7"/>
    <w:rsid w:val="00DF7ADF"/>
    <w:rsid w:val="00E021A8"/>
    <w:rsid w:val="00E02E70"/>
    <w:rsid w:val="00E03C65"/>
    <w:rsid w:val="00E03EE3"/>
    <w:rsid w:val="00E058BA"/>
    <w:rsid w:val="00E105C3"/>
    <w:rsid w:val="00E10874"/>
    <w:rsid w:val="00E12756"/>
    <w:rsid w:val="00E161BE"/>
    <w:rsid w:val="00E16E95"/>
    <w:rsid w:val="00E16F81"/>
    <w:rsid w:val="00E200A9"/>
    <w:rsid w:val="00E22BEA"/>
    <w:rsid w:val="00E230CD"/>
    <w:rsid w:val="00E23798"/>
    <w:rsid w:val="00E24780"/>
    <w:rsid w:val="00E256EE"/>
    <w:rsid w:val="00E30D13"/>
    <w:rsid w:val="00E314D6"/>
    <w:rsid w:val="00E3218A"/>
    <w:rsid w:val="00E34093"/>
    <w:rsid w:val="00E3727F"/>
    <w:rsid w:val="00E458F9"/>
    <w:rsid w:val="00E54090"/>
    <w:rsid w:val="00E54644"/>
    <w:rsid w:val="00E5516E"/>
    <w:rsid w:val="00E5537F"/>
    <w:rsid w:val="00E60091"/>
    <w:rsid w:val="00E610BE"/>
    <w:rsid w:val="00E637A7"/>
    <w:rsid w:val="00E71618"/>
    <w:rsid w:val="00E71BB8"/>
    <w:rsid w:val="00E732F8"/>
    <w:rsid w:val="00E7474C"/>
    <w:rsid w:val="00E76BAB"/>
    <w:rsid w:val="00E82F7F"/>
    <w:rsid w:val="00E83F13"/>
    <w:rsid w:val="00E86A3C"/>
    <w:rsid w:val="00E956D5"/>
    <w:rsid w:val="00E963BD"/>
    <w:rsid w:val="00E97AB2"/>
    <w:rsid w:val="00EA6F4E"/>
    <w:rsid w:val="00EB03F6"/>
    <w:rsid w:val="00EB08E6"/>
    <w:rsid w:val="00EB13C9"/>
    <w:rsid w:val="00EB4459"/>
    <w:rsid w:val="00EB4E7E"/>
    <w:rsid w:val="00EB747E"/>
    <w:rsid w:val="00EC0610"/>
    <w:rsid w:val="00EC6F1A"/>
    <w:rsid w:val="00ED2801"/>
    <w:rsid w:val="00ED2816"/>
    <w:rsid w:val="00ED73BA"/>
    <w:rsid w:val="00EE2ECD"/>
    <w:rsid w:val="00EE5196"/>
    <w:rsid w:val="00EE5857"/>
    <w:rsid w:val="00EF126E"/>
    <w:rsid w:val="00EF202F"/>
    <w:rsid w:val="00F01F30"/>
    <w:rsid w:val="00F02A8C"/>
    <w:rsid w:val="00F05B83"/>
    <w:rsid w:val="00F05CAA"/>
    <w:rsid w:val="00F06761"/>
    <w:rsid w:val="00F10B31"/>
    <w:rsid w:val="00F115D3"/>
    <w:rsid w:val="00F12DCA"/>
    <w:rsid w:val="00F214C0"/>
    <w:rsid w:val="00F25669"/>
    <w:rsid w:val="00F27636"/>
    <w:rsid w:val="00F310C2"/>
    <w:rsid w:val="00F36041"/>
    <w:rsid w:val="00F37BE5"/>
    <w:rsid w:val="00F416F1"/>
    <w:rsid w:val="00F42649"/>
    <w:rsid w:val="00F432C0"/>
    <w:rsid w:val="00F47489"/>
    <w:rsid w:val="00F50880"/>
    <w:rsid w:val="00F52C3A"/>
    <w:rsid w:val="00F54263"/>
    <w:rsid w:val="00F55CCE"/>
    <w:rsid w:val="00F571AD"/>
    <w:rsid w:val="00F60E96"/>
    <w:rsid w:val="00F67FA1"/>
    <w:rsid w:val="00F76B33"/>
    <w:rsid w:val="00F779DF"/>
    <w:rsid w:val="00F809FB"/>
    <w:rsid w:val="00F8269B"/>
    <w:rsid w:val="00F8520F"/>
    <w:rsid w:val="00F85A42"/>
    <w:rsid w:val="00F90049"/>
    <w:rsid w:val="00F97C13"/>
    <w:rsid w:val="00FA28CF"/>
    <w:rsid w:val="00FA443C"/>
    <w:rsid w:val="00FA4E74"/>
    <w:rsid w:val="00FA7EF0"/>
    <w:rsid w:val="00FB537A"/>
    <w:rsid w:val="00FB75B8"/>
    <w:rsid w:val="00FC169D"/>
    <w:rsid w:val="00FC3E30"/>
    <w:rsid w:val="00FC5FE0"/>
    <w:rsid w:val="00FC68F6"/>
    <w:rsid w:val="00FD2B1A"/>
    <w:rsid w:val="00FD2FE4"/>
    <w:rsid w:val="00FD6749"/>
    <w:rsid w:val="00FE36AE"/>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B5A"/>
  </w:style>
  <w:style w:type="paragraph" w:styleId="Heading1">
    <w:name w:val="heading 1"/>
    <w:basedOn w:val="Normal"/>
    <w:next w:val="Normal"/>
    <w:qFormat/>
    <w:rsid w:val="00C52B5A"/>
    <w:pPr>
      <w:keepNext/>
      <w:outlineLvl w:val="0"/>
    </w:pPr>
    <w:rPr>
      <w:rFonts w:ascii="Signature" w:hAnsi="Signature"/>
      <w:sz w:val="36"/>
    </w:rPr>
  </w:style>
  <w:style w:type="paragraph" w:styleId="Heading2">
    <w:name w:val="heading 2"/>
    <w:basedOn w:val="Normal"/>
    <w:next w:val="Normal"/>
    <w:qFormat/>
    <w:rsid w:val="00C52B5A"/>
    <w:pPr>
      <w:keepNext/>
      <w:outlineLvl w:val="1"/>
    </w:pPr>
    <w:rPr>
      <w:sz w:val="24"/>
    </w:rPr>
  </w:style>
  <w:style w:type="paragraph" w:styleId="Heading3">
    <w:name w:val="heading 3"/>
    <w:basedOn w:val="Normal"/>
    <w:next w:val="Normal"/>
    <w:qFormat/>
    <w:rsid w:val="00C52B5A"/>
    <w:pPr>
      <w:keepNext/>
      <w:jc w:val="center"/>
      <w:outlineLvl w:val="2"/>
    </w:pPr>
    <w:rPr>
      <w:rFonts w:ascii="Bookman Old Style" w:hAnsi="Bookman Old Style"/>
      <w:b/>
      <w:bCs/>
      <w:sz w:val="28"/>
    </w:rPr>
  </w:style>
  <w:style w:type="paragraph" w:styleId="Heading4">
    <w:name w:val="heading 4"/>
    <w:basedOn w:val="Normal"/>
    <w:next w:val="Normal"/>
    <w:qFormat/>
    <w:rsid w:val="00C52B5A"/>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B5A"/>
    <w:pPr>
      <w:tabs>
        <w:tab w:val="center" w:pos="4320"/>
        <w:tab w:val="right" w:pos="8640"/>
      </w:tabs>
    </w:pPr>
  </w:style>
  <w:style w:type="paragraph" w:styleId="Footer">
    <w:name w:val="footer"/>
    <w:basedOn w:val="Normal"/>
    <w:rsid w:val="00C52B5A"/>
    <w:pPr>
      <w:tabs>
        <w:tab w:val="center" w:pos="4320"/>
        <w:tab w:val="right" w:pos="8640"/>
      </w:tabs>
    </w:pPr>
  </w:style>
  <w:style w:type="paragraph" w:customStyle="1" w:styleId="Print-FromToSubjectDate">
    <w:name w:val="Print- From: To: Subject: Date:"/>
    <w:basedOn w:val="Normal"/>
    <w:rsid w:val="00C52B5A"/>
    <w:pPr>
      <w:pBdr>
        <w:left w:val="single" w:sz="18" w:space="1" w:color="auto"/>
      </w:pBdr>
    </w:pPr>
    <w:rPr>
      <w:rFonts w:ascii="Arial" w:hAnsi="Arial"/>
    </w:rPr>
  </w:style>
  <w:style w:type="paragraph" w:customStyle="1" w:styleId="DefaultText">
    <w:name w:val="Default Text"/>
    <w:rsid w:val="00C52B5A"/>
    <w:rPr>
      <w:snapToGrid w:val="0"/>
      <w:color w:val="000000"/>
      <w:sz w:val="24"/>
    </w:rPr>
  </w:style>
  <w:style w:type="paragraph" w:styleId="BodyText">
    <w:name w:val="Body Text"/>
    <w:basedOn w:val="Normal"/>
    <w:rsid w:val="00C52B5A"/>
    <w:rPr>
      <w:sz w:val="24"/>
    </w:rPr>
  </w:style>
  <w:style w:type="paragraph" w:styleId="Date">
    <w:name w:val="Date"/>
    <w:basedOn w:val="Normal"/>
    <w:next w:val="Normal"/>
    <w:rsid w:val="00C52B5A"/>
  </w:style>
  <w:style w:type="paragraph" w:customStyle="1" w:styleId="InsideAddressName">
    <w:name w:val="Inside Address Name"/>
    <w:basedOn w:val="Normal"/>
    <w:rsid w:val="00C52B5A"/>
  </w:style>
  <w:style w:type="paragraph" w:customStyle="1" w:styleId="InsideAddress">
    <w:name w:val="Inside Address"/>
    <w:basedOn w:val="Normal"/>
    <w:rsid w:val="00C52B5A"/>
  </w:style>
  <w:style w:type="paragraph" w:styleId="Salutation">
    <w:name w:val="Salutation"/>
    <w:basedOn w:val="Normal"/>
    <w:next w:val="Normal"/>
    <w:rsid w:val="00C52B5A"/>
  </w:style>
  <w:style w:type="paragraph" w:styleId="Closing">
    <w:name w:val="Closing"/>
    <w:basedOn w:val="Normal"/>
    <w:rsid w:val="00C52B5A"/>
  </w:style>
  <w:style w:type="paragraph" w:styleId="Signature">
    <w:name w:val="Signature"/>
    <w:basedOn w:val="Normal"/>
    <w:rsid w:val="00C52B5A"/>
  </w:style>
  <w:style w:type="character" w:styleId="Hyperlink">
    <w:name w:val="Hyperlink"/>
    <w:rsid w:val="00C52B5A"/>
    <w:rPr>
      <w:color w:val="0000FF"/>
      <w:u w:val="single"/>
    </w:rPr>
  </w:style>
  <w:style w:type="character" w:styleId="PageNumber">
    <w:name w:val="page number"/>
    <w:basedOn w:val="DefaultParagraphFont"/>
    <w:rsid w:val="00C52B5A"/>
  </w:style>
  <w:style w:type="table" w:styleId="TableGrid">
    <w:name w:val="Table Grid"/>
    <w:basedOn w:val="TableNormal"/>
    <w:uiPriority w:val="59"/>
    <w:rsid w:val="00E0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9"/>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9"/>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11"/>
      </w:numPr>
      <w:tabs>
        <w:tab w:val="left" w:pos="3600"/>
      </w:tabs>
    </w:pPr>
  </w:style>
  <w:style w:type="paragraph" w:customStyle="1" w:styleId="TableText">
    <w:name w:val="Table Text"/>
    <w:uiPriority w:val="99"/>
    <w:rsid w:val="00F432C0"/>
    <w:rPr>
      <w:rFonts w:ascii="Arial Narrow" w:hAnsi="Arial Narrow"/>
      <w:snapToGrid w:val="0"/>
      <w:color w:val="000000"/>
      <w:sz w:val="24"/>
    </w:rPr>
  </w:style>
  <w:style w:type="paragraph" w:styleId="BalloonText">
    <w:name w:val="Balloon Text"/>
    <w:basedOn w:val="Normal"/>
    <w:semiHidden/>
    <w:rsid w:val="00BC73A6"/>
    <w:rPr>
      <w:rFonts w:ascii="Tahoma" w:hAnsi="Tahoma" w:cs="Tahoma"/>
      <w:sz w:val="16"/>
      <w:szCs w:val="16"/>
    </w:rPr>
  </w:style>
  <w:style w:type="paragraph" w:styleId="EndnoteText">
    <w:name w:val="endnote text"/>
    <w:basedOn w:val="Normal"/>
    <w:semiHidden/>
    <w:rsid w:val="00F8269B"/>
  </w:style>
  <w:style w:type="character" w:styleId="EndnoteReference">
    <w:name w:val="endnote reference"/>
    <w:semiHidden/>
    <w:rsid w:val="00F8269B"/>
    <w:rPr>
      <w:vertAlign w:val="superscript"/>
    </w:rPr>
  </w:style>
  <w:style w:type="paragraph" w:customStyle="1" w:styleId="Style0">
    <w:name w:val="Style #0"/>
    <w:rsid w:val="007A4AAF"/>
    <w:pPr>
      <w:widowControl w:val="0"/>
    </w:pPr>
    <w:rPr>
      <w:rFonts w:ascii="Times New" w:hAnsi="Times New"/>
      <w:snapToGrid w:val="0"/>
      <w:color w:val="000000"/>
    </w:rPr>
  </w:style>
  <w:style w:type="paragraph" w:styleId="Title">
    <w:name w:val="Title"/>
    <w:basedOn w:val="Normal"/>
    <w:qFormat/>
    <w:rsid w:val="007A4AAF"/>
    <w:pPr>
      <w:widowControl w:val="0"/>
      <w:spacing w:before="100"/>
      <w:jc w:val="center"/>
    </w:pPr>
    <w:rPr>
      <w:rFonts w:ascii="Bookman Old Style" w:hAnsi="Bookman Old Style"/>
      <w:b/>
      <w:snapToGrid w:val="0"/>
      <w:sz w:val="18"/>
    </w:rPr>
  </w:style>
  <w:style w:type="character" w:styleId="CommentReference">
    <w:name w:val="annotation reference"/>
    <w:semiHidden/>
    <w:rsid w:val="00DF7ADF"/>
    <w:rPr>
      <w:sz w:val="16"/>
      <w:szCs w:val="16"/>
    </w:rPr>
  </w:style>
  <w:style w:type="paragraph" w:styleId="CommentText">
    <w:name w:val="annotation text"/>
    <w:basedOn w:val="Normal"/>
    <w:semiHidden/>
    <w:rsid w:val="00DF7ADF"/>
  </w:style>
  <w:style w:type="paragraph" w:styleId="CommentSubject">
    <w:name w:val="annotation subject"/>
    <w:basedOn w:val="CommentText"/>
    <w:next w:val="CommentText"/>
    <w:semiHidden/>
    <w:rsid w:val="00DF7ADF"/>
    <w:rPr>
      <w:b/>
      <w:bCs/>
    </w:rPr>
  </w:style>
  <w:style w:type="paragraph" w:styleId="DocumentMap">
    <w:name w:val="Document Map"/>
    <w:basedOn w:val="Normal"/>
    <w:semiHidden/>
    <w:rsid w:val="0004200E"/>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uiPriority w:val="59"/>
    <w:rsid w:val="00E0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9"/>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9"/>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11"/>
      </w:numPr>
      <w:tabs>
        <w:tab w:val="left" w:pos="3600"/>
      </w:tabs>
    </w:pPr>
  </w:style>
  <w:style w:type="paragraph" w:customStyle="1" w:styleId="TableText">
    <w:name w:val="Table Text"/>
    <w:uiPriority w:val="99"/>
    <w:rsid w:val="00F432C0"/>
    <w:rPr>
      <w:rFonts w:ascii="Arial Narrow" w:hAnsi="Arial Narrow"/>
      <w:snapToGrid w:val="0"/>
      <w:color w:val="000000"/>
      <w:sz w:val="24"/>
    </w:rPr>
  </w:style>
  <w:style w:type="paragraph" w:styleId="BalloonText">
    <w:name w:val="Balloon Text"/>
    <w:basedOn w:val="Normal"/>
    <w:semiHidden/>
    <w:rsid w:val="00BC73A6"/>
    <w:rPr>
      <w:rFonts w:ascii="Tahoma" w:hAnsi="Tahoma" w:cs="Tahoma"/>
      <w:sz w:val="16"/>
      <w:szCs w:val="16"/>
    </w:rPr>
  </w:style>
  <w:style w:type="paragraph" w:styleId="EndnoteText">
    <w:name w:val="endnote text"/>
    <w:basedOn w:val="Normal"/>
    <w:semiHidden/>
    <w:rsid w:val="00F8269B"/>
  </w:style>
  <w:style w:type="character" w:styleId="EndnoteReference">
    <w:name w:val="endnote reference"/>
    <w:semiHidden/>
    <w:rsid w:val="00F8269B"/>
    <w:rPr>
      <w:vertAlign w:val="superscript"/>
    </w:rPr>
  </w:style>
  <w:style w:type="paragraph" w:customStyle="1" w:styleId="Style0">
    <w:name w:val="Style #0"/>
    <w:rsid w:val="007A4AAF"/>
    <w:pPr>
      <w:widowControl w:val="0"/>
    </w:pPr>
    <w:rPr>
      <w:rFonts w:ascii="Times New" w:hAnsi="Times New"/>
      <w:snapToGrid w:val="0"/>
      <w:color w:val="000000"/>
    </w:rPr>
  </w:style>
  <w:style w:type="paragraph" w:styleId="Title">
    <w:name w:val="Title"/>
    <w:basedOn w:val="Normal"/>
    <w:qFormat/>
    <w:rsid w:val="007A4AAF"/>
    <w:pPr>
      <w:widowControl w:val="0"/>
      <w:spacing w:before="100"/>
      <w:jc w:val="center"/>
    </w:pPr>
    <w:rPr>
      <w:rFonts w:ascii="Bookman Old Style" w:hAnsi="Bookman Old Style"/>
      <w:b/>
      <w:snapToGrid w:val="0"/>
      <w:sz w:val="18"/>
    </w:rPr>
  </w:style>
  <w:style w:type="character" w:styleId="CommentReference">
    <w:name w:val="annotation reference"/>
    <w:semiHidden/>
    <w:rsid w:val="00DF7ADF"/>
    <w:rPr>
      <w:sz w:val="16"/>
      <w:szCs w:val="16"/>
    </w:rPr>
  </w:style>
  <w:style w:type="paragraph" w:styleId="CommentText">
    <w:name w:val="annotation text"/>
    <w:basedOn w:val="Normal"/>
    <w:semiHidden/>
    <w:rsid w:val="00DF7ADF"/>
  </w:style>
  <w:style w:type="paragraph" w:styleId="CommentSubject">
    <w:name w:val="annotation subject"/>
    <w:basedOn w:val="CommentText"/>
    <w:next w:val="CommentText"/>
    <w:semiHidden/>
    <w:rsid w:val="00DF7ADF"/>
    <w:rPr>
      <w:b/>
      <w:bCs/>
    </w:rPr>
  </w:style>
  <w:style w:type="paragraph" w:styleId="DocumentMap">
    <w:name w:val="Document Map"/>
    <w:basedOn w:val="Normal"/>
    <w:semiHidden/>
    <w:rsid w:val="0004200E"/>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838422050">
      <w:bodyDiv w:val="1"/>
      <w:marLeft w:val="0"/>
      <w:marRight w:val="0"/>
      <w:marTop w:val="0"/>
      <w:marBottom w:val="0"/>
      <w:divBdr>
        <w:top w:val="none" w:sz="0" w:space="0" w:color="auto"/>
        <w:left w:val="none" w:sz="0" w:space="0" w:color="auto"/>
        <w:bottom w:val="none" w:sz="0" w:space="0" w:color="auto"/>
        <w:right w:val="none" w:sz="0" w:space="0" w:color="auto"/>
      </w:divBdr>
    </w:div>
    <w:div w:id="872690037">
      <w:bodyDiv w:val="1"/>
      <w:marLeft w:val="0"/>
      <w:marRight w:val="0"/>
      <w:marTop w:val="0"/>
      <w:marBottom w:val="0"/>
      <w:divBdr>
        <w:top w:val="none" w:sz="0" w:space="0" w:color="auto"/>
        <w:left w:val="none" w:sz="0" w:space="0" w:color="auto"/>
        <w:bottom w:val="none" w:sz="0" w:space="0" w:color="auto"/>
        <w:right w:val="none" w:sz="0" w:space="0" w:color="auto"/>
      </w:divBdr>
    </w:div>
    <w:div w:id="984317638">
      <w:bodyDiv w:val="1"/>
      <w:marLeft w:val="0"/>
      <w:marRight w:val="0"/>
      <w:marTop w:val="0"/>
      <w:marBottom w:val="0"/>
      <w:divBdr>
        <w:top w:val="none" w:sz="0" w:space="0" w:color="auto"/>
        <w:left w:val="none" w:sz="0" w:space="0" w:color="auto"/>
        <w:bottom w:val="none" w:sz="0" w:space="0" w:color="auto"/>
        <w:right w:val="none" w:sz="0" w:space="0" w:color="auto"/>
      </w:divBdr>
    </w:div>
    <w:div w:id="1037589332">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804886719">
      <w:bodyDiv w:val="1"/>
      <w:marLeft w:val="0"/>
      <w:marRight w:val="0"/>
      <w:marTop w:val="0"/>
      <w:marBottom w:val="0"/>
      <w:divBdr>
        <w:top w:val="none" w:sz="0" w:space="0" w:color="auto"/>
        <w:left w:val="none" w:sz="0" w:space="0" w:color="auto"/>
        <w:bottom w:val="none" w:sz="0" w:space="0" w:color="auto"/>
        <w:right w:val="none" w:sz="0" w:space="0" w:color="auto"/>
      </w:divBdr>
      <w:divsChild>
        <w:div w:id="234585444">
          <w:marLeft w:val="0"/>
          <w:marRight w:val="0"/>
          <w:marTop w:val="0"/>
          <w:marBottom w:val="0"/>
          <w:divBdr>
            <w:top w:val="none" w:sz="0" w:space="0" w:color="auto"/>
            <w:left w:val="none" w:sz="0" w:space="0" w:color="auto"/>
            <w:bottom w:val="none" w:sz="0" w:space="0" w:color="auto"/>
            <w:right w:val="none" w:sz="0" w:space="0" w:color="auto"/>
          </w:divBdr>
        </w:div>
        <w:div w:id="526140935">
          <w:marLeft w:val="0"/>
          <w:marRight w:val="0"/>
          <w:marTop w:val="0"/>
          <w:marBottom w:val="0"/>
          <w:divBdr>
            <w:top w:val="none" w:sz="0" w:space="0" w:color="auto"/>
            <w:left w:val="none" w:sz="0" w:space="0" w:color="auto"/>
            <w:bottom w:val="none" w:sz="0" w:space="0" w:color="auto"/>
            <w:right w:val="none" w:sz="0" w:space="0" w:color="auto"/>
          </w:divBdr>
        </w:div>
        <w:div w:id="600142845">
          <w:marLeft w:val="0"/>
          <w:marRight w:val="0"/>
          <w:marTop w:val="0"/>
          <w:marBottom w:val="0"/>
          <w:divBdr>
            <w:top w:val="none" w:sz="0" w:space="0" w:color="auto"/>
            <w:left w:val="none" w:sz="0" w:space="0" w:color="auto"/>
            <w:bottom w:val="none" w:sz="0" w:space="0" w:color="auto"/>
            <w:right w:val="none" w:sz="0" w:space="0" w:color="auto"/>
          </w:divBdr>
        </w:div>
      </w:divsChild>
    </w:div>
    <w:div w:id="21352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rc.com/filez/standards/Project2010-08_FM_Glossary_Revisions.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nerc.com/filez/standards/Project2008-01_Voltage_and_Reactive_Planning_and_Contro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agnewv</cp:lastModifiedBy>
  <cp:revision>2</cp:revision>
  <cp:lastPrinted>2009-01-28T22:26:00Z</cp:lastPrinted>
  <dcterms:created xsi:type="dcterms:W3CDTF">2013-03-11T22:19:00Z</dcterms:created>
  <dcterms:modified xsi:type="dcterms:W3CDTF">2013-03-11T22:19:00Z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