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756C" w14:textId="68E9A25E" w:rsidR="0048764D" w:rsidRPr="004A30D2" w:rsidRDefault="009B539F" w:rsidP="00716AF5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</w:t>
      </w:r>
      <w:r w:rsidR="007D668E">
        <w:rPr>
          <w:rFonts w:ascii="Times New Roman" w:hAnsi="Times New Roman"/>
        </w:rPr>
        <w:t>21</w:t>
      </w:r>
      <w:r>
        <w:rPr>
          <w:rFonts w:ascii="Times New Roman" w:hAnsi="Times New Roman"/>
        </w:rPr>
        <w:t>, 2021</w:t>
      </w:r>
    </w:p>
    <w:p w14:paraId="68C3AD23" w14:textId="089314FC" w:rsidR="00716AF5" w:rsidRPr="00716AF5" w:rsidRDefault="005A029C" w:rsidP="000D5ADC">
      <w:pPr>
        <w:spacing w:before="240" w:after="24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Federal Energy Regulatory Commission Action on WEQ Version 003</w:t>
      </w:r>
      <w:r w:rsidR="00187D33">
        <w:rPr>
          <w:rFonts w:ascii="Times New Roman" w:hAnsi="Times New Roman"/>
          <w:smallCaps/>
        </w:rPr>
        <w:t>.</w:t>
      </w:r>
      <w:r w:rsidR="009B539F">
        <w:rPr>
          <w:rFonts w:ascii="Times New Roman" w:hAnsi="Times New Roman"/>
          <w:smallCaps/>
        </w:rPr>
        <w:t>3</w:t>
      </w:r>
      <w:r>
        <w:rPr>
          <w:rFonts w:ascii="Times New Roman" w:hAnsi="Times New Roman"/>
          <w:smallCaps/>
        </w:rPr>
        <w:t xml:space="preserve"> Standards</w:t>
      </w:r>
    </w:p>
    <w:p w14:paraId="35D61020" w14:textId="77777777" w:rsidR="00716AF5" w:rsidRPr="00716AF5" w:rsidRDefault="00716AF5" w:rsidP="00486216">
      <w:pPr>
        <w:spacing w:before="360" w:after="120"/>
        <w:jc w:val="both"/>
        <w:rPr>
          <w:rFonts w:ascii="Times New Roman" w:hAnsi="Times New Roman"/>
        </w:rPr>
      </w:pPr>
      <w:r w:rsidRPr="00716AF5">
        <w:rPr>
          <w:rFonts w:ascii="Times New Roman" w:hAnsi="Times New Roman"/>
        </w:rPr>
        <w:t xml:space="preserve">Dear </w:t>
      </w:r>
      <w:r w:rsidR="00405AA6">
        <w:rPr>
          <w:rFonts w:ascii="Times New Roman" w:hAnsi="Times New Roman"/>
        </w:rPr>
        <w:t xml:space="preserve">Members of the </w:t>
      </w:r>
      <w:r w:rsidR="005A029C">
        <w:rPr>
          <w:rFonts w:ascii="Times New Roman" w:hAnsi="Times New Roman"/>
        </w:rPr>
        <w:t>Wholesale Electric Quadrant</w:t>
      </w:r>
      <w:r w:rsidR="00F00A3F">
        <w:rPr>
          <w:rFonts w:ascii="Times New Roman" w:hAnsi="Times New Roman"/>
        </w:rPr>
        <w:t>,</w:t>
      </w:r>
    </w:p>
    <w:p w14:paraId="380E45FD" w14:textId="575B6F24" w:rsidR="00BB2147" w:rsidRPr="00FB43F3" w:rsidRDefault="005A029C" w:rsidP="005A029C">
      <w:pPr>
        <w:pStyle w:val="PlainText"/>
        <w:spacing w:before="120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you may know, on </w:t>
      </w:r>
      <w:r w:rsidR="009B539F">
        <w:rPr>
          <w:rFonts w:eastAsia="Times New Roman" w:cs="Times New Roman"/>
          <w:sz w:val="20"/>
          <w:szCs w:val="20"/>
        </w:rPr>
        <w:t>May 20, 2021</w:t>
      </w:r>
      <w:r>
        <w:rPr>
          <w:rFonts w:eastAsia="Times New Roman" w:cs="Times New Roman"/>
          <w:sz w:val="20"/>
          <w:szCs w:val="20"/>
        </w:rPr>
        <w:t>,</w:t>
      </w:r>
      <w:r w:rsidRPr="00E416C0">
        <w:rPr>
          <w:rFonts w:eastAsia="Times New Roman" w:cs="Times New Roman"/>
          <w:sz w:val="20"/>
          <w:szCs w:val="20"/>
        </w:rPr>
        <w:t xml:space="preserve"> the Federal Energy Regulatory</w:t>
      </w:r>
      <w:r>
        <w:rPr>
          <w:rFonts w:eastAsia="Times New Roman" w:cs="Times New Roman"/>
          <w:sz w:val="20"/>
          <w:szCs w:val="20"/>
        </w:rPr>
        <w:t xml:space="preserve"> Commission (</w:t>
      </w:r>
      <w:r w:rsidRPr="00E416C0">
        <w:rPr>
          <w:rFonts w:eastAsia="Times New Roman" w:cs="Times New Roman"/>
          <w:sz w:val="20"/>
          <w:szCs w:val="20"/>
        </w:rPr>
        <w:t xml:space="preserve">Commission) issued FERC Order </w:t>
      </w:r>
      <w:r w:rsidRPr="000C2E5C">
        <w:rPr>
          <w:rFonts w:eastAsia="Times New Roman" w:cs="Times New Roman"/>
          <w:sz w:val="20"/>
          <w:szCs w:val="20"/>
        </w:rPr>
        <w:t>No. 676-</w:t>
      </w:r>
      <w:r w:rsidR="009B539F" w:rsidRPr="000C2E5C">
        <w:rPr>
          <w:rFonts w:eastAsia="Times New Roman" w:cs="Times New Roman"/>
          <w:sz w:val="20"/>
          <w:szCs w:val="20"/>
        </w:rPr>
        <w:t>J</w:t>
      </w:r>
      <w:r>
        <w:rPr>
          <w:rFonts w:eastAsia="Times New Roman" w:cs="Times New Roman"/>
          <w:sz w:val="20"/>
          <w:szCs w:val="20"/>
        </w:rPr>
        <w:t xml:space="preserve">, </w:t>
      </w:r>
      <w:r w:rsidRPr="00E416C0">
        <w:rPr>
          <w:rFonts w:eastAsia="Times New Roman" w:cs="Times New Roman"/>
          <w:i/>
          <w:sz w:val="20"/>
          <w:szCs w:val="20"/>
        </w:rPr>
        <w:t>Standards for Busin</w:t>
      </w:r>
      <w:r w:rsidRPr="00FB43F3">
        <w:rPr>
          <w:rFonts w:eastAsia="Times New Roman" w:cs="Times New Roman"/>
          <w:i/>
          <w:sz w:val="20"/>
          <w:szCs w:val="20"/>
        </w:rPr>
        <w:t>ess Practices and Communication Protocols for Public Utilities</w:t>
      </w:r>
      <w:r w:rsidRPr="00FB43F3">
        <w:rPr>
          <w:rFonts w:eastAsia="Times New Roman" w:cs="Times New Roman"/>
          <w:sz w:val="20"/>
          <w:szCs w:val="20"/>
        </w:rPr>
        <w:t>, in Docket No</w:t>
      </w:r>
      <w:r w:rsidR="00187D33" w:rsidRPr="00FB43F3">
        <w:rPr>
          <w:rFonts w:eastAsia="Times New Roman" w:cs="Times New Roman"/>
          <w:sz w:val="20"/>
          <w:szCs w:val="20"/>
        </w:rPr>
        <w:t>s</w:t>
      </w:r>
      <w:r w:rsidRPr="00FB43F3">
        <w:rPr>
          <w:rFonts w:eastAsia="Times New Roman" w:cs="Times New Roman"/>
          <w:sz w:val="20"/>
          <w:szCs w:val="20"/>
        </w:rPr>
        <w:t>. RM05-5-02</w:t>
      </w:r>
      <w:r w:rsidR="009B539F" w:rsidRPr="00FB43F3">
        <w:rPr>
          <w:rFonts w:eastAsia="Times New Roman" w:cs="Times New Roman"/>
          <w:sz w:val="20"/>
          <w:szCs w:val="20"/>
        </w:rPr>
        <w:t xml:space="preserve">9 and </w:t>
      </w:r>
      <w:r w:rsidR="00187D33" w:rsidRPr="00FB43F3">
        <w:rPr>
          <w:rFonts w:eastAsia="Times New Roman" w:cs="Times New Roman"/>
          <w:sz w:val="20"/>
          <w:szCs w:val="20"/>
        </w:rPr>
        <w:t>RM05-5-0</w:t>
      </w:r>
      <w:r w:rsidR="009B539F" w:rsidRPr="00FB43F3">
        <w:rPr>
          <w:rFonts w:eastAsia="Times New Roman" w:cs="Times New Roman"/>
          <w:sz w:val="20"/>
          <w:szCs w:val="20"/>
        </w:rPr>
        <w:t>30 (Order)</w:t>
      </w:r>
      <w:r w:rsidRPr="00FB43F3">
        <w:rPr>
          <w:rFonts w:eastAsia="Times New Roman" w:cs="Times New Roman"/>
          <w:sz w:val="20"/>
          <w:szCs w:val="20"/>
        </w:rPr>
        <w:t>.</w:t>
      </w:r>
      <w:r w:rsidRPr="00FB43F3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 w:rsidRPr="00FB43F3">
        <w:rPr>
          <w:rFonts w:eastAsia="Times New Roman" w:cs="Times New Roman"/>
          <w:sz w:val="20"/>
          <w:szCs w:val="20"/>
        </w:rPr>
        <w:t xml:space="preserve">  </w:t>
      </w:r>
      <w:r w:rsidR="00696360" w:rsidRPr="00FB43F3">
        <w:rPr>
          <w:rFonts w:eastAsia="Times New Roman" w:cs="Times New Roman"/>
          <w:sz w:val="20"/>
          <w:szCs w:val="20"/>
        </w:rPr>
        <w:t xml:space="preserve">The Order </w:t>
      </w:r>
      <w:r w:rsidR="000C2E5C" w:rsidRPr="00FB43F3">
        <w:rPr>
          <w:rFonts w:eastAsia="Times New Roman" w:cs="Times New Roman"/>
          <w:sz w:val="20"/>
          <w:szCs w:val="20"/>
        </w:rPr>
        <w:t>will become effective sixty days after publication in the Federal Register.</w:t>
      </w:r>
      <w:r w:rsidR="007D668E" w:rsidRPr="00FB43F3">
        <w:rPr>
          <w:rFonts w:eastAsia="Times New Roman" w:cs="Times New Roman"/>
          <w:sz w:val="20"/>
          <w:szCs w:val="20"/>
        </w:rPr>
        <w:t xml:space="preserve">  In the Order, the Commission took action to </w:t>
      </w:r>
      <w:r w:rsidR="00D51C48" w:rsidRPr="00FB43F3">
        <w:rPr>
          <w:rFonts w:eastAsia="Times New Roman" w:cs="Times New Roman"/>
          <w:sz w:val="20"/>
          <w:szCs w:val="20"/>
        </w:rPr>
        <w:t>adopt as part of its</w:t>
      </w:r>
      <w:r w:rsidR="007D668E" w:rsidRPr="00FB43F3">
        <w:rPr>
          <w:rFonts w:eastAsia="Times New Roman" w:cs="Times New Roman"/>
          <w:sz w:val="20"/>
          <w:szCs w:val="20"/>
        </w:rPr>
        <w:t xml:space="preserve"> regulations, through the incorporation by reference process, the NAESB WEQ Version 003.3 Business Practice Standards</w:t>
      </w:r>
      <w:r w:rsidR="00D51C48" w:rsidRPr="00FB43F3">
        <w:rPr>
          <w:rFonts w:eastAsia="Times New Roman" w:cs="Times New Roman"/>
          <w:sz w:val="20"/>
          <w:szCs w:val="20"/>
        </w:rPr>
        <w:t xml:space="preserve"> (Standards)</w:t>
      </w:r>
      <w:r w:rsidR="00C57F81" w:rsidRPr="00FB43F3">
        <w:rPr>
          <w:rFonts w:eastAsia="Times New Roman" w:cs="Times New Roman"/>
          <w:sz w:val="20"/>
          <w:szCs w:val="20"/>
        </w:rPr>
        <w:t>, with certain enumerated exceptions,</w:t>
      </w:r>
      <w:r w:rsidR="000F7620" w:rsidRPr="00FB43F3">
        <w:rPr>
          <w:rFonts w:eastAsia="Times New Roman" w:cs="Times New Roman"/>
          <w:sz w:val="20"/>
          <w:szCs w:val="20"/>
        </w:rPr>
        <w:t xml:space="preserve"> </w:t>
      </w:r>
      <w:r w:rsidR="007F09BA" w:rsidRPr="00FB43F3">
        <w:rPr>
          <w:rFonts w:eastAsia="Times New Roman" w:cs="Times New Roman"/>
          <w:sz w:val="20"/>
          <w:szCs w:val="20"/>
        </w:rPr>
        <w:t>as proposed in the related Notice of Proposed Rulemaking (NOPR)</w:t>
      </w:r>
      <w:r w:rsidR="000F7620" w:rsidRPr="00FB43F3">
        <w:rPr>
          <w:rFonts w:eastAsia="Times New Roman" w:cs="Times New Roman"/>
          <w:sz w:val="20"/>
          <w:szCs w:val="20"/>
        </w:rPr>
        <w:t>.</w:t>
      </w:r>
      <w:r w:rsidR="003E7087" w:rsidRPr="00FB43F3">
        <w:rPr>
          <w:rStyle w:val="FootnoteReference"/>
          <w:rFonts w:eastAsia="Times New Roman" w:cs="Times New Roman"/>
          <w:sz w:val="20"/>
          <w:szCs w:val="20"/>
        </w:rPr>
        <w:footnoteReference w:id="2"/>
      </w:r>
      <w:r w:rsidR="00C57F81" w:rsidRPr="00FB43F3">
        <w:rPr>
          <w:rFonts w:eastAsia="Times New Roman" w:cs="Times New Roman"/>
          <w:sz w:val="20"/>
          <w:szCs w:val="20"/>
        </w:rPr>
        <w:t xml:space="preserve">  </w:t>
      </w:r>
      <w:r w:rsidR="006E6E7C" w:rsidRPr="00FB43F3">
        <w:rPr>
          <w:rFonts w:eastAsia="Times New Roman" w:cs="Times New Roman"/>
          <w:sz w:val="20"/>
          <w:szCs w:val="20"/>
        </w:rPr>
        <w:t xml:space="preserve">Included as part of WEQ Version 003.3 are </w:t>
      </w:r>
      <w:r w:rsidR="00D80B57" w:rsidRPr="00FB43F3">
        <w:rPr>
          <w:rFonts w:eastAsia="Times New Roman" w:cs="Times New Roman"/>
          <w:sz w:val="20"/>
          <w:szCs w:val="20"/>
        </w:rPr>
        <w:t>the final standards developed in response to directives from FERC Order No. 890</w:t>
      </w:r>
      <w:r w:rsidR="007928EE" w:rsidRPr="00FB43F3">
        <w:rPr>
          <w:rFonts w:eastAsia="Times New Roman" w:cs="Times New Roman"/>
          <w:sz w:val="20"/>
          <w:szCs w:val="20"/>
        </w:rPr>
        <w:t>, standards that support the calculation of Available Transfer Capability</w:t>
      </w:r>
      <w:r w:rsidR="00E34CAE" w:rsidRPr="00FB43F3">
        <w:rPr>
          <w:rFonts w:eastAsia="Times New Roman" w:cs="Times New Roman"/>
          <w:sz w:val="20"/>
          <w:szCs w:val="20"/>
        </w:rPr>
        <w:t xml:space="preserve"> (ATC)</w:t>
      </w:r>
      <w:r w:rsidR="007928EE" w:rsidRPr="00FB43F3">
        <w:rPr>
          <w:rFonts w:eastAsia="Times New Roman" w:cs="Times New Roman"/>
          <w:sz w:val="20"/>
          <w:szCs w:val="20"/>
        </w:rPr>
        <w:t xml:space="preserve"> and Available Flowgate Capability</w:t>
      </w:r>
      <w:r w:rsidR="00ED31E3" w:rsidRPr="00FB43F3">
        <w:rPr>
          <w:rFonts w:eastAsia="Times New Roman" w:cs="Times New Roman"/>
          <w:sz w:val="20"/>
          <w:szCs w:val="20"/>
        </w:rPr>
        <w:t xml:space="preserve"> (AFC)</w:t>
      </w:r>
      <w:r w:rsidR="007928EE" w:rsidRPr="00FB43F3">
        <w:rPr>
          <w:rFonts w:eastAsia="Times New Roman" w:cs="Times New Roman"/>
          <w:sz w:val="20"/>
          <w:szCs w:val="20"/>
        </w:rPr>
        <w:t xml:space="preserve">, </w:t>
      </w:r>
      <w:r w:rsidR="00E34CAE" w:rsidRPr="00FB43F3">
        <w:rPr>
          <w:rFonts w:eastAsia="Times New Roman" w:cs="Times New Roman"/>
          <w:sz w:val="20"/>
          <w:szCs w:val="20"/>
        </w:rPr>
        <w:t xml:space="preserve">Parallel Flow Visualization (PFV) </w:t>
      </w:r>
      <w:r w:rsidR="007928EE" w:rsidRPr="00FB43F3">
        <w:rPr>
          <w:rFonts w:eastAsia="Times New Roman" w:cs="Times New Roman"/>
          <w:sz w:val="20"/>
          <w:szCs w:val="20"/>
        </w:rPr>
        <w:t xml:space="preserve">standards </w:t>
      </w:r>
      <w:r w:rsidR="006E6E7C" w:rsidRPr="00FB43F3">
        <w:rPr>
          <w:rFonts w:eastAsia="Times New Roman" w:cs="Times New Roman"/>
          <w:sz w:val="20"/>
          <w:szCs w:val="20"/>
        </w:rPr>
        <w:t xml:space="preserve">that improve upon the congestion management process for the Eastern Interconnection as well as </w:t>
      </w:r>
      <w:r w:rsidR="005B52A5" w:rsidRPr="00FB43F3">
        <w:rPr>
          <w:rFonts w:eastAsia="Times New Roman" w:cs="Times New Roman"/>
          <w:sz w:val="20"/>
          <w:szCs w:val="20"/>
        </w:rPr>
        <w:t xml:space="preserve">standards resulting from the recommendations of the Department of Energy sponsored cybersecurity surety assessment of the NAESB standards.  </w:t>
      </w:r>
      <w:r w:rsidR="00F8633F" w:rsidRPr="00FB43F3">
        <w:rPr>
          <w:sz w:val="20"/>
          <w:szCs w:val="20"/>
        </w:rPr>
        <w:t>This body of S</w:t>
      </w:r>
      <w:r w:rsidRPr="00FB43F3">
        <w:rPr>
          <w:sz w:val="20"/>
          <w:szCs w:val="20"/>
        </w:rPr>
        <w:t>tandards</w:t>
      </w:r>
      <w:r w:rsidR="00C57F81" w:rsidRPr="00FB43F3">
        <w:rPr>
          <w:sz w:val="20"/>
          <w:szCs w:val="20"/>
        </w:rPr>
        <w:t xml:space="preserve"> </w:t>
      </w:r>
      <w:r w:rsidR="00C57F81" w:rsidRPr="00FB43F3">
        <w:rPr>
          <w:rFonts w:eastAsia="Times New Roman" w:cs="Times New Roman"/>
          <w:sz w:val="20"/>
          <w:szCs w:val="20"/>
        </w:rPr>
        <w:t>marks a development period from December 2017 to March 2020</w:t>
      </w:r>
      <w:r w:rsidR="00C57F81" w:rsidRPr="00FB43F3">
        <w:rPr>
          <w:sz w:val="20"/>
          <w:szCs w:val="20"/>
        </w:rPr>
        <w:t xml:space="preserve"> and</w:t>
      </w:r>
      <w:r w:rsidRPr="00FB43F3">
        <w:rPr>
          <w:sz w:val="20"/>
          <w:szCs w:val="20"/>
        </w:rPr>
        <w:t xml:space="preserve"> </w:t>
      </w:r>
      <w:r w:rsidR="00F74F93" w:rsidRPr="00FB43F3">
        <w:rPr>
          <w:sz w:val="20"/>
          <w:szCs w:val="20"/>
        </w:rPr>
        <w:t xml:space="preserve">is the result of </w:t>
      </w:r>
      <w:r w:rsidR="00366F38" w:rsidRPr="00FB43F3">
        <w:rPr>
          <w:sz w:val="20"/>
          <w:szCs w:val="20"/>
        </w:rPr>
        <w:t>a significant effort by the industry</w:t>
      </w:r>
      <w:r w:rsidR="00C57F81" w:rsidRPr="00FB43F3">
        <w:rPr>
          <w:sz w:val="20"/>
          <w:szCs w:val="20"/>
        </w:rPr>
        <w:t xml:space="preserve">.  </w:t>
      </w:r>
      <w:r w:rsidR="00DF0513" w:rsidRPr="00FB43F3">
        <w:rPr>
          <w:sz w:val="20"/>
          <w:szCs w:val="20"/>
        </w:rPr>
        <w:t xml:space="preserve">NAESB </w:t>
      </w:r>
      <w:r w:rsidR="00891F28" w:rsidRPr="00FB43F3">
        <w:rPr>
          <w:sz w:val="20"/>
          <w:szCs w:val="20"/>
        </w:rPr>
        <w:t>would like to thank the numerous</w:t>
      </w:r>
      <w:r w:rsidR="00846931" w:rsidRPr="00FB43F3">
        <w:rPr>
          <w:sz w:val="20"/>
          <w:szCs w:val="20"/>
        </w:rPr>
        <w:t xml:space="preserve"> industry volunteers who contributed </w:t>
      </w:r>
      <w:r w:rsidR="00C57F81" w:rsidRPr="00FB43F3">
        <w:rPr>
          <w:sz w:val="20"/>
          <w:szCs w:val="20"/>
        </w:rPr>
        <w:t>their time</w:t>
      </w:r>
      <w:r w:rsidR="00D51C48" w:rsidRPr="00FB43F3">
        <w:rPr>
          <w:sz w:val="20"/>
          <w:szCs w:val="20"/>
        </w:rPr>
        <w:t xml:space="preserve"> </w:t>
      </w:r>
      <w:r w:rsidR="00C57F81" w:rsidRPr="00FB43F3">
        <w:rPr>
          <w:sz w:val="20"/>
          <w:szCs w:val="20"/>
        </w:rPr>
        <w:t xml:space="preserve">and resources to </w:t>
      </w:r>
      <w:r w:rsidR="00846931" w:rsidRPr="00FB43F3">
        <w:rPr>
          <w:sz w:val="20"/>
          <w:szCs w:val="20"/>
        </w:rPr>
        <w:t xml:space="preserve">the </w:t>
      </w:r>
      <w:r w:rsidR="00366F38" w:rsidRPr="00FB43F3">
        <w:rPr>
          <w:sz w:val="20"/>
          <w:szCs w:val="20"/>
        </w:rPr>
        <w:t>development of these Standards.</w:t>
      </w:r>
    </w:p>
    <w:p w14:paraId="3104B63C" w14:textId="4EE6FBFF" w:rsidR="0079392B" w:rsidRPr="00FB43F3" w:rsidRDefault="006E6E7C" w:rsidP="005A029C">
      <w:pPr>
        <w:pStyle w:val="PlainText"/>
        <w:spacing w:before="120"/>
        <w:jc w:val="both"/>
        <w:rPr>
          <w:rFonts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t xml:space="preserve">In moving to incorporate the </w:t>
      </w:r>
      <w:r w:rsidR="00D51C48" w:rsidRPr="00FB43F3">
        <w:rPr>
          <w:rFonts w:eastAsia="Times New Roman" w:cs="Times New Roman"/>
          <w:sz w:val="20"/>
          <w:szCs w:val="20"/>
        </w:rPr>
        <w:t>S</w:t>
      </w:r>
      <w:r w:rsidRPr="00FB43F3">
        <w:rPr>
          <w:rFonts w:eastAsia="Times New Roman" w:cs="Times New Roman"/>
          <w:sz w:val="20"/>
          <w:szCs w:val="20"/>
        </w:rPr>
        <w:t>tandards by reference, the Commission</w:t>
      </w:r>
      <w:r w:rsidR="008C301A" w:rsidRPr="00FB43F3">
        <w:rPr>
          <w:rFonts w:eastAsia="Times New Roman" w:cs="Times New Roman"/>
          <w:sz w:val="20"/>
          <w:szCs w:val="20"/>
        </w:rPr>
        <w:t xml:space="preserve"> continued with precedence established in FERC Order No. 676-I and </w:t>
      </w:r>
      <w:r w:rsidR="0007437C" w:rsidRPr="00FB43F3">
        <w:rPr>
          <w:rFonts w:eastAsia="Times New Roman" w:cs="Times New Roman"/>
          <w:sz w:val="20"/>
          <w:szCs w:val="20"/>
        </w:rPr>
        <w:t xml:space="preserve">adopted Version 003.1 WEQ-006 Manual Time Error Correction Business Practice Standards as well as the definitions of Interconnection Time Monitor, Time Error, and Time Error Correction </w:t>
      </w:r>
      <w:r w:rsidR="003E4D41" w:rsidRPr="00FB43F3">
        <w:rPr>
          <w:rFonts w:eastAsia="Times New Roman" w:cs="Times New Roman"/>
          <w:sz w:val="20"/>
          <w:szCs w:val="20"/>
        </w:rPr>
        <w:t xml:space="preserve">that appear in Version 003.1 WEQ-000 </w:t>
      </w:r>
      <w:r w:rsidR="003E4D41" w:rsidRPr="00FB43F3">
        <w:rPr>
          <w:rFonts w:cs="Times New Roman"/>
          <w:sz w:val="20"/>
          <w:szCs w:val="20"/>
        </w:rPr>
        <w:t>Abbreviations, Acronyms, and Definition of Terms Business Practice Standards.</w:t>
      </w:r>
      <w:r w:rsidR="0078146A" w:rsidRPr="00FB43F3">
        <w:rPr>
          <w:rFonts w:cs="Times New Roman"/>
          <w:sz w:val="20"/>
          <w:szCs w:val="20"/>
        </w:rPr>
        <w:t xml:space="preserve">  </w:t>
      </w:r>
      <w:r w:rsidR="004D3F85" w:rsidRPr="00FB43F3">
        <w:rPr>
          <w:rFonts w:cs="Times New Roman"/>
          <w:sz w:val="20"/>
          <w:szCs w:val="20"/>
        </w:rPr>
        <w:t xml:space="preserve">All other </w:t>
      </w:r>
      <w:r w:rsidR="00BA73E8" w:rsidRPr="00FB43F3">
        <w:rPr>
          <w:rFonts w:cs="Times New Roman"/>
          <w:sz w:val="20"/>
          <w:szCs w:val="20"/>
        </w:rPr>
        <w:t>S</w:t>
      </w:r>
      <w:r w:rsidR="004D3F85" w:rsidRPr="00FB43F3">
        <w:rPr>
          <w:rFonts w:cs="Times New Roman"/>
          <w:sz w:val="20"/>
          <w:szCs w:val="20"/>
        </w:rPr>
        <w:t>tandards adopted by the Commission as part of FERC Order No. 676-J are as they appear in their entirety in WEQ Version 003.3 (WEQ-000, WEQ-001, WEQ-002, WEQ-003, WEQ-004, WEQ-005, WEQ-007, WEQ-008, WEQ-011, WEQ-012, WEQ-013, WEQ-015, WEQ-021, WEQ-022, and WEQ-023).</w:t>
      </w:r>
    </w:p>
    <w:p w14:paraId="2968944A" w14:textId="4DB4BCF0" w:rsidR="000A3151" w:rsidRPr="00FB43F3" w:rsidRDefault="0078146A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cs="Times New Roman"/>
          <w:sz w:val="20"/>
          <w:szCs w:val="20"/>
        </w:rPr>
        <w:t>Similar to FERC Order Nos. 676-H and 676-I, the Commission</w:t>
      </w:r>
      <w:r w:rsidR="0079392B" w:rsidRPr="00FB43F3">
        <w:rPr>
          <w:rFonts w:cs="Times New Roman"/>
          <w:sz w:val="20"/>
          <w:szCs w:val="20"/>
        </w:rPr>
        <w:t xml:space="preserve"> continues to</w:t>
      </w:r>
      <w:r w:rsidRPr="00FB43F3">
        <w:rPr>
          <w:rFonts w:cs="Times New Roman"/>
          <w:sz w:val="20"/>
          <w:szCs w:val="20"/>
        </w:rPr>
        <w:t xml:space="preserve"> list NAESB’s Smart Grid Standards</w:t>
      </w:r>
      <w:r w:rsidR="0079392B" w:rsidRPr="00FB43F3">
        <w:rPr>
          <w:rFonts w:cs="Times New Roman"/>
          <w:sz w:val="20"/>
          <w:szCs w:val="20"/>
        </w:rPr>
        <w:t xml:space="preserve"> </w:t>
      </w:r>
      <w:r w:rsidR="0079392B" w:rsidRPr="00FB43F3">
        <w:rPr>
          <w:rFonts w:eastAsia="Times New Roman" w:cs="Times New Roman"/>
          <w:sz w:val="20"/>
          <w:szCs w:val="20"/>
        </w:rPr>
        <w:t xml:space="preserve">(WEQ-016, WEQ-017, WEQ-018, WEQ-019, and WEQ-020) as part of non-mandatory guidance in its regulations.  </w:t>
      </w:r>
      <w:r w:rsidR="00BA73E8" w:rsidRPr="00FB43F3">
        <w:rPr>
          <w:rFonts w:eastAsia="Times New Roman" w:cs="Times New Roman"/>
          <w:sz w:val="20"/>
          <w:szCs w:val="20"/>
        </w:rPr>
        <w:t xml:space="preserve">Consistent with past actions, the </w:t>
      </w:r>
      <w:r w:rsidR="00BA576D" w:rsidRPr="00FB43F3">
        <w:rPr>
          <w:rFonts w:eastAsia="Times New Roman" w:cs="Times New Roman"/>
          <w:sz w:val="20"/>
          <w:szCs w:val="20"/>
        </w:rPr>
        <w:t>Commission</w:t>
      </w:r>
      <w:r w:rsidR="002E6BFD" w:rsidRPr="00FB43F3">
        <w:rPr>
          <w:rFonts w:eastAsia="Times New Roman" w:cs="Times New Roman"/>
          <w:sz w:val="20"/>
          <w:szCs w:val="20"/>
        </w:rPr>
        <w:t xml:space="preserve"> decline</w:t>
      </w:r>
      <w:r w:rsidR="0058614F" w:rsidRPr="00FB43F3">
        <w:rPr>
          <w:rFonts w:eastAsia="Times New Roman" w:cs="Times New Roman"/>
          <w:sz w:val="20"/>
          <w:szCs w:val="20"/>
        </w:rPr>
        <w:t>d</w:t>
      </w:r>
      <w:r w:rsidR="002E6BFD" w:rsidRPr="00FB43F3">
        <w:rPr>
          <w:rFonts w:eastAsia="Times New Roman" w:cs="Times New Roman"/>
          <w:sz w:val="20"/>
          <w:szCs w:val="20"/>
        </w:rPr>
        <w:t xml:space="preserve"> to </w:t>
      </w:r>
      <w:r w:rsidR="00721999" w:rsidRPr="00FB43F3">
        <w:rPr>
          <w:rFonts w:eastAsia="Times New Roman" w:cs="Times New Roman"/>
          <w:sz w:val="20"/>
          <w:szCs w:val="20"/>
        </w:rPr>
        <w:t xml:space="preserve">adopt WEQ-009 Standards of Conduct for Electric Transmission Providers, </w:t>
      </w:r>
      <w:r w:rsidR="004C7478" w:rsidRPr="00FB43F3">
        <w:rPr>
          <w:rFonts w:eastAsia="Times New Roman" w:cs="Times New Roman"/>
          <w:sz w:val="20"/>
          <w:szCs w:val="20"/>
        </w:rPr>
        <w:t>WEQ-010 Contracts Related Business Practice Standards</w:t>
      </w:r>
      <w:r w:rsidR="00CF7DC7" w:rsidRPr="00FB43F3">
        <w:rPr>
          <w:rFonts w:eastAsia="Times New Roman" w:cs="Times New Roman"/>
          <w:sz w:val="20"/>
          <w:szCs w:val="20"/>
        </w:rPr>
        <w:t>,</w:t>
      </w:r>
      <w:r w:rsidR="004C7478" w:rsidRPr="00FB43F3">
        <w:rPr>
          <w:rFonts w:eastAsia="Times New Roman" w:cs="Times New Roman"/>
          <w:sz w:val="20"/>
          <w:szCs w:val="20"/>
        </w:rPr>
        <w:t xml:space="preserve"> </w:t>
      </w:r>
      <w:r w:rsidR="00F02CD4" w:rsidRPr="00FB43F3">
        <w:rPr>
          <w:rFonts w:eastAsia="Times New Roman" w:cs="Times New Roman"/>
          <w:sz w:val="20"/>
          <w:szCs w:val="20"/>
        </w:rPr>
        <w:t xml:space="preserve">and </w:t>
      </w:r>
      <w:r w:rsidR="004C7478" w:rsidRPr="00FB43F3">
        <w:rPr>
          <w:rFonts w:eastAsia="Times New Roman" w:cs="Times New Roman"/>
          <w:sz w:val="20"/>
          <w:szCs w:val="20"/>
        </w:rPr>
        <w:t>WEQ-014 WEQ/</w:t>
      </w:r>
      <w:r w:rsidR="00F43777" w:rsidRPr="00FB43F3">
        <w:rPr>
          <w:rFonts w:eastAsia="Times New Roman" w:cs="Times New Roman"/>
          <w:sz w:val="20"/>
          <w:szCs w:val="20"/>
        </w:rPr>
        <w:t>W</w:t>
      </w:r>
      <w:r w:rsidR="004C7478" w:rsidRPr="00FB43F3">
        <w:rPr>
          <w:rFonts w:eastAsia="Times New Roman" w:cs="Times New Roman"/>
          <w:sz w:val="20"/>
          <w:szCs w:val="20"/>
        </w:rPr>
        <w:t>GQ eTariff Related Business Practice Standards</w:t>
      </w:r>
      <w:r w:rsidR="007F09BA" w:rsidRPr="00FB43F3">
        <w:rPr>
          <w:rFonts w:eastAsia="Times New Roman" w:cs="Times New Roman"/>
          <w:sz w:val="20"/>
          <w:szCs w:val="20"/>
        </w:rPr>
        <w:t>.</w:t>
      </w:r>
      <w:r w:rsidR="00100C22" w:rsidRPr="00FB43F3">
        <w:rPr>
          <w:rFonts w:eastAsia="Times New Roman" w:cs="Times New Roman"/>
          <w:sz w:val="20"/>
          <w:szCs w:val="20"/>
        </w:rPr>
        <w:t xml:space="preserve">  </w:t>
      </w:r>
      <w:r w:rsidR="00BA73E8" w:rsidRPr="00FB43F3">
        <w:rPr>
          <w:rFonts w:eastAsia="Times New Roman" w:cs="Times New Roman"/>
          <w:sz w:val="20"/>
          <w:szCs w:val="20"/>
        </w:rPr>
        <w:t xml:space="preserve">NAESB </w:t>
      </w:r>
      <w:r w:rsidR="0003148E" w:rsidRPr="00FB43F3">
        <w:rPr>
          <w:rFonts w:eastAsia="Times New Roman" w:cs="Times New Roman"/>
          <w:sz w:val="20"/>
          <w:szCs w:val="20"/>
        </w:rPr>
        <w:t xml:space="preserve">previously </w:t>
      </w:r>
      <w:r w:rsidR="002E6BFD" w:rsidRPr="00FB43F3">
        <w:rPr>
          <w:rFonts w:eastAsia="Times New Roman" w:cs="Times New Roman"/>
          <w:sz w:val="20"/>
          <w:szCs w:val="20"/>
        </w:rPr>
        <w:t>reserved and redacted WEQ-009</w:t>
      </w:r>
      <w:r w:rsidR="00100C22" w:rsidRPr="00FB43F3">
        <w:rPr>
          <w:rFonts w:eastAsia="Times New Roman" w:cs="Times New Roman"/>
          <w:sz w:val="20"/>
          <w:szCs w:val="20"/>
        </w:rPr>
        <w:t xml:space="preserve">, </w:t>
      </w:r>
      <w:r w:rsidR="002E6BFD" w:rsidRPr="00FB43F3">
        <w:rPr>
          <w:rFonts w:eastAsia="Times New Roman" w:cs="Times New Roman"/>
          <w:sz w:val="20"/>
          <w:szCs w:val="20"/>
        </w:rPr>
        <w:t>WEQ-010 contains model contracts optional for industry use</w:t>
      </w:r>
      <w:r w:rsidR="0070225C" w:rsidRPr="00FB43F3">
        <w:rPr>
          <w:rFonts w:eastAsia="Times New Roman" w:cs="Times New Roman"/>
          <w:sz w:val="20"/>
          <w:szCs w:val="20"/>
        </w:rPr>
        <w:t>, and</w:t>
      </w:r>
      <w:r w:rsidR="00100C22" w:rsidRPr="00FB43F3">
        <w:rPr>
          <w:rFonts w:eastAsia="Times New Roman" w:cs="Times New Roman"/>
          <w:sz w:val="20"/>
          <w:szCs w:val="20"/>
        </w:rPr>
        <w:t xml:space="preserve"> WEQ-014 </w:t>
      </w:r>
      <w:r w:rsidR="0003148E" w:rsidRPr="00FB43F3">
        <w:rPr>
          <w:rFonts w:eastAsia="Times New Roman" w:cs="Times New Roman"/>
          <w:sz w:val="20"/>
          <w:szCs w:val="20"/>
        </w:rPr>
        <w:t>serves as the</w:t>
      </w:r>
      <w:r w:rsidR="00100C22" w:rsidRPr="00FB43F3">
        <w:rPr>
          <w:rFonts w:eastAsia="Times New Roman" w:cs="Times New Roman"/>
          <w:sz w:val="20"/>
          <w:szCs w:val="20"/>
        </w:rPr>
        <w:t xml:space="preserve"> basis for the Commission’s own </w:t>
      </w:r>
      <w:r w:rsidR="0003148E" w:rsidRPr="00FB43F3">
        <w:rPr>
          <w:rFonts w:eastAsia="Times New Roman" w:cs="Times New Roman"/>
          <w:sz w:val="20"/>
          <w:szCs w:val="20"/>
        </w:rPr>
        <w:t xml:space="preserve">standards </w:t>
      </w:r>
      <w:r w:rsidR="00B2531D" w:rsidRPr="00FB43F3">
        <w:rPr>
          <w:rFonts w:eastAsia="Times New Roman" w:cs="Times New Roman"/>
          <w:sz w:val="20"/>
          <w:szCs w:val="20"/>
        </w:rPr>
        <w:t xml:space="preserve">and protocols </w:t>
      </w:r>
      <w:r w:rsidR="00FB00B8">
        <w:rPr>
          <w:rFonts w:eastAsia="Times New Roman" w:cs="Times New Roman"/>
          <w:sz w:val="20"/>
          <w:szCs w:val="20"/>
        </w:rPr>
        <w:t xml:space="preserve">for </w:t>
      </w:r>
      <w:r w:rsidR="00B2531D" w:rsidRPr="00FB43F3">
        <w:rPr>
          <w:rFonts w:eastAsia="Times New Roman" w:cs="Times New Roman"/>
          <w:sz w:val="20"/>
          <w:szCs w:val="20"/>
        </w:rPr>
        <w:t>electronic tariff</w:t>
      </w:r>
      <w:r w:rsidR="0003148E" w:rsidRPr="00FB43F3">
        <w:rPr>
          <w:rFonts w:eastAsia="Times New Roman" w:cs="Times New Roman"/>
          <w:sz w:val="20"/>
          <w:szCs w:val="20"/>
        </w:rPr>
        <w:t xml:space="preserve"> filing</w:t>
      </w:r>
      <w:r w:rsidR="00B2531D" w:rsidRPr="00FB43F3">
        <w:rPr>
          <w:rFonts w:eastAsia="Times New Roman" w:cs="Times New Roman"/>
          <w:sz w:val="20"/>
          <w:szCs w:val="20"/>
        </w:rPr>
        <w:t xml:space="preserve">s.  </w:t>
      </w:r>
    </w:p>
    <w:p w14:paraId="20BA361A" w14:textId="70551F92" w:rsidR="00716AF5" w:rsidRPr="00FB43F3" w:rsidRDefault="00862EF6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t>Under the</w:t>
      </w:r>
      <w:r w:rsidR="00ED31E3" w:rsidRPr="00FB43F3">
        <w:rPr>
          <w:rFonts w:eastAsia="Times New Roman" w:cs="Times New Roman"/>
          <w:sz w:val="20"/>
          <w:szCs w:val="20"/>
        </w:rPr>
        <w:t xml:space="preserve"> Order, the Commission requires public utilities and those with reciprocity tariffs to make</w:t>
      </w:r>
      <w:r w:rsidR="00D907E5" w:rsidRPr="00FB43F3">
        <w:rPr>
          <w:rFonts w:eastAsia="Times New Roman" w:cs="Times New Roman"/>
          <w:sz w:val="20"/>
          <w:szCs w:val="20"/>
        </w:rPr>
        <w:t xml:space="preserve"> two</w:t>
      </w:r>
      <w:r w:rsidR="00ED31E3" w:rsidRPr="00FB43F3">
        <w:rPr>
          <w:rFonts w:eastAsia="Times New Roman" w:cs="Times New Roman"/>
          <w:sz w:val="20"/>
          <w:szCs w:val="20"/>
        </w:rPr>
        <w:t xml:space="preserve"> compliance filing</w:t>
      </w:r>
      <w:r w:rsidR="00F5303F" w:rsidRPr="00FB43F3">
        <w:rPr>
          <w:rFonts w:eastAsia="Times New Roman" w:cs="Times New Roman"/>
          <w:sz w:val="20"/>
          <w:szCs w:val="20"/>
        </w:rPr>
        <w:t>s</w:t>
      </w:r>
      <w:r w:rsidR="00ED31E3" w:rsidRPr="00FB43F3">
        <w:rPr>
          <w:rFonts w:eastAsia="Times New Roman" w:cs="Times New Roman"/>
          <w:sz w:val="20"/>
          <w:szCs w:val="20"/>
        </w:rPr>
        <w:t xml:space="preserve"> via eTariff</w:t>
      </w:r>
      <w:r w:rsidR="00D907E5" w:rsidRPr="00FB43F3">
        <w:rPr>
          <w:rFonts w:eastAsia="Times New Roman" w:cs="Times New Roman"/>
          <w:sz w:val="20"/>
          <w:szCs w:val="20"/>
        </w:rPr>
        <w:t xml:space="preserve"> </w:t>
      </w:r>
      <w:r w:rsidRPr="00FB43F3">
        <w:rPr>
          <w:rFonts w:eastAsia="Times New Roman" w:cs="Times New Roman"/>
          <w:sz w:val="20"/>
          <w:szCs w:val="20"/>
        </w:rPr>
        <w:t>as part of an identified schedule</w:t>
      </w:r>
      <w:r w:rsidR="00F5303F" w:rsidRPr="00FB43F3">
        <w:rPr>
          <w:rFonts w:eastAsia="Times New Roman" w:cs="Times New Roman"/>
          <w:sz w:val="20"/>
          <w:szCs w:val="20"/>
        </w:rPr>
        <w:t xml:space="preserve">.  For the WEQ cybersecurity standards and the PFV standards, compliance filings are to be made nine months </w:t>
      </w:r>
      <w:r w:rsidR="00ED31E3" w:rsidRPr="00FB43F3">
        <w:rPr>
          <w:rFonts w:eastAsia="Times New Roman" w:cs="Times New Roman"/>
          <w:sz w:val="20"/>
          <w:szCs w:val="20"/>
        </w:rPr>
        <w:t xml:space="preserve">after publication of the final rule in the Federal </w:t>
      </w:r>
      <w:r w:rsidR="006624DE" w:rsidRPr="00FB43F3">
        <w:rPr>
          <w:rFonts w:eastAsia="Times New Roman" w:cs="Times New Roman"/>
          <w:sz w:val="20"/>
          <w:szCs w:val="20"/>
        </w:rPr>
        <w:t>Regist</w:t>
      </w:r>
      <w:r w:rsidR="00D907E5" w:rsidRPr="00FB43F3">
        <w:rPr>
          <w:rFonts w:eastAsia="Times New Roman" w:cs="Times New Roman"/>
          <w:sz w:val="20"/>
          <w:szCs w:val="20"/>
        </w:rPr>
        <w:t>er</w:t>
      </w:r>
      <w:r w:rsidR="006624DE" w:rsidRPr="00FB43F3">
        <w:rPr>
          <w:rFonts w:eastAsia="Times New Roman" w:cs="Times New Roman"/>
          <w:sz w:val="20"/>
          <w:szCs w:val="20"/>
        </w:rPr>
        <w:t>, with implementation required no sooner than three mo</w:t>
      </w:r>
      <w:r w:rsidR="00D907E5" w:rsidRPr="00FB43F3">
        <w:rPr>
          <w:rFonts w:eastAsia="Times New Roman" w:cs="Times New Roman"/>
          <w:sz w:val="20"/>
          <w:szCs w:val="20"/>
        </w:rPr>
        <w:t>n</w:t>
      </w:r>
      <w:r w:rsidR="006624DE" w:rsidRPr="00FB43F3">
        <w:rPr>
          <w:rFonts w:eastAsia="Times New Roman" w:cs="Times New Roman"/>
          <w:sz w:val="20"/>
          <w:szCs w:val="20"/>
        </w:rPr>
        <w:t xml:space="preserve">ths after compliance filings are submitted.  For all other </w:t>
      </w:r>
      <w:r w:rsidR="00F5303F" w:rsidRPr="00FB43F3">
        <w:rPr>
          <w:rFonts w:eastAsia="Times New Roman" w:cs="Times New Roman"/>
          <w:sz w:val="20"/>
          <w:szCs w:val="20"/>
        </w:rPr>
        <w:t>S</w:t>
      </w:r>
      <w:r w:rsidR="006624DE" w:rsidRPr="00FB43F3">
        <w:rPr>
          <w:rFonts w:eastAsia="Times New Roman" w:cs="Times New Roman"/>
          <w:sz w:val="20"/>
          <w:szCs w:val="20"/>
        </w:rPr>
        <w:t xml:space="preserve">tandards, the Commission requires compliance </w:t>
      </w:r>
      <w:r w:rsidR="00F5303F" w:rsidRPr="00FB43F3">
        <w:rPr>
          <w:rFonts w:eastAsia="Times New Roman" w:cs="Times New Roman"/>
          <w:sz w:val="20"/>
          <w:szCs w:val="20"/>
        </w:rPr>
        <w:t>filings to be made</w:t>
      </w:r>
      <w:r w:rsidR="006624DE" w:rsidRPr="00FB43F3">
        <w:rPr>
          <w:rFonts w:eastAsia="Times New Roman" w:cs="Times New Roman"/>
          <w:sz w:val="20"/>
          <w:szCs w:val="20"/>
        </w:rPr>
        <w:t xml:space="preserve"> twelve months after the implementation of the WEQ Version 003.2 Standards</w:t>
      </w:r>
      <w:r w:rsidR="000B0608" w:rsidRPr="00FB43F3">
        <w:rPr>
          <w:rFonts w:eastAsia="Times New Roman" w:cs="Times New Roman"/>
          <w:sz w:val="20"/>
          <w:szCs w:val="20"/>
        </w:rPr>
        <w:t xml:space="preserve">, or no earlier than October 27, 2022.  The implementation date for these </w:t>
      </w:r>
      <w:r w:rsidR="00C81536" w:rsidRPr="00FB43F3">
        <w:rPr>
          <w:rFonts w:eastAsia="Times New Roman" w:cs="Times New Roman"/>
          <w:sz w:val="20"/>
          <w:szCs w:val="20"/>
        </w:rPr>
        <w:t>S</w:t>
      </w:r>
      <w:r w:rsidR="000B0608" w:rsidRPr="00FB43F3">
        <w:rPr>
          <w:rFonts w:eastAsia="Times New Roman" w:cs="Times New Roman"/>
          <w:sz w:val="20"/>
          <w:szCs w:val="20"/>
        </w:rPr>
        <w:t xml:space="preserve">tandards will be no earlier than three months following compliance filing submission, January 27, 2023.  </w:t>
      </w:r>
      <w:r w:rsidR="006E6DFE" w:rsidRPr="00FB43F3">
        <w:rPr>
          <w:rFonts w:eastAsia="Times New Roman" w:cs="Times New Roman"/>
          <w:sz w:val="20"/>
          <w:szCs w:val="20"/>
        </w:rPr>
        <w:t xml:space="preserve">Public utilities </w:t>
      </w:r>
      <w:r w:rsidR="00CD2068" w:rsidRPr="00FB43F3">
        <w:rPr>
          <w:rFonts w:eastAsia="Times New Roman" w:cs="Times New Roman"/>
          <w:sz w:val="20"/>
          <w:szCs w:val="20"/>
        </w:rPr>
        <w:t xml:space="preserve">may seek waiver of the </w:t>
      </w:r>
      <w:r w:rsidR="00C81536" w:rsidRPr="00FB43F3">
        <w:rPr>
          <w:rFonts w:eastAsia="Times New Roman" w:cs="Times New Roman"/>
          <w:sz w:val="20"/>
          <w:szCs w:val="20"/>
        </w:rPr>
        <w:t>S</w:t>
      </w:r>
      <w:r w:rsidR="00CD2068" w:rsidRPr="00FB43F3">
        <w:rPr>
          <w:rFonts w:eastAsia="Times New Roman" w:cs="Times New Roman"/>
          <w:sz w:val="20"/>
          <w:szCs w:val="20"/>
        </w:rPr>
        <w:t>tandards for newly developed or n</w:t>
      </w:r>
      <w:r w:rsidR="007C5F1E" w:rsidRPr="00FB43F3">
        <w:rPr>
          <w:rFonts w:eastAsia="Times New Roman" w:cs="Times New Roman"/>
          <w:sz w:val="20"/>
          <w:szCs w:val="20"/>
        </w:rPr>
        <w:t>e</w:t>
      </w:r>
      <w:r w:rsidR="00CD2068" w:rsidRPr="00FB43F3">
        <w:rPr>
          <w:rFonts w:eastAsia="Times New Roman" w:cs="Times New Roman"/>
          <w:sz w:val="20"/>
          <w:szCs w:val="20"/>
        </w:rPr>
        <w:t xml:space="preserve">wly revised </w:t>
      </w:r>
      <w:r w:rsidR="00C81536" w:rsidRPr="00FB43F3">
        <w:rPr>
          <w:rFonts w:eastAsia="Times New Roman" w:cs="Times New Roman"/>
          <w:sz w:val="20"/>
          <w:szCs w:val="20"/>
        </w:rPr>
        <w:t>S</w:t>
      </w:r>
      <w:r w:rsidR="00CD2068" w:rsidRPr="00FB43F3">
        <w:rPr>
          <w:rFonts w:eastAsia="Times New Roman" w:cs="Times New Roman"/>
          <w:sz w:val="20"/>
          <w:szCs w:val="20"/>
        </w:rPr>
        <w:t>tandards and for the renewal of existing waivers.</w:t>
      </w:r>
    </w:p>
    <w:p w14:paraId="183DA279" w14:textId="5B46DC94" w:rsidR="00943F9D" w:rsidRPr="00FB43F3" w:rsidRDefault="000D355F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lastRenderedPageBreak/>
        <w:t>Finally, in</w:t>
      </w:r>
      <w:r w:rsidR="00943F9D" w:rsidRPr="00FB43F3">
        <w:rPr>
          <w:rFonts w:eastAsia="Times New Roman" w:cs="Times New Roman"/>
          <w:sz w:val="20"/>
          <w:szCs w:val="20"/>
        </w:rPr>
        <w:t xml:space="preserve"> the Order, the Commission stated that the industry, through the NAESB process, should continue to consider further refinement to standards</w:t>
      </w:r>
      <w:r w:rsidR="00DB39A9" w:rsidRPr="00FB43F3">
        <w:rPr>
          <w:rFonts w:eastAsia="Times New Roman" w:cs="Times New Roman"/>
          <w:sz w:val="20"/>
          <w:szCs w:val="20"/>
        </w:rPr>
        <w:t xml:space="preserve"> addressing ATC and AFC to improve the accuracy of the calculations and urged NAESB to consider issues raised by commenters regarding two of the WEQ-023 Modeling Business Practice Standards</w:t>
      </w:r>
      <w:r w:rsidR="00C81536" w:rsidRPr="00FB43F3">
        <w:rPr>
          <w:rFonts w:eastAsia="Times New Roman" w:cs="Times New Roman"/>
          <w:sz w:val="20"/>
          <w:szCs w:val="20"/>
        </w:rPr>
        <w:t>, WEQ-023-1.4 and WEQ-023-1.4.1</w:t>
      </w:r>
      <w:r w:rsidR="00DB39A9" w:rsidRPr="00FB43F3">
        <w:rPr>
          <w:rFonts w:eastAsia="Times New Roman" w:cs="Times New Roman"/>
          <w:sz w:val="20"/>
          <w:szCs w:val="20"/>
        </w:rPr>
        <w:t>.</w:t>
      </w:r>
      <w:r w:rsidRPr="00FB43F3">
        <w:rPr>
          <w:rFonts w:eastAsia="Times New Roman" w:cs="Times New Roman"/>
          <w:sz w:val="20"/>
          <w:szCs w:val="20"/>
        </w:rPr>
        <w:t xml:space="preserve">  NAESB has already taken steps </w:t>
      </w:r>
      <w:r w:rsidR="00862EF6" w:rsidRPr="00FB43F3">
        <w:rPr>
          <w:rFonts w:eastAsia="Times New Roman" w:cs="Times New Roman"/>
          <w:sz w:val="20"/>
          <w:szCs w:val="20"/>
        </w:rPr>
        <w:t xml:space="preserve">via the </w:t>
      </w:r>
      <w:r w:rsidRPr="00FB43F3">
        <w:rPr>
          <w:rFonts w:eastAsia="Times New Roman" w:cs="Times New Roman"/>
          <w:sz w:val="20"/>
          <w:szCs w:val="20"/>
        </w:rPr>
        <w:t>2021 WEQ Annual Plan to ensure that the WEQ Executive Committee and its subcommittees can take timely action in response to the Commission’s direction regarding these standards</w:t>
      </w:r>
      <w:r w:rsidR="00862EF6" w:rsidRPr="00FB43F3">
        <w:rPr>
          <w:rFonts w:eastAsia="Times New Roman" w:cs="Times New Roman"/>
          <w:sz w:val="20"/>
          <w:szCs w:val="20"/>
        </w:rPr>
        <w:t xml:space="preserve"> through the inclusion of Item 1.b (Revise as needed WEQ-023 Modeling Business Practice Standards to support any FERC directives or Final Orders, including in </w:t>
      </w:r>
      <w:r w:rsidR="00862EF6" w:rsidRPr="00FB43F3">
        <w:rPr>
          <w:sz w:val="20"/>
          <w:szCs w:val="20"/>
        </w:rPr>
        <w:t>Docket Nos. RM05-5-029, RM05-5-030, RM19-16-000, RM19-17-000, and AD15-5-000)</w:t>
      </w:r>
      <w:r w:rsidR="0055620A" w:rsidRPr="00FB43F3">
        <w:rPr>
          <w:sz w:val="20"/>
          <w:szCs w:val="20"/>
        </w:rPr>
        <w:t>.</w:t>
      </w:r>
    </w:p>
    <w:p w14:paraId="34AFA908" w14:textId="5DF471FF" w:rsidR="0038164E" w:rsidRPr="00FB43F3" w:rsidRDefault="0038164E" w:rsidP="004A0728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 w:rsidRPr="00FB43F3">
        <w:rPr>
          <w:rFonts w:eastAsia="Times New Roman" w:cs="Times New Roman"/>
          <w:sz w:val="20"/>
          <w:szCs w:val="20"/>
        </w:rPr>
        <w:t xml:space="preserve">Once again, many thanks to all </w:t>
      </w:r>
      <w:r w:rsidR="000D5ADC" w:rsidRPr="00FB43F3">
        <w:rPr>
          <w:rFonts w:eastAsia="Times New Roman" w:cs="Times New Roman"/>
          <w:sz w:val="20"/>
          <w:szCs w:val="20"/>
        </w:rPr>
        <w:t>of you for contributing to this major industry effort.</w:t>
      </w:r>
    </w:p>
    <w:p w14:paraId="22BA3D11" w14:textId="05C63023" w:rsidR="00FF0C80" w:rsidRPr="00FB43F3" w:rsidRDefault="000D5ADC" w:rsidP="000D5ADC">
      <w:pPr>
        <w:spacing w:before="240"/>
        <w:jc w:val="both"/>
        <w:rPr>
          <w:rFonts w:ascii="Times New Roman" w:hAnsi="Times New Roman"/>
        </w:rPr>
      </w:pPr>
      <w:r w:rsidRPr="00FB43F3">
        <w:rPr>
          <w:rFonts w:ascii="Times New Roman" w:hAnsi="Times New Roman"/>
          <w:noProof/>
        </w:rPr>
        <w:drawing>
          <wp:anchor distT="0" distB="0" distL="114300" distR="114300" simplePos="0" relativeHeight="251654656" behindDoc="1" locked="0" layoutInCell="1" allowOverlap="1" wp14:anchorId="3E7085E4" wp14:editId="36C51AE3">
            <wp:simplePos x="0" y="0"/>
            <wp:positionH relativeFrom="column">
              <wp:posOffset>26459</wp:posOffset>
            </wp:positionH>
            <wp:positionV relativeFrom="paragraph">
              <wp:posOffset>325332</wp:posOffset>
            </wp:positionV>
            <wp:extent cx="2166620" cy="584835"/>
            <wp:effectExtent l="0" t="0" r="5080" b="5715"/>
            <wp:wrapTopAndBottom/>
            <wp:docPr id="5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80" w:rsidRPr="00FB43F3">
        <w:rPr>
          <w:rFonts w:ascii="Times New Roman" w:hAnsi="Times New Roman"/>
        </w:rPr>
        <w:t>With Best Regards,</w:t>
      </w:r>
    </w:p>
    <w:p w14:paraId="5DC582CD" w14:textId="69C39057" w:rsidR="00855F3F" w:rsidRDefault="00BC222D" w:rsidP="00FF0C80">
      <w:pPr>
        <w:spacing w:before="120"/>
        <w:rPr>
          <w:rFonts w:ascii="Times New Roman" w:hAnsi="Times New Roman"/>
        </w:rPr>
      </w:pPr>
      <w:r w:rsidRPr="00FB43F3">
        <w:rPr>
          <w:rFonts w:ascii="Times New Roman" w:hAnsi="Times New Roman"/>
        </w:rPr>
        <w:t>Michael Desselle</w:t>
      </w:r>
      <w:r w:rsidR="00486216" w:rsidRPr="00FB43F3">
        <w:rPr>
          <w:rFonts w:ascii="Times New Roman" w:hAnsi="Times New Roman"/>
        </w:rPr>
        <w:t xml:space="preserve">, </w:t>
      </w:r>
      <w:r w:rsidR="007A247D" w:rsidRPr="00FB43F3">
        <w:rPr>
          <w:rFonts w:ascii="Times New Roman" w:hAnsi="Times New Roman"/>
        </w:rPr>
        <w:t>Chair</w:t>
      </w:r>
      <w:r w:rsidR="00E16A10" w:rsidRPr="00FB43F3">
        <w:rPr>
          <w:rFonts w:ascii="Times New Roman" w:hAnsi="Times New Roman"/>
        </w:rPr>
        <w:t>man</w:t>
      </w:r>
      <w:r w:rsidR="008275AC" w:rsidRPr="00FB43F3">
        <w:rPr>
          <w:rFonts w:ascii="Times New Roman" w:hAnsi="Times New Roman"/>
        </w:rPr>
        <w:t xml:space="preserve"> of the </w:t>
      </w:r>
      <w:r w:rsidR="00FB43F3">
        <w:rPr>
          <w:rFonts w:ascii="Times New Roman" w:hAnsi="Times New Roman"/>
        </w:rPr>
        <w:t xml:space="preserve">Board of Directors, </w:t>
      </w:r>
      <w:r w:rsidR="00E16A10" w:rsidRPr="00FB43F3">
        <w:rPr>
          <w:rFonts w:ascii="Times New Roman" w:hAnsi="Times New Roman"/>
        </w:rPr>
        <w:t>North American Energy Standards Board</w:t>
      </w:r>
    </w:p>
    <w:p w14:paraId="7D37D334" w14:textId="77777777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 &amp; COO, North American Energy Standards Board</w:t>
      </w:r>
    </w:p>
    <w:p w14:paraId="797915C6" w14:textId="77777777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William P. Boswell, General Counsel, North American Energy Standards Board</w:t>
      </w:r>
    </w:p>
    <w:p w14:paraId="35454B8F" w14:textId="7095FB1E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 xml:space="preserve">Mr. Jonathan Booe, </w:t>
      </w:r>
      <w:r w:rsidR="008275AC">
        <w:rPr>
          <w:rFonts w:ascii="Times New Roman" w:hAnsi="Times New Roman"/>
          <w:snapToGrid w:val="0"/>
          <w:color w:val="000000"/>
        </w:rPr>
        <w:t xml:space="preserve">Executive </w:t>
      </w:r>
      <w:r>
        <w:rPr>
          <w:rFonts w:ascii="Times New Roman" w:hAnsi="Times New Roman"/>
          <w:snapToGrid w:val="0"/>
          <w:color w:val="000000"/>
        </w:rPr>
        <w:t>Vice President</w:t>
      </w:r>
      <w:r w:rsidR="00E16A10">
        <w:rPr>
          <w:rFonts w:ascii="Times New Roman" w:hAnsi="Times New Roman"/>
          <w:snapToGrid w:val="0"/>
          <w:color w:val="000000"/>
        </w:rPr>
        <w:t xml:space="preserve"> &amp; CA</w:t>
      </w:r>
      <w:r w:rsidR="00893D57">
        <w:rPr>
          <w:rFonts w:ascii="Times New Roman" w:hAnsi="Times New Roman"/>
          <w:snapToGrid w:val="0"/>
          <w:color w:val="000000"/>
        </w:rPr>
        <w:t>O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sectPr w:rsidR="007A247D" w:rsidSect="007A247D">
      <w:headerReference w:type="default" r:id="rId9"/>
      <w:headerReference w:type="first" r:id="rId10"/>
      <w:pgSz w:w="12240" w:h="15840" w:code="1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0BBA" w14:textId="77777777" w:rsidR="0029533E" w:rsidRDefault="0029533E">
      <w:r>
        <w:separator/>
      </w:r>
    </w:p>
  </w:endnote>
  <w:endnote w:type="continuationSeparator" w:id="0">
    <w:p w14:paraId="1AA280C6" w14:textId="77777777" w:rsidR="0029533E" w:rsidRDefault="0029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B7FA" w14:textId="77777777" w:rsidR="0029533E" w:rsidRDefault="0029533E">
      <w:r>
        <w:separator/>
      </w:r>
    </w:p>
  </w:footnote>
  <w:footnote w:type="continuationSeparator" w:id="0">
    <w:p w14:paraId="6E082FB4" w14:textId="77777777" w:rsidR="0029533E" w:rsidRDefault="0029533E">
      <w:r>
        <w:continuationSeparator/>
      </w:r>
    </w:p>
  </w:footnote>
  <w:footnote w:id="1">
    <w:p w14:paraId="57F50376" w14:textId="5CA13A70" w:rsidR="005A029C" w:rsidRPr="00B10F57" w:rsidRDefault="005A029C" w:rsidP="005A029C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 w:rsidRPr="005370E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5370E4">
        <w:rPr>
          <w:rFonts w:ascii="Times New Roman" w:hAnsi="Times New Roman"/>
          <w:sz w:val="16"/>
          <w:szCs w:val="16"/>
        </w:rPr>
        <w:t xml:space="preserve"> FERC Order No. 676-</w:t>
      </w:r>
      <w:r w:rsidR="009B539F" w:rsidRPr="005370E4">
        <w:rPr>
          <w:rFonts w:ascii="Times New Roman" w:hAnsi="Times New Roman"/>
          <w:sz w:val="16"/>
          <w:szCs w:val="16"/>
          <w:lang w:val="en-US"/>
        </w:rPr>
        <w:t>J</w:t>
      </w:r>
      <w:r w:rsidRPr="005370E4">
        <w:rPr>
          <w:rFonts w:ascii="Times New Roman" w:hAnsi="Times New Roman"/>
          <w:sz w:val="16"/>
          <w:szCs w:val="16"/>
        </w:rPr>
        <w:t xml:space="preserve">, </w:t>
      </w:r>
      <w:r w:rsidRPr="005370E4">
        <w:rPr>
          <w:rFonts w:ascii="Times New Roman" w:hAnsi="Times New Roman"/>
          <w:i/>
          <w:sz w:val="16"/>
          <w:szCs w:val="16"/>
        </w:rPr>
        <w:t>Standards for Business Practices and Communication Protocols for Public Utilities</w:t>
      </w:r>
      <w:r w:rsidRPr="005370E4">
        <w:rPr>
          <w:rFonts w:ascii="Times New Roman" w:hAnsi="Times New Roman"/>
          <w:sz w:val="16"/>
          <w:szCs w:val="16"/>
        </w:rPr>
        <w:t xml:space="preserve">, was issued on </w:t>
      </w:r>
      <w:r w:rsidR="009B539F" w:rsidRPr="005370E4">
        <w:rPr>
          <w:rFonts w:ascii="Times New Roman" w:hAnsi="Times New Roman"/>
          <w:sz w:val="16"/>
          <w:szCs w:val="16"/>
          <w:lang w:val="en-US"/>
        </w:rPr>
        <w:t>May 20, 2021</w:t>
      </w:r>
      <w:r w:rsidRPr="005370E4">
        <w:rPr>
          <w:rFonts w:ascii="Times New Roman" w:hAnsi="Times New Roman"/>
          <w:sz w:val="16"/>
          <w:szCs w:val="16"/>
        </w:rPr>
        <w:t xml:space="preserve"> in Docket No</w:t>
      </w:r>
      <w:r w:rsidR="00AF5CC9" w:rsidRPr="005370E4">
        <w:rPr>
          <w:rFonts w:ascii="Times New Roman" w:hAnsi="Times New Roman"/>
          <w:sz w:val="16"/>
          <w:szCs w:val="16"/>
          <w:lang w:val="en-US"/>
        </w:rPr>
        <w:t>s</w:t>
      </w:r>
      <w:r w:rsidRPr="005370E4">
        <w:rPr>
          <w:rFonts w:ascii="Times New Roman" w:hAnsi="Times New Roman"/>
          <w:sz w:val="16"/>
          <w:szCs w:val="16"/>
        </w:rPr>
        <w:t>. RM05-5-0</w:t>
      </w:r>
      <w:r w:rsidR="009B539F" w:rsidRPr="005370E4">
        <w:rPr>
          <w:rFonts w:ascii="Times New Roman" w:hAnsi="Times New Roman"/>
          <w:sz w:val="16"/>
          <w:szCs w:val="16"/>
          <w:lang w:val="en-US"/>
        </w:rPr>
        <w:t xml:space="preserve">29 and </w:t>
      </w:r>
      <w:r w:rsidR="00AF5CC9" w:rsidRPr="005370E4">
        <w:rPr>
          <w:rFonts w:ascii="Times New Roman" w:hAnsi="Times New Roman"/>
          <w:sz w:val="16"/>
          <w:szCs w:val="16"/>
          <w:lang w:val="en-US"/>
        </w:rPr>
        <w:t>RM05-5-</w:t>
      </w:r>
      <w:r w:rsidR="00B10F57" w:rsidRPr="005370E4">
        <w:rPr>
          <w:rFonts w:ascii="Times New Roman" w:hAnsi="Times New Roman"/>
          <w:sz w:val="16"/>
          <w:szCs w:val="16"/>
          <w:lang w:val="en-US"/>
        </w:rPr>
        <w:t>30.</w:t>
      </w:r>
      <w:r w:rsidR="00AF5CC9" w:rsidRPr="005370E4">
        <w:rPr>
          <w:rFonts w:ascii="Times New Roman" w:hAnsi="Times New Roman"/>
          <w:sz w:val="16"/>
          <w:szCs w:val="16"/>
          <w:lang w:val="en-US"/>
        </w:rPr>
        <w:t xml:space="preserve">  The order</w:t>
      </w:r>
      <w:r w:rsidRPr="005370E4">
        <w:rPr>
          <w:rFonts w:ascii="Times New Roman" w:hAnsi="Times New Roman"/>
          <w:sz w:val="16"/>
          <w:szCs w:val="16"/>
        </w:rPr>
        <w:t xml:space="preserve"> can be accessed at the following link: </w:t>
      </w:r>
      <w:hyperlink r:id="rId1" w:history="1">
        <w:r w:rsidR="005370E4" w:rsidRPr="005370E4">
          <w:rPr>
            <w:rStyle w:val="Hyperlink"/>
            <w:rFonts w:ascii="Times New Roman" w:hAnsi="Times New Roman"/>
            <w:sz w:val="16"/>
            <w:szCs w:val="16"/>
          </w:rPr>
          <w:t>https://www.naesb.org/pdf4/ferc052021_final_rule_order676J.pdf</w:t>
        </w:r>
      </w:hyperlink>
    </w:p>
  </w:footnote>
  <w:footnote w:id="2">
    <w:p w14:paraId="2D9B2DB4" w14:textId="320CDB41" w:rsidR="003E7087" w:rsidRPr="003E381A" w:rsidRDefault="003E7087" w:rsidP="00BA19DA">
      <w:pPr>
        <w:pStyle w:val="PlainText"/>
        <w:jc w:val="both"/>
        <w:rPr>
          <w:rFonts w:eastAsia="Times New Roman" w:cs="Times New Roman"/>
          <w:sz w:val="16"/>
          <w:szCs w:val="16"/>
          <w:lang w:val="x-none" w:eastAsia="x-none"/>
        </w:rPr>
      </w:pP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footnoteRef/>
      </w:r>
      <w:r w:rsidRPr="003E7087">
        <w:rPr>
          <w:rStyle w:val="FootnoteReference"/>
          <w:rFonts w:eastAsia="Times New Roman" w:cs="Times New Roman"/>
          <w:sz w:val="16"/>
          <w:szCs w:val="16"/>
          <w:lang w:val="x-none" w:eastAsia="x-none"/>
        </w:rPr>
        <w:t xml:space="preserve"> </w:t>
      </w:r>
      <w:r w:rsidR="003E381A">
        <w:rPr>
          <w:rFonts w:eastAsia="Times New Roman" w:cs="Times New Roman"/>
          <w:sz w:val="16"/>
          <w:szCs w:val="16"/>
          <w:lang w:eastAsia="x-none"/>
        </w:rPr>
        <w:t xml:space="preserve">The NOPR regarding Version 003.3 of the WEQ Business Practice Standards was issued on </w:t>
      </w:r>
      <w:r w:rsidR="004D1302">
        <w:rPr>
          <w:rFonts w:eastAsia="Times New Roman" w:cs="Times New Roman"/>
          <w:sz w:val="16"/>
          <w:szCs w:val="16"/>
          <w:lang w:eastAsia="x-none"/>
        </w:rPr>
        <w:t>July 16, 2020 in Docket Nos. RM05-5-29 and RM05-5-30.  The NOPR can be accessed at the following link:</w:t>
      </w:r>
      <w:r w:rsidR="000D355F">
        <w:rPr>
          <w:rFonts w:eastAsia="Times New Roman" w:cs="Times New Roman"/>
          <w:sz w:val="16"/>
          <w:szCs w:val="16"/>
          <w:lang w:eastAsia="x-none"/>
        </w:rPr>
        <w:t xml:space="preserve"> </w:t>
      </w:r>
      <w:hyperlink r:id="rId2" w:history="1">
        <w:r w:rsidR="000D355F" w:rsidRPr="00987FB9">
          <w:rPr>
            <w:rStyle w:val="Hyperlink"/>
            <w:rFonts w:eastAsia="Times New Roman" w:cs="Times New Roman"/>
            <w:sz w:val="16"/>
            <w:szCs w:val="16"/>
            <w:lang w:eastAsia="x-none"/>
          </w:rPr>
          <w:t>https://naesb.org/pdf4/ferc071620_nopr_naesb_weq_v003.3_rm05-5-029_rm05-5-030.pdf</w:t>
        </w:r>
      </w:hyperlink>
      <w:r w:rsidR="000D355F">
        <w:rPr>
          <w:rFonts w:eastAsia="Times New Roman" w:cs="Times New Roman"/>
          <w:sz w:val="16"/>
          <w:szCs w:val="16"/>
          <w:lang w:eastAsia="x-non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2984FCE6" w14:textId="14F166DB" w:rsidR="005008DD" w:rsidRDefault="006144B9" w:rsidP="005008DD">
    <w:pPr>
      <w:pStyle w:val="Header"/>
      <w:tabs>
        <w:tab w:val="left" w:pos="7317"/>
      </w:tabs>
      <w:spacing w:before="120"/>
      <w:jc w:val="right"/>
      <w:rPr>
        <w:rFonts w:ascii="Times New Roman" w:hAnsi="Times New Roman"/>
      </w:rPr>
    </w:pPr>
    <w:r w:rsidRPr="0055620A">
      <w:rPr>
        <w:rFonts w:ascii="Times New Roman" w:hAnsi="Times New Roman"/>
      </w:rPr>
      <w:t xml:space="preserve">May </w:t>
    </w:r>
    <w:r w:rsidR="0055620A" w:rsidRPr="0055620A">
      <w:rPr>
        <w:rFonts w:ascii="Times New Roman" w:hAnsi="Times New Roman"/>
      </w:rPr>
      <w:t>21</w:t>
    </w:r>
    <w:r w:rsidRPr="0055620A">
      <w:rPr>
        <w:rFonts w:ascii="Times New Roman" w:hAnsi="Times New Roman"/>
      </w:rPr>
      <w:t>, 2021</w:t>
    </w:r>
  </w:p>
  <w:p w14:paraId="480B33F0" w14:textId="32A797FE" w:rsidR="005008DD" w:rsidRDefault="005008DD" w:rsidP="00893D57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 xml:space="preserve">Page </w:t>
    </w:r>
    <w:r w:rsidR="00893D57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77777777" w:rsidR="00E8339D" w:rsidRPr="004A30D2" w:rsidRDefault="00E8339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3CF6"/>
    <w:rsid w:val="0007437C"/>
    <w:rsid w:val="00080CDE"/>
    <w:rsid w:val="000A3151"/>
    <w:rsid w:val="000A5FDC"/>
    <w:rsid w:val="000B0608"/>
    <w:rsid w:val="000C2E5C"/>
    <w:rsid w:val="000D355F"/>
    <w:rsid w:val="000D5ADC"/>
    <w:rsid w:val="000F4D9F"/>
    <w:rsid w:val="000F7620"/>
    <w:rsid w:val="00100C22"/>
    <w:rsid w:val="00112E85"/>
    <w:rsid w:val="001165C3"/>
    <w:rsid w:val="001261EA"/>
    <w:rsid w:val="00156EA6"/>
    <w:rsid w:val="001733C1"/>
    <w:rsid w:val="0017505B"/>
    <w:rsid w:val="00175B40"/>
    <w:rsid w:val="001865AD"/>
    <w:rsid w:val="00187D33"/>
    <w:rsid w:val="00197859"/>
    <w:rsid w:val="001D0B7C"/>
    <w:rsid w:val="001D2CFF"/>
    <w:rsid w:val="001F77C6"/>
    <w:rsid w:val="0020577F"/>
    <w:rsid w:val="0021379D"/>
    <w:rsid w:val="002157DB"/>
    <w:rsid w:val="00221B70"/>
    <w:rsid w:val="00227668"/>
    <w:rsid w:val="00227CAD"/>
    <w:rsid w:val="00242516"/>
    <w:rsid w:val="00255F7E"/>
    <w:rsid w:val="002573B8"/>
    <w:rsid w:val="0025746C"/>
    <w:rsid w:val="00261912"/>
    <w:rsid w:val="0027652D"/>
    <w:rsid w:val="0029533E"/>
    <w:rsid w:val="00296285"/>
    <w:rsid w:val="00297C3C"/>
    <w:rsid w:val="002A568B"/>
    <w:rsid w:val="002B1B11"/>
    <w:rsid w:val="002E411C"/>
    <w:rsid w:val="002E6BFD"/>
    <w:rsid w:val="002F41EC"/>
    <w:rsid w:val="002F625E"/>
    <w:rsid w:val="00332F23"/>
    <w:rsid w:val="003344B9"/>
    <w:rsid w:val="003415D1"/>
    <w:rsid w:val="00366F38"/>
    <w:rsid w:val="0038164E"/>
    <w:rsid w:val="00383B7D"/>
    <w:rsid w:val="003D0B1E"/>
    <w:rsid w:val="003E381A"/>
    <w:rsid w:val="003E4D41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108CA"/>
    <w:rsid w:val="00452554"/>
    <w:rsid w:val="0045269E"/>
    <w:rsid w:val="00457811"/>
    <w:rsid w:val="00457E28"/>
    <w:rsid w:val="0048137E"/>
    <w:rsid w:val="00486216"/>
    <w:rsid w:val="0048764D"/>
    <w:rsid w:val="004958E2"/>
    <w:rsid w:val="00497C97"/>
    <w:rsid w:val="004A0728"/>
    <w:rsid w:val="004A30D2"/>
    <w:rsid w:val="004A6A8F"/>
    <w:rsid w:val="004B5AAC"/>
    <w:rsid w:val="004C7478"/>
    <w:rsid w:val="004D1302"/>
    <w:rsid w:val="004D3F85"/>
    <w:rsid w:val="004D48CE"/>
    <w:rsid w:val="004D4B31"/>
    <w:rsid w:val="004D662D"/>
    <w:rsid w:val="004D75DE"/>
    <w:rsid w:val="004E1458"/>
    <w:rsid w:val="004F2C88"/>
    <w:rsid w:val="004F49B5"/>
    <w:rsid w:val="005008DD"/>
    <w:rsid w:val="005224C1"/>
    <w:rsid w:val="005370E4"/>
    <w:rsid w:val="005465B4"/>
    <w:rsid w:val="00547A87"/>
    <w:rsid w:val="00554019"/>
    <w:rsid w:val="00555F43"/>
    <w:rsid w:val="0055620A"/>
    <w:rsid w:val="00567F83"/>
    <w:rsid w:val="0057087E"/>
    <w:rsid w:val="0057519E"/>
    <w:rsid w:val="0058614F"/>
    <w:rsid w:val="005A029C"/>
    <w:rsid w:val="005B52A5"/>
    <w:rsid w:val="005B6AA2"/>
    <w:rsid w:val="005C1E1D"/>
    <w:rsid w:val="005D5082"/>
    <w:rsid w:val="005D5929"/>
    <w:rsid w:val="005F3F31"/>
    <w:rsid w:val="005F74CE"/>
    <w:rsid w:val="006069CD"/>
    <w:rsid w:val="006144B9"/>
    <w:rsid w:val="00614ADE"/>
    <w:rsid w:val="00631A9E"/>
    <w:rsid w:val="00633986"/>
    <w:rsid w:val="00654022"/>
    <w:rsid w:val="00654CB5"/>
    <w:rsid w:val="006611BC"/>
    <w:rsid w:val="006624DE"/>
    <w:rsid w:val="00682417"/>
    <w:rsid w:val="00684C3B"/>
    <w:rsid w:val="006874D9"/>
    <w:rsid w:val="006920E5"/>
    <w:rsid w:val="00693973"/>
    <w:rsid w:val="00696360"/>
    <w:rsid w:val="00696B35"/>
    <w:rsid w:val="006B10BF"/>
    <w:rsid w:val="006E6DFE"/>
    <w:rsid w:val="006E6E7C"/>
    <w:rsid w:val="0070225C"/>
    <w:rsid w:val="00716AF5"/>
    <w:rsid w:val="00716F14"/>
    <w:rsid w:val="00717203"/>
    <w:rsid w:val="007201D4"/>
    <w:rsid w:val="00721999"/>
    <w:rsid w:val="00736DCB"/>
    <w:rsid w:val="00774915"/>
    <w:rsid w:val="0078146A"/>
    <w:rsid w:val="00790CD5"/>
    <w:rsid w:val="007917EE"/>
    <w:rsid w:val="00791F65"/>
    <w:rsid w:val="007928EE"/>
    <w:rsid w:val="00792A09"/>
    <w:rsid w:val="0079392B"/>
    <w:rsid w:val="00796EF1"/>
    <w:rsid w:val="007979CF"/>
    <w:rsid w:val="007A247D"/>
    <w:rsid w:val="007A5003"/>
    <w:rsid w:val="007B1C4D"/>
    <w:rsid w:val="007C042D"/>
    <w:rsid w:val="007C5F1E"/>
    <w:rsid w:val="007D16EB"/>
    <w:rsid w:val="007D668E"/>
    <w:rsid w:val="007E3041"/>
    <w:rsid w:val="007F09BA"/>
    <w:rsid w:val="008064ED"/>
    <w:rsid w:val="0081734C"/>
    <w:rsid w:val="00817EB4"/>
    <w:rsid w:val="008220BE"/>
    <w:rsid w:val="00826B86"/>
    <w:rsid w:val="008275AC"/>
    <w:rsid w:val="00827FF4"/>
    <w:rsid w:val="00843319"/>
    <w:rsid w:val="00846931"/>
    <w:rsid w:val="0085167E"/>
    <w:rsid w:val="00853FF1"/>
    <w:rsid w:val="00855F3F"/>
    <w:rsid w:val="00862EF6"/>
    <w:rsid w:val="00880248"/>
    <w:rsid w:val="008854B0"/>
    <w:rsid w:val="00885CAD"/>
    <w:rsid w:val="00891F28"/>
    <w:rsid w:val="00893D57"/>
    <w:rsid w:val="00897E6F"/>
    <w:rsid w:val="008B6B8F"/>
    <w:rsid w:val="008C301A"/>
    <w:rsid w:val="008C3A89"/>
    <w:rsid w:val="008D4625"/>
    <w:rsid w:val="008E0405"/>
    <w:rsid w:val="008E0BF4"/>
    <w:rsid w:val="008F2088"/>
    <w:rsid w:val="00902241"/>
    <w:rsid w:val="00906815"/>
    <w:rsid w:val="0092049C"/>
    <w:rsid w:val="00926E8D"/>
    <w:rsid w:val="00930C22"/>
    <w:rsid w:val="00943F9D"/>
    <w:rsid w:val="00947345"/>
    <w:rsid w:val="00956F81"/>
    <w:rsid w:val="00970B6F"/>
    <w:rsid w:val="00975654"/>
    <w:rsid w:val="009805E8"/>
    <w:rsid w:val="00985BE1"/>
    <w:rsid w:val="009945CC"/>
    <w:rsid w:val="009B06BA"/>
    <w:rsid w:val="009B465C"/>
    <w:rsid w:val="009B539F"/>
    <w:rsid w:val="009B6B83"/>
    <w:rsid w:val="009D08B5"/>
    <w:rsid w:val="009D26DA"/>
    <w:rsid w:val="009E3532"/>
    <w:rsid w:val="009E3707"/>
    <w:rsid w:val="00A01723"/>
    <w:rsid w:val="00A14400"/>
    <w:rsid w:val="00A20C06"/>
    <w:rsid w:val="00A25B22"/>
    <w:rsid w:val="00A40468"/>
    <w:rsid w:val="00A44386"/>
    <w:rsid w:val="00A527B0"/>
    <w:rsid w:val="00A67250"/>
    <w:rsid w:val="00A7545F"/>
    <w:rsid w:val="00A7655C"/>
    <w:rsid w:val="00A96E07"/>
    <w:rsid w:val="00AB6568"/>
    <w:rsid w:val="00AE0668"/>
    <w:rsid w:val="00AF3FFC"/>
    <w:rsid w:val="00AF5CC9"/>
    <w:rsid w:val="00B10F57"/>
    <w:rsid w:val="00B13DCB"/>
    <w:rsid w:val="00B150B7"/>
    <w:rsid w:val="00B23536"/>
    <w:rsid w:val="00B2531D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A73E8"/>
    <w:rsid w:val="00BB2147"/>
    <w:rsid w:val="00BC222D"/>
    <w:rsid w:val="00BC7245"/>
    <w:rsid w:val="00BD49EB"/>
    <w:rsid w:val="00BE10D4"/>
    <w:rsid w:val="00BE423A"/>
    <w:rsid w:val="00C339EB"/>
    <w:rsid w:val="00C36294"/>
    <w:rsid w:val="00C54B01"/>
    <w:rsid w:val="00C57F81"/>
    <w:rsid w:val="00C81536"/>
    <w:rsid w:val="00C81687"/>
    <w:rsid w:val="00C90346"/>
    <w:rsid w:val="00C97F76"/>
    <w:rsid w:val="00CA44C7"/>
    <w:rsid w:val="00CC41DC"/>
    <w:rsid w:val="00CD1DC9"/>
    <w:rsid w:val="00CD2068"/>
    <w:rsid w:val="00CE3AB9"/>
    <w:rsid w:val="00CF427A"/>
    <w:rsid w:val="00CF7DC7"/>
    <w:rsid w:val="00D00496"/>
    <w:rsid w:val="00D05971"/>
    <w:rsid w:val="00D1011F"/>
    <w:rsid w:val="00D118AA"/>
    <w:rsid w:val="00D1296D"/>
    <w:rsid w:val="00D132E8"/>
    <w:rsid w:val="00D14773"/>
    <w:rsid w:val="00D22B48"/>
    <w:rsid w:val="00D27F51"/>
    <w:rsid w:val="00D308BB"/>
    <w:rsid w:val="00D31B5D"/>
    <w:rsid w:val="00D47856"/>
    <w:rsid w:val="00D51207"/>
    <w:rsid w:val="00D51C48"/>
    <w:rsid w:val="00D55AE5"/>
    <w:rsid w:val="00D76AC4"/>
    <w:rsid w:val="00D80B57"/>
    <w:rsid w:val="00D907E5"/>
    <w:rsid w:val="00DA565E"/>
    <w:rsid w:val="00DB06B1"/>
    <w:rsid w:val="00DB142D"/>
    <w:rsid w:val="00DB39A9"/>
    <w:rsid w:val="00DB6379"/>
    <w:rsid w:val="00DC2E94"/>
    <w:rsid w:val="00DC4C73"/>
    <w:rsid w:val="00DE508C"/>
    <w:rsid w:val="00DF0513"/>
    <w:rsid w:val="00E06F9A"/>
    <w:rsid w:val="00E07B62"/>
    <w:rsid w:val="00E10655"/>
    <w:rsid w:val="00E16A10"/>
    <w:rsid w:val="00E24D96"/>
    <w:rsid w:val="00E255C7"/>
    <w:rsid w:val="00E257C7"/>
    <w:rsid w:val="00E26FA3"/>
    <w:rsid w:val="00E34CAE"/>
    <w:rsid w:val="00E61867"/>
    <w:rsid w:val="00E62141"/>
    <w:rsid w:val="00E67F82"/>
    <w:rsid w:val="00E71B57"/>
    <w:rsid w:val="00E80DA4"/>
    <w:rsid w:val="00E8231A"/>
    <w:rsid w:val="00E8339D"/>
    <w:rsid w:val="00E85888"/>
    <w:rsid w:val="00E860DD"/>
    <w:rsid w:val="00EA3D86"/>
    <w:rsid w:val="00EC2668"/>
    <w:rsid w:val="00ED31E3"/>
    <w:rsid w:val="00ED65FC"/>
    <w:rsid w:val="00F00A3F"/>
    <w:rsid w:val="00F02CD4"/>
    <w:rsid w:val="00F42BB2"/>
    <w:rsid w:val="00F43777"/>
    <w:rsid w:val="00F47B4E"/>
    <w:rsid w:val="00F51A81"/>
    <w:rsid w:val="00F5303F"/>
    <w:rsid w:val="00F558B2"/>
    <w:rsid w:val="00F7093E"/>
    <w:rsid w:val="00F74F93"/>
    <w:rsid w:val="00F8633F"/>
    <w:rsid w:val="00FA0504"/>
    <w:rsid w:val="00FA42E5"/>
    <w:rsid w:val="00FB00B8"/>
    <w:rsid w:val="00FB2844"/>
    <w:rsid w:val="00FB299D"/>
    <w:rsid w:val="00FB43F3"/>
    <w:rsid w:val="00FB687A"/>
    <w:rsid w:val="00FC2C61"/>
    <w:rsid w:val="00FD6C94"/>
    <w:rsid w:val="00FE1234"/>
    <w:rsid w:val="00FE21BE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esb.org/pdf4/ferc071620_nopr_naesb_weq_v003.3_rm05-5-029_rm05-5-030.pdf" TargetMode="External"/><Relationship Id="rId1" Type="http://schemas.openxmlformats.org/officeDocument/2006/relationships/hyperlink" Target="https://www.naesb.org/pdf4/ferc052021_final_rule_order676J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FA51-1EC1-4CE1-85A0-41E01707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5140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e.e. mallett</cp:lastModifiedBy>
  <cp:revision>2</cp:revision>
  <cp:lastPrinted>2013-08-02T20:53:00Z</cp:lastPrinted>
  <dcterms:created xsi:type="dcterms:W3CDTF">2021-06-15T13:11:00Z</dcterms:created>
  <dcterms:modified xsi:type="dcterms:W3CDTF">2021-06-15T13:11:00Z</dcterms:modified>
</cp:coreProperties>
</file>