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431" w14:textId="7FFAAB07" w:rsidR="00AD2480" w:rsidRPr="005D1B94" w:rsidRDefault="000861B7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June 2</w:t>
      </w:r>
      <w:r w:rsidR="000535F1">
        <w:rPr>
          <w:rFonts w:ascii="Times New Roman" w:hAnsi="Times New Roman" w:cs="Times New Roman"/>
          <w:b w:val="0"/>
        </w:rPr>
        <w:t>, 2025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3D750C7D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D95963">
        <w:rPr>
          <w:bCs/>
        </w:rPr>
        <w:t>Caroline Trum, Director of Wholesale Electric Activities</w:t>
      </w:r>
    </w:p>
    <w:p w14:paraId="01F79964" w14:textId="0FADAEA8" w:rsidR="00D33D41" w:rsidRPr="00E52B58" w:rsidRDefault="00AD2480" w:rsidP="00712692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514707">
        <w:rPr>
          <w:b/>
          <w:bCs/>
        </w:rPr>
        <w:t>WEQ Coordination Activities with NERC</w:t>
      </w:r>
    </w:p>
    <w:p w14:paraId="19A4E0AC" w14:textId="23FB4037" w:rsidR="003E7609" w:rsidRDefault="005D6ADF" w:rsidP="00ED5469">
      <w:pPr>
        <w:spacing w:before="120" w:after="60"/>
        <w:jc w:val="both"/>
      </w:pPr>
      <w:r>
        <w:t xml:space="preserve">Over the past two decades, coordination efforts between NAESB and NERC have helped to ensure the complementary nature of the WEQ Business Practice Standards and NERC Reliability Standards.  </w:t>
      </w:r>
      <w:r w:rsidR="003E7609">
        <w:t xml:space="preserve">Currently, there are several </w:t>
      </w:r>
      <w:r w:rsidR="003E7609">
        <w:t>activities and standards development</w:t>
      </w:r>
      <w:r w:rsidR="003E7609">
        <w:t xml:space="preserve"> efforts underway that are being coordinated to support consistency for the wholesale electric industry in areas with </w:t>
      </w:r>
      <w:r>
        <w:t>overlapping commercial and reliability considerations</w:t>
      </w:r>
      <w:r w:rsidR="003E7609">
        <w:t xml:space="preserve">, including </w:t>
      </w:r>
      <w:r w:rsidR="003E7609">
        <w:t>distributed energy resources (DERs) and inverter-based resources (IBRs)</w:t>
      </w:r>
      <w:r w:rsidR="003E7609">
        <w:t xml:space="preserve"> and </w:t>
      </w:r>
      <w:r w:rsidR="004B0854">
        <w:t>congestion management practices.</w:t>
      </w:r>
    </w:p>
    <w:p w14:paraId="0B19730E" w14:textId="52508516" w:rsidR="00A66353" w:rsidRDefault="004B0854" w:rsidP="00ED5469">
      <w:pPr>
        <w:spacing w:before="120" w:after="60"/>
        <w:jc w:val="both"/>
      </w:pPr>
      <w:r>
        <w:t xml:space="preserve">In April, the WEQ, jointly with the RMQ, initiated an effort to consider and develop business practices to support the integration of DER/DER aggregation registries by industry.  As part of the initial and subsequent meeting, participants identified as a potential resource for standards development documentation developed by </w:t>
      </w:r>
      <w:r w:rsidR="00A66353">
        <w:t xml:space="preserve">the </w:t>
      </w:r>
      <w:r>
        <w:t>NERC</w:t>
      </w:r>
      <w:r w:rsidR="00A66353">
        <w:t xml:space="preserve"> </w:t>
      </w:r>
      <w:r w:rsidR="00A66353">
        <w:rPr>
          <w:bCs/>
        </w:rPr>
        <w:t>System Planning Impacts from Distributed Energy Resources Working Group</w:t>
      </w:r>
      <w:r w:rsidR="00A66353">
        <w:rPr>
          <w:bCs/>
        </w:rPr>
        <w:t xml:space="preserve">.  Specifically, participants noted the </w:t>
      </w:r>
      <w:r w:rsidR="00A66353">
        <w:rPr>
          <w:bCs/>
        </w:rPr>
        <w:t>Reducing DER Variability and Uncertainty Impacts on the Bulk Power System White Paper</w:t>
      </w:r>
      <w:r w:rsidR="00A66353">
        <w:rPr>
          <w:bCs/>
        </w:rPr>
        <w:t xml:space="preserve"> which </w:t>
      </w:r>
      <w:r w:rsidR="00A66353">
        <w:rPr>
          <w:bCs/>
        </w:rPr>
        <w:t>identifies key principles to support information gathering and methods to improve DER data collection, storage, and sharing practices among relevant parties</w:t>
      </w:r>
      <w:r w:rsidR="00A66353">
        <w:rPr>
          <w:bCs/>
        </w:rPr>
        <w:t>.</w:t>
      </w:r>
      <w:r w:rsidR="00A66353">
        <w:t xml:space="preserve">  </w:t>
      </w:r>
      <w:r>
        <w:t xml:space="preserve">NERC staff participated in the kick-off meeting, and </w:t>
      </w:r>
      <w:r w:rsidR="00A66353">
        <w:t>NAESB will continue to keep NERC informed as the subcommittees work to define a scope for standards development.</w:t>
      </w:r>
    </w:p>
    <w:p w14:paraId="6D5FCA64" w14:textId="3610495A" w:rsidR="00AC6FD4" w:rsidRDefault="00A66353" w:rsidP="00ED5469">
      <w:pPr>
        <w:spacing w:before="120" w:after="60"/>
        <w:jc w:val="both"/>
      </w:pPr>
      <w:r>
        <w:t xml:space="preserve">Related to DERs and IBRs, NERC has initiated several reliability standard development projects to address </w:t>
      </w:r>
      <w:r w:rsidR="00AC6FD4">
        <w:t xml:space="preserve">Commission directives in FERC Order No. 901 </w:t>
      </w:r>
      <w:r w:rsidR="00AC6FD4" w:rsidRPr="00BE219C">
        <w:rPr>
          <w:i/>
          <w:iCs/>
        </w:rPr>
        <w:t>Reliability Standards to Address Inverter-Based Resources</w:t>
      </w:r>
      <w:r w:rsidR="00736EBC">
        <w:t xml:space="preserve">.  The WEQ Standards Review Subcommittee (SRS) is monitoring these efforts as part of its </w:t>
      </w:r>
      <w:r>
        <w:t xml:space="preserve">broader </w:t>
      </w:r>
      <w:r w:rsidR="00736EBC">
        <w:t>work to review NERC reliability standard projects and identify possible areas of coordination.</w:t>
      </w:r>
      <w:r>
        <w:t xml:space="preserve">  The subcommittee </w:t>
      </w:r>
      <w:r w:rsidR="0012232C">
        <w:t xml:space="preserve">held its most recent meeting on May 13.  As part of the meeting, participants discussed the status of DER and IBR related efforts as well as other </w:t>
      </w:r>
      <w:r w:rsidR="00923BC6">
        <w:t>NERC</w:t>
      </w:r>
      <w:r w:rsidR="0012232C">
        <w:t xml:space="preserve"> projects</w:t>
      </w:r>
      <w:r w:rsidR="0012232C">
        <w:t xml:space="preserve"> previously identified by participants for evaluation</w:t>
      </w:r>
      <w:r w:rsidR="00923BC6">
        <w:t xml:space="preserve">, including those that related to cybersecurity and cold weather preparedness. </w:t>
      </w:r>
    </w:p>
    <w:p w14:paraId="57C4621C" w14:textId="3A854BD3" w:rsidR="00923BC6" w:rsidRDefault="00923BC6" w:rsidP="00923BC6">
      <w:pPr>
        <w:spacing w:before="120" w:after="60"/>
        <w:jc w:val="both"/>
      </w:pPr>
      <w:r>
        <w:t xml:space="preserve">Regarding congestion management, the WEQ continues with efforts to develop new business practice standards to support an interconnection-wide congestion management process for the Western Interconnection.  </w:t>
      </w:r>
      <w:r>
        <w:t>The W</w:t>
      </w:r>
      <w:r w:rsidRPr="00557CEB">
        <w:t>estern Electricity Coordinating Council (WECC)</w:t>
      </w:r>
      <w:r>
        <w:t xml:space="preserve"> </w:t>
      </w:r>
      <w:r>
        <w:t>has representatives</w:t>
      </w:r>
      <w:r>
        <w:t xml:space="preserve"> participating in the standards development activities, and NAESB is keeping NERC </w:t>
      </w:r>
      <w:r w:rsidR="001D5CFD">
        <w:t xml:space="preserve">staff </w:t>
      </w:r>
      <w:r>
        <w:t xml:space="preserve">informed </w:t>
      </w:r>
      <w:r w:rsidR="001D5CFD">
        <w:t>on</w:t>
      </w:r>
      <w:r>
        <w:t xml:space="preserve"> the effort’s progress, including a planned informal comment period once an initial draft is complete</w:t>
      </w:r>
      <w:r w:rsidR="001D5CFD">
        <w:t>d</w:t>
      </w:r>
      <w:r>
        <w:t>.  As discussed by the participants, there is no anticipated impact</w:t>
      </w:r>
      <w:r w:rsidR="001D5CFD">
        <w:t xml:space="preserve"> from the new standards</w:t>
      </w:r>
      <w:r>
        <w:t xml:space="preserve"> to </w:t>
      </w:r>
      <w:r w:rsidR="001D5CFD">
        <w:t xml:space="preserve">the </w:t>
      </w:r>
      <w:r>
        <w:t>existing NERC Reliability Standards</w:t>
      </w:r>
      <w:r w:rsidR="001D5CFD">
        <w:t>, including those th</w:t>
      </w:r>
      <w:r>
        <w:t xml:space="preserve">at establish the Western Interconnection’s </w:t>
      </w:r>
      <w:r w:rsidRPr="00736EBC">
        <w:t>Unscheduled Flow Mitigation Plan (UFMP)</w:t>
      </w:r>
      <w:r>
        <w:t xml:space="preserve"> </w:t>
      </w:r>
      <w:r w:rsidR="001D5CFD">
        <w:t xml:space="preserve">for </w:t>
      </w:r>
      <w:r>
        <w:t xml:space="preserve">congestion management, and the intent is for any developed business practices to be used in addition to these and other existing </w:t>
      </w:r>
      <w:r w:rsidR="001D5CFD">
        <w:t>industry procedures.</w:t>
      </w:r>
    </w:p>
    <w:p w14:paraId="5CE44B59" w14:textId="3EDD29A2" w:rsidR="00965DC0" w:rsidRPr="00635D85" w:rsidRDefault="00965DC0" w:rsidP="00ED5469">
      <w:pPr>
        <w:spacing w:before="120" w:after="60"/>
        <w:jc w:val="both"/>
      </w:pPr>
    </w:p>
    <w:sectPr w:rsidR="00965DC0" w:rsidRPr="00635D85" w:rsidSect="00EB43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41B6" w14:textId="77777777" w:rsidR="00470ED9" w:rsidRDefault="00470ED9">
      <w:r>
        <w:separator/>
      </w:r>
    </w:p>
  </w:endnote>
  <w:endnote w:type="continuationSeparator" w:id="0">
    <w:p w14:paraId="5B0B002F" w14:textId="77777777" w:rsidR="00470ED9" w:rsidRDefault="0047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DC9B" w14:textId="2BEE3049" w:rsidR="004D4805" w:rsidRPr="00176FB9" w:rsidRDefault="0051540E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NERC Coordination Activities</w:t>
    </w:r>
    <w:r w:rsidR="004D4805">
      <w:rPr>
        <w:sz w:val="18"/>
        <w:szCs w:val="18"/>
      </w:rPr>
      <w:t xml:space="preserve"> </w:t>
    </w:r>
    <w:r w:rsidR="00ED5AB7">
      <w:rPr>
        <w:sz w:val="18"/>
        <w:szCs w:val="18"/>
      </w:rPr>
      <w:t>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315CC" w14:textId="77777777" w:rsidR="00470ED9" w:rsidRDefault="00470ED9">
      <w:r>
        <w:separator/>
      </w:r>
    </w:p>
  </w:footnote>
  <w:footnote w:type="continuationSeparator" w:id="0">
    <w:p w14:paraId="1D8039A2" w14:textId="77777777" w:rsidR="00470ED9" w:rsidRDefault="0047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224458">
    <w:abstractNumId w:val="13"/>
  </w:num>
  <w:num w:numId="2" w16cid:durableId="1382748137">
    <w:abstractNumId w:val="5"/>
  </w:num>
  <w:num w:numId="3" w16cid:durableId="392630661">
    <w:abstractNumId w:val="8"/>
  </w:num>
  <w:num w:numId="4" w16cid:durableId="1026372022">
    <w:abstractNumId w:val="12"/>
  </w:num>
  <w:num w:numId="5" w16cid:durableId="2127039050">
    <w:abstractNumId w:val="1"/>
  </w:num>
  <w:num w:numId="6" w16cid:durableId="175659979">
    <w:abstractNumId w:val="10"/>
  </w:num>
  <w:num w:numId="7" w16cid:durableId="878400600">
    <w:abstractNumId w:val="0"/>
  </w:num>
  <w:num w:numId="8" w16cid:durableId="1478494128">
    <w:abstractNumId w:val="2"/>
  </w:num>
  <w:num w:numId="9" w16cid:durableId="1173304727">
    <w:abstractNumId w:val="3"/>
  </w:num>
  <w:num w:numId="10" w16cid:durableId="1542740035">
    <w:abstractNumId w:val="9"/>
  </w:num>
  <w:num w:numId="11" w16cid:durableId="1022391063">
    <w:abstractNumId w:val="4"/>
  </w:num>
  <w:num w:numId="12" w16cid:durableId="226838767">
    <w:abstractNumId w:val="7"/>
  </w:num>
  <w:num w:numId="13" w16cid:durableId="1393428084">
    <w:abstractNumId w:val="6"/>
  </w:num>
  <w:num w:numId="14" w16cid:durableId="2009285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0B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4E2D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9DA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5F1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06E"/>
    <w:rsid w:val="0008366C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1B7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777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6A8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5BE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32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162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3ED1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844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3CD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8CA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5CFD"/>
    <w:rsid w:val="001D6350"/>
    <w:rsid w:val="001D72BE"/>
    <w:rsid w:val="001D74A6"/>
    <w:rsid w:val="001D79FA"/>
    <w:rsid w:val="001E03D0"/>
    <w:rsid w:val="001E053B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E93"/>
    <w:rsid w:val="00231171"/>
    <w:rsid w:val="00231490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920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61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D18"/>
    <w:rsid w:val="00311F03"/>
    <w:rsid w:val="00311FE9"/>
    <w:rsid w:val="003122DE"/>
    <w:rsid w:val="00312C9B"/>
    <w:rsid w:val="00312D95"/>
    <w:rsid w:val="00312EE4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C74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3FC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5D4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1996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8D5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09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17CAD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0ED9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30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0854"/>
    <w:rsid w:val="004B1049"/>
    <w:rsid w:val="004B1CFC"/>
    <w:rsid w:val="004B2349"/>
    <w:rsid w:val="004B23B4"/>
    <w:rsid w:val="004B27DF"/>
    <w:rsid w:val="004B3345"/>
    <w:rsid w:val="004B4122"/>
    <w:rsid w:val="004B475A"/>
    <w:rsid w:val="004B48BB"/>
    <w:rsid w:val="004B4CA1"/>
    <w:rsid w:val="004B4D64"/>
    <w:rsid w:val="004B4FB5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ED8"/>
    <w:rsid w:val="00517C26"/>
    <w:rsid w:val="005207BF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78"/>
    <w:rsid w:val="00547B71"/>
    <w:rsid w:val="00550076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1A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CEB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26A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31AF"/>
    <w:rsid w:val="005B35F1"/>
    <w:rsid w:val="005B3B2D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0C18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ADF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18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3F60"/>
    <w:rsid w:val="005F42BC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3E3E"/>
    <w:rsid w:val="00614629"/>
    <w:rsid w:val="006148A1"/>
    <w:rsid w:val="00614A00"/>
    <w:rsid w:val="00614D55"/>
    <w:rsid w:val="00614DF3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001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BFA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6B81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362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6B12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2AB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522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DCD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3B5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3DD"/>
    <w:rsid w:val="00712692"/>
    <w:rsid w:val="00712D85"/>
    <w:rsid w:val="00712EA4"/>
    <w:rsid w:val="007130B6"/>
    <w:rsid w:val="0071323D"/>
    <w:rsid w:val="00713645"/>
    <w:rsid w:val="00713D01"/>
    <w:rsid w:val="00713F61"/>
    <w:rsid w:val="007141B7"/>
    <w:rsid w:val="00714757"/>
    <w:rsid w:val="00714C31"/>
    <w:rsid w:val="00714D7C"/>
    <w:rsid w:val="0071519A"/>
    <w:rsid w:val="007151CE"/>
    <w:rsid w:val="00715495"/>
    <w:rsid w:val="007157DF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D28"/>
    <w:rsid w:val="00735F9A"/>
    <w:rsid w:val="0073650A"/>
    <w:rsid w:val="00736C8C"/>
    <w:rsid w:val="00736EBC"/>
    <w:rsid w:val="00737620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6E1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15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13D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AE9"/>
    <w:rsid w:val="00797BC5"/>
    <w:rsid w:val="007A02A7"/>
    <w:rsid w:val="007A249B"/>
    <w:rsid w:val="007A25AC"/>
    <w:rsid w:val="007A2BAE"/>
    <w:rsid w:val="007A2BBA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3E35"/>
    <w:rsid w:val="007B460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09F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40A8"/>
    <w:rsid w:val="007E5891"/>
    <w:rsid w:val="007E6493"/>
    <w:rsid w:val="007E658C"/>
    <w:rsid w:val="007E6790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6CF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1D35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4C0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865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4E"/>
    <w:rsid w:val="00896975"/>
    <w:rsid w:val="00896CAE"/>
    <w:rsid w:val="00896FB7"/>
    <w:rsid w:val="008977AF"/>
    <w:rsid w:val="0089785A"/>
    <w:rsid w:val="00897A81"/>
    <w:rsid w:val="00897BAD"/>
    <w:rsid w:val="008A0B7D"/>
    <w:rsid w:val="008A14E4"/>
    <w:rsid w:val="008A1D0D"/>
    <w:rsid w:val="008A1F8C"/>
    <w:rsid w:val="008A23EA"/>
    <w:rsid w:val="008A2C10"/>
    <w:rsid w:val="008A33CF"/>
    <w:rsid w:val="008A3C60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1840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384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0F6"/>
    <w:rsid w:val="009231D5"/>
    <w:rsid w:val="00923BC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1ED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DC0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358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0C1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155F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1AB8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B48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4225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E5F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23FD"/>
    <w:rsid w:val="00A625A2"/>
    <w:rsid w:val="00A629BF"/>
    <w:rsid w:val="00A62CBF"/>
    <w:rsid w:val="00A63E70"/>
    <w:rsid w:val="00A64617"/>
    <w:rsid w:val="00A65578"/>
    <w:rsid w:val="00A65BA5"/>
    <w:rsid w:val="00A661A8"/>
    <w:rsid w:val="00A66353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66F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6FD4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3E13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2D9"/>
    <w:rsid w:val="00AF0696"/>
    <w:rsid w:val="00AF0967"/>
    <w:rsid w:val="00AF0C2F"/>
    <w:rsid w:val="00AF175C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099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6E9"/>
    <w:rsid w:val="00B06A9B"/>
    <w:rsid w:val="00B06AA7"/>
    <w:rsid w:val="00B06D0C"/>
    <w:rsid w:val="00B07965"/>
    <w:rsid w:val="00B07B94"/>
    <w:rsid w:val="00B07EB7"/>
    <w:rsid w:val="00B103DA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43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69A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1B4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86E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99F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B46"/>
    <w:rsid w:val="00BF1CF1"/>
    <w:rsid w:val="00BF1D6A"/>
    <w:rsid w:val="00BF1FB9"/>
    <w:rsid w:val="00BF223E"/>
    <w:rsid w:val="00BF2260"/>
    <w:rsid w:val="00BF294E"/>
    <w:rsid w:val="00BF2E9C"/>
    <w:rsid w:val="00BF35F6"/>
    <w:rsid w:val="00BF384B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0E0D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67FCD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BBF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C07ED"/>
    <w:rsid w:val="00CC098D"/>
    <w:rsid w:val="00CC1724"/>
    <w:rsid w:val="00CC1A0E"/>
    <w:rsid w:val="00CC1B2A"/>
    <w:rsid w:val="00CC1BF1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3B1"/>
    <w:rsid w:val="00D0359B"/>
    <w:rsid w:val="00D04669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251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730"/>
    <w:rsid w:val="00D8496C"/>
    <w:rsid w:val="00D84A4A"/>
    <w:rsid w:val="00D84AFE"/>
    <w:rsid w:val="00D84C40"/>
    <w:rsid w:val="00D8557C"/>
    <w:rsid w:val="00D85F79"/>
    <w:rsid w:val="00D8669E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5963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3FC3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2536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89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559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5E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251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4A3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400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3FF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01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69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5C7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78B"/>
    <w:rsid w:val="00F83C0F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008"/>
    <w:rsid w:val="00F9573E"/>
    <w:rsid w:val="00F95B78"/>
    <w:rsid w:val="00F97987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0A8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289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  <w:style w:type="character" w:styleId="CommentReference">
    <w:name w:val="annotation reference"/>
    <w:basedOn w:val="DefaultParagraphFont"/>
    <w:uiPriority w:val="99"/>
    <w:semiHidden/>
    <w:unhideWhenUsed/>
    <w:rsid w:val="0058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26A"/>
    <w:rPr>
      <w:b/>
      <w:bCs/>
    </w:rPr>
  </w:style>
  <w:style w:type="paragraph" w:styleId="Revision">
    <w:name w:val="Revision"/>
    <w:hidden/>
    <w:uiPriority w:val="99"/>
    <w:semiHidden/>
    <w:rsid w:val="002C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4</cp:revision>
  <cp:lastPrinted>2015-09-24T15:30:00Z</cp:lastPrinted>
  <dcterms:created xsi:type="dcterms:W3CDTF">2025-06-02T16:55:00Z</dcterms:created>
  <dcterms:modified xsi:type="dcterms:W3CDTF">2025-06-02T18:43:00Z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