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9A66" w14:textId="240FD4DF" w:rsidR="00AD2480" w:rsidRPr="005D1B94" w:rsidRDefault="00A93718" w:rsidP="001869FE">
      <w:pPr>
        <w:pStyle w:val="Heading5"/>
        <w:tabs>
          <w:tab w:val="left" w:pos="900"/>
        </w:tabs>
        <w:spacing w:before="0"/>
        <w:ind w:left="5760" w:firstLine="720"/>
        <w:jc w:val="right"/>
      </w:pPr>
      <w:r>
        <w:rPr>
          <w:rFonts w:ascii="Times New Roman" w:hAnsi="Times New Roman" w:cs="Times New Roman"/>
          <w:b w:val="0"/>
        </w:rPr>
        <w:t>April 15</w:t>
      </w:r>
      <w:r w:rsidR="00E024D0">
        <w:rPr>
          <w:rFonts w:ascii="Times New Roman" w:hAnsi="Times New Roman" w:cs="Times New Roman"/>
          <w:b w:val="0"/>
        </w:rPr>
        <w:t>, 2026</w:t>
      </w:r>
    </w:p>
    <w:p w14:paraId="2ACA29A7" w14:textId="26D3EFDF"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1869FE">
        <w:rPr>
          <w:bCs/>
        </w:rPr>
        <w:t xml:space="preserve">Caroline Trum, Director of Wholesale Electric Activities </w:t>
      </w:r>
      <w:r w:rsidR="006F5B4A">
        <w:rPr>
          <w:bCs/>
        </w:rPr>
        <w:t xml:space="preserve"> </w:t>
      </w:r>
    </w:p>
    <w:p w14:paraId="371C5A80" w14:textId="56D1B5F0"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6126AA">
        <w:rPr>
          <w:b/>
          <w:bCs/>
        </w:rPr>
        <w:t>/RMQ</w:t>
      </w:r>
      <w:r w:rsidR="00767B83">
        <w:rPr>
          <w:b/>
          <w:bCs/>
        </w:rPr>
        <w:t xml:space="preserve"> B</w:t>
      </w:r>
      <w:r w:rsidR="00130085">
        <w:rPr>
          <w:b/>
          <w:bCs/>
        </w:rPr>
        <w:t xml:space="preserve">usiness </w:t>
      </w:r>
      <w:r w:rsidR="00767B83">
        <w:rPr>
          <w:b/>
          <w:bCs/>
        </w:rPr>
        <w:t>P</w:t>
      </w:r>
      <w:r w:rsidR="00130085">
        <w:rPr>
          <w:b/>
          <w:bCs/>
        </w:rPr>
        <w:t xml:space="preserve">ractices </w:t>
      </w:r>
      <w:r w:rsidR="00767B83">
        <w:rPr>
          <w:b/>
          <w:bCs/>
        </w:rPr>
        <w:t>S</w:t>
      </w:r>
      <w:r w:rsidR="00130085">
        <w:rPr>
          <w:b/>
          <w:bCs/>
        </w:rPr>
        <w:t xml:space="preserve">ubcommittees: </w:t>
      </w:r>
      <w:r w:rsidR="00383532">
        <w:rPr>
          <w:b/>
          <w:bCs/>
        </w:rPr>
        <w:t xml:space="preserve">Distributed Energy Resources </w:t>
      </w:r>
      <w:r w:rsidR="00E024D0">
        <w:rPr>
          <w:b/>
          <w:bCs/>
        </w:rPr>
        <w:t>(DER)</w:t>
      </w:r>
    </w:p>
    <w:p w14:paraId="5465E555" w14:textId="1C6EE87B" w:rsidR="00A93718" w:rsidRDefault="00A93718" w:rsidP="00E024D0">
      <w:pPr>
        <w:spacing w:before="120" w:after="60"/>
        <w:jc w:val="both"/>
      </w:pPr>
      <w:r>
        <w:t xml:space="preserve">On March 10, 2026, an informal comment period concluded on the WEQ and RMQ </w:t>
      </w:r>
      <w:r w:rsidR="00E024D0">
        <w:t>Business Practices Subcommittees</w:t>
      </w:r>
      <w:r>
        <w:t>’</w:t>
      </w:r>
      <w:r w:rsidR="00E024D0">
        <w:t xml:space="preserve"> (BPS) </w:t>
      </w:r>
      <w:r>
        <w:t xml:space="preserve">two-part proposal </w:t>
      </w:r>
      <w:r w:rsidRPr="00A93718">
        <w:t>for the creation of a DER Entity Registry and development of NAESB Business Practice Standards to support interoperability between DER registries and other data tools</w:t>
      </w:r>
      <w:r>
        <w:t>.  The proposal was developed by the subcommittees as part of their joint effort to consider the development of s</w:t>
      </w:r>
      <w:r w:rsidR="00E024D0">
        <w:t xml:space="preserve">tandards to help facilitate industry use of registries to share distributed energy resource (DER) and aggregation data.  </w:t>
      </w:r>
      <w:r>
        <w:t>The subcommittees held meetings on March 13, 2026 and April 9, 2026 to review the fourteen sets of comments received and discuss the responses.</w:t>
      </w:r>
    </w:p>
    <w:p w14:paraId="6C1CD0AE" w14:textId="21943E97" w:rsidR="006A121A" w:rsidRDefault="007B6BC7" w:rsidP="00E024D0">
      <w:pPr>
        <w:spacing w:before="120" w:after="60"/>
        <w:jc w:val="both"/>
      </w:pPr>
      <w:r>
        <w:t xml:space="preserve">As described in the concept paper developed by the subcommittees, the intent of the two-part proposal is to </w:t>
      </w:r>
      <w:r w:rsidRPr="007B6BC7">
        <w:t>establish industry mechanisms and supporting NAESB Business Practice Standards that can promote broader cross-market coordination and better facilitate access to the DER and aggregation information that may enhance visibility of these resources, increase situational awareness, and assist in industry implementation of state and federal regulatory requirements</w:t>
      </w:r>
      <w:r>
        <w:t xml:space="preserve">.  </w:t>
      </w:r>
      <w:r w:rsidR="0064097F">
        <w:t xml:space="preserve">The </w:t>
      </w:r>
      <w:r w:rsidR="00420E0C">
        <w:t xml:space="preserve">WEQ and RMQ BPS determined that this proposal would best accommodate existing structures </w:t>
      </w:r>
      <w:r w:rsidR="0064097F">
        <w:t>and address</w:t>
      </w:r>
      <w:r w:rsidR="00420E0C">
        <w:t xml:space="preserve"> some of </w:t>
      </w:r>
      <w:r w:rsidR="0064097F" w:rsidRPr="0064097F">
        <w:t>coordination challenges and information availability gaps</w:t>
      </w:r>
      <w:r w:rsidR="0064097F" w:rsidRPr="0064097F">
        <w:t xml:space="preserve"> </w:t>
      </w:r>
      <w:r w:rsidR="0064097F">
        <w:t xml:space="preserve">identified by the subcommittees, such as </w:t>
      </w:r>
      <w:r w:rsidR="0064097F" w:rsidRPr="0064097F">
        <w:t>wide variances in the quality, formatting, and content of DER information that are impacting data collection and validation processes.</w:t>
      </w:r>
    </w:p>
    <w:p w14:paraId="247B0E48" w14:textId="287E91F5" w:rsidR="00E6435E" w:rsidRDefault="007B6BC7" w:rsidP="00E024D0">
      <w:pPr>
        <w:spacing w:before="120" w:after="60"/>
        <w:jc w:val="both"/>
      </w:pPr>
      <w:r>
        <w:t>The proposed DER Entity Registry will serve as a centralized database for registering entities responsible for providing or requiring access to i</w:t>
      </w:r>
      <w:r w:rsidRPr="007B6BC7">
        <w:t>nformation maintained in industry developed DER registries</w:t>
      </w:r>
      <w:r>
        <w:t xml:space="preserve">.  Like the NAESB Electric Industry Registry, the entity registrations in the DER Entity Registry will define the organizational categories </w:t>
      </w:r>
      <w:r w:rsidR="00E6435E" w:rsidRPr="00E6435E">
        <w:t xml:space="preserve">and functional roles necessary to mutually authenticate parties and provide a basis for establishing data access controls and cybersecurity protocols.  </w:t>
      </w:r>
      <w:r w:rsidR="00E6435E">
        <w:t xml:space="preserve">Additionally, the WEQ and RMQ BPS proposed the development of NAESB Business Practice Standards to </w:t>
      </w:r>
      <w:r w:rsidR="00E6435E" w:rsidRPr="00E6435E">
        <w:t>define processes and technical details that support consistency in data formatting, governance, and interface structures</w:t>
      </w:r>
      <w:r w:rsidR="00E6435E">
        <w:t xml:space="preserve">.  The intent is to create a standardized framework that will work with existing tools and processes to better enable data interoperability between systems that use DER information.  </w:t>
      </w:r>
      <w:r w:rsidR="00E6435E" w:rsidRPr="00E6435E">
        <w:t>As with other NAESB Business Practice Standards, these standards can be developed to include the optionality needed by industry to maintain current customized databases, tools, and other processes</w:t>
      </w:r>
      <w:r w:rsidR="00E6435E">
        <w:t>.</w:t>
      </w:r>
    </w:p>
    <w:p w14:paraId="02FEF2BD" w14:textId="31A94735" w:rsidR="0002194E" w:rsidRDefault="006A121A" w:rsidP="0002194E">
      <w:pPr>
        <w:tabs>
          <w:tab w:val="left" w:pos="3627"/>
        </w:tabs>
        <w:spacing w:before="120" w:after="120"/>
        <w:jc w:val="both"/>
      </w:pPr>
      <w:r>
        <w:t xml:space="preserve">NAESB and NERC have been coordinating throughout the standards development effort.  NERC guidance </w:t>
      </w:r>
      <w:r w:rsidRPr="006A121A">
        <w:t>for collaborative DER information sharing helped inform the development of the two-part proposal</w:t>
      </w:r>
      <w:r>
        <w:t xml:space="preserve">, and NERC staff provided informal comments in support of the proposal, noting </w:t>
      </w:r>
      <w:r w:rsidRPr="006A121A">
        <w:t>that such a registry could help facilitate coordination and be leveraged in the implementation of NERC Reliability Standards developed in response to FERC Order No. 901</w:t>
      </w:r>
      <w:r>
        <w:t xml:space="preserve">.  At the request of the NERC </w:t>
      </w:r>
      <w:r w:rsidRPr="006A121A">
        <w:t>System Planning Impacts from Distributed Energy Resources Working Group and Electric Vehicle Task Force</w:t>
      </w:r>
      <w:r>
        <w:t xml:space="preserve">, WEQ and RMQ BPS leadership will participate </w:t>
      </w:r>
      <w:r w:rsidR="00420E0C">
        <w:t>in an upcoming meeting to provide an update on the subcommittees’ work and the two-part proposal.  As discussed during the April 9, 2026 WEQ and RMQ BPS meeting, the subcommittees will reconvene after the NERC meeting to discuss any feedback and begin considering next steps regarding the creation of the DER Entity Registry and standards development.</w:t>
      </w:r>
    </w:p>
    <w:sectPr w:rsidR="0002194E"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3588" w14:textId="77777777" w:rsidR="00E51AC8" w:rsidRDefault="00E51AC8">
      <w:r>
        <w:separator/>
      </w:r>
    </w:p>
  </w:endnote>
  <w:endnote w:type="continuationSeparator" w:id="0">
    <w:p w14:paraId="60B6B1FE" w14:textId="77777777" w:rsidR="00E51AC8" w:rsidRDefault="00E5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654891A8" w:rsidR="004D4805" w:rsidRPr="00421EA2" w:rsidRDefault="00767B83" w:rsidP="005E6421">
    <w:pPr>
      <w:pStyle w:val="Footer"/>
      <w:pBdr>
        <w:top w:val="single" w:sz="12" w:space="1" w:color="auto"/>
      </w:pBdr>
      <w:jc w:val="right"/>
      <w:rPr>
        <w:sz w:val="18"/>
        <w:szCs w:val="18"/>
      </w:rPr>
    </w:pPr>
    <w:r>
      <w:t>WEQ</w:t>
    </w:r>
    <w:r w:rsidR="006126AA">
      <w:t>/RMQ</w:t>
    </w:r>
    <w:r>
      <w:t xml:space="preserve"> BPS</w:t>
    </w:r>
    <w:r w:rsidR="00130085">
      <w:t>:</w:t>
    </w:r>
    <w:r w:rsidR="00C65A10">
      <w:t xml:space="preserve"> 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653C" w14:textId="77777777" w:rsidR="00E51AC8" w:rsidRDefault="00E51AC8">
      <w:r>
        <w:separator/>
      </w:r>
    </w:p>
  </w:footnote>
  <w:footnote w:type="continuationSeparator" w:id="0">
    <w:p w14:paraId="5E6BD571" w14:textId="77777777" w:rsidR="00E51AC8" w:rsidRDefault="00E5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194E"/>
    <w:rsid w:val="00021BE2"/>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DA"/>
    <w:rsid w:val="000455E6"/>
    <w:rsid w:val="0004593A"/>
    <w:rsid w:val="0004634F"/>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67FE3"/>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83"/>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77F"/>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3E4E"/>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025"/>
    <w:rsid w:val="000F1112"/>
    <w:rsid w:val="000F162B"/>
    <w:rsid w:val="000F1634"/>
    <w:rsid w:val="000F20BC"/>
    <w:rsid w:val="000F2138"/>
    <w:rsid w:val="000F21E4"/>
    <w:rsid w:val="000F2AAC"/>
    <w:rsid w:val="000F2D77"/>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085"/>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9FE"/>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497C"/>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7E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B0"/>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532"/>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3B0"/>
    <w:rsid w:val="00416529"/>
    <w:rsid w:val="00416963"/>
    <w:rsid w:val="00416987"/>
    <w:rsid w:val="00416A72"/>
    <w:rsid w:val="004170B5"/>
    <w:rsid w:val="004171C0"/>
    <w:rsid w:val="0041794E"/>
    <w:rsid w:val="00417BC6"/>
    <w:rsid w:val="0042058A"/>
    <w:rsid w:val="00420971"/>
    <w:rsid w:val="00420D37"/>
    <w:rsid w:val="00420E0C"/>
    <w:rsid w:val="00420F1D"/>
    <w:rsid w:val="00421A51"/>
    <w:rsid w:val="00421C1A"/>
    <w:rsid w:val="00421D00"/>
    <w:rsid w:val="00421EA2"/>
    <w:rsid w:val="00421F92"/>
    <w:rsid w:val="00422B0F"/>
    <w:rsid w:val="004232BE"/>
    <w:rsid w:val="00423A14"/>
    <w:rsid w:val="0042414F"/>
    <w:rsid w:val="00424BA1"/>
    <w:rsid w:val="00424E39"/>
    <w:rsid w:val="004257D7"/>
    <w:rsid w:val="004257E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5C8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47CEF"/>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3CF6"/>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97F"/>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0F"/>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21A"/>
    <w:rsid w:val="006A1336"/>
    <w:rsid w:val="006A1DA0"/>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BB9"/>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6F7E76"/>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1DE"/>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6BC7"/>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7A"/>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605"/>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1C22"/>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FC5"/>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6F5"/>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5D63"/>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63"/>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718"/>
    <w:rsid w:val="00A93DB3"/>
    <w:rsid w:val="00A93FF3"/>
    <w:rsid w:val="00A94A67"/>
    <w:rsid w:val="00A94BC2"/>
    <w:rsid w:val="00A94C74"/>
    <w:rsid w:val="00A94CF8"/>
    <w:rsid w:val="00A95248"/>
    <w:rsid w:val="00A95CA1"/>
    <w:rsid w:val="00A95D84"/>
    <w:rsid w:val="00A966C3"/>
    <w:rsid w:val="00A96729"/>
    <w:rsid w:val="00A97034"/>
    <w:rsid w:val="00A97433"/>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00F"/>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7CBA"/>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5A10"/>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6824"/>
    <w:rsid w:val="00DB7B7E"/>
    <w:rsid w:val="00DB7FDE"/>
    <w:rsid w:val="00DC0009"/>
    <w:rsid w:val="00DC015D"/>
    <w:rsid w:val="00DC0376"/>
    <w:rsid w:val="00DC06BA"/>
    <w:rsid w:val="00DC09CE"/>
    <w:rsid w:val="00DC0AA6"/>
    <w:rsid w:val="00DC0D6E"/>
    <w:rsid w:val="00DC121A"/>
    <w:rsid w:val="00DC146A"/>
    <w:rsid w:val="00DC17D1"/>
    <w:rsid w:val="00DC1A2E"/>
    <w:rsid w:val="00DC2383"/>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4D0"/>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AC8"/>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35E"/>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64"/>
    <w:rsid w:val="00EB6BF6"/>
    <w:rsid w:val="00EB6FC2"/>
    <w:rsid w:val="00EB71D6"/>
    <w:rsid w:val="00EB78DC"/>
    <w:rsid w:val="00EB7C04"/>
    <w:rsid w:val="00EB7E35"/>
    <w:rsid w:val="00EC006C"/>
    <w:rsid w:val="00EC0324"/>
    <w:rsid w:val="00EC0D55"/>
    <w:rsid w:val="00EC0D8D"/>
    <w:rsid w:val="00EC0E70"/>
    <w:rsid w:val="00EC10FB"/>
    <w:rsid w:val="00EC1344"/>
    <w:rsid w:val="00EC13C6"/>
    <w:rsid w:val="00EC17C1"/>
    <w:rsid w:val="00EC1B9A"/>
    <w:rsid w:val="00EC2172"/>
    <w:rsid w:val="00EC233C"/>
    <w:rsid w:val="00EC2F85"/>
    <w:rsid w:val="00EC3883"/>
    <w:rsid w:val="00EC3B03"/>
    <w:rsid w:val="00EC3D30"/>
    <w:rsid w:val="00EC3ED4"/>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0A21"/>
    <w:rsid w:val="00FE1173"/>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2026-04-14T21:04:00Z</dcterms:created>
  <dcterms:modified xsi:type="dcterms:W3CDTF">2026-04-14T21:04:00Z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