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90431" w14:textId="6E746B9B" w:rsidR="00AD2480" w:rsidRPr="005D1B94" w:rsidRDefault="00397558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April 6, 2020</w:t>
      </w:r>
    </w:p>
    <w:p w14:paraId="5D629A66" w14:textId="77777777"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2ACA29A7" w14:textId="2AE213D4"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397558">
        <w:rPr>
          <w:bCs/>
        </w:rPr>
        <w:t>Elizabeth Mallett</w:t>
      </w:r>
      <w:r w:rsidR="00AB0485">
        <w:rPr>
          <w:bCs/>
        </w:rPr>
        <w:t>, NAESB Deputy Director</w:t>
      </w:r>
    </w:p>
    <w:p w14:paraId="01F79964" w14:textId="5BCF31AD" w:rsidR="00D33D41" w:rsidRPr="00E52B58" w:rsidRDefault="00AD2480" w:rsidP="00E52B58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612568">
        <w:rPr>
          <w:b/>
          <w:bCs/>
        </w:rPr>
        <w:t xml:space="preserve">WEQ OASIS </w:t>
      </w:r>
      <w:r w:rsidR="00397558">
        <w:rPr>
          <w:b/>
          <w:bCs/>
        </w:rPr>
        <w:t>Subcommittee Update</w:t>
      </w:r>
    </w:p>
    <w:p w14:paraId="60BF7A65" w14:textId="77777777" w:rsidR="00A80DA5" w:rsidRDefault="00A80DA5" w:rsidP="00A80DA5">
      <w:pPr>
        <w:spacing w:before="120"/>
        <w:jc w:val="both"/>
      </w:pPr>
    </w:p>
    <w:p w14:paraId="060BB429" w14:textId="32DCC1C8" w:rsidR="00397558" w:rsidRPr="00397558" w:rsidRDefault="0022530D" w:rsidP="00A80DA5">
      <w:pPr>
        <w:spacing w:before="120"/>
        <w:jc w:val="both"/>
      </w:pPr>
      <w:r>
        <w:t>I</w:t>
      </w:r>
      <w:r w:rsidR="00397558" w:rsidRPr="00397558">
        <w:t xml:space="preserve">n </w:t>
      </w:r>
      <w:r w:rsidR="00397558" w:rsidRPr="00397558">
        <w:rPr>
          <w:iCs/>
        </w:rPr>
        <w:t xml:space="preserve">2007, </w:t>
      </w:r>
      <w:r>
        <w:rPr>
          <w:iCs/>
        </w:rPr>
        <w:t>FERC issued</w:t>
      </w:r>
      <w:r w:rsidR="000B7028">
        <w:rPr>
          <w:iCs/>
        </w:rPr>
        <w:t xml:space="preserve"> </w:t>
      </w:r>
      <w:r>
        <w:rPr>
          <w:iCs/>
        </w:rPr>
        <w:t xml:space="preserve">Order No. 890, </w:t>
      </w:r>
      <w:r w:rsidR="000B7028">
        <w:rPr>
          <w:iCs/>
        </w:rPr>
        <w:t xml:space="preserve">an </w:t>
      </w:r>
      <w:r w:rsidR="00397558" w:rsidRPr="00397558">
        <w:rPr>
          <w:iCs/>
        </w:rPr>
        <w:t xml:space="preserve">order </w:t>
      </w:r>
      <w:r>
        <w:rPr>
          <w:iCs/>
        </w:rPr>
        <w:t>that sought</w:t>
      </w:r>
      <w:r w:rsidR="00397558" w:rsidRPr="00397558">
        <w:rPr>
          <w:iCs/>
        </w:rPr>
        <w:t xml:space="preserve"> to strengthen the pro forma open-access transmission tariff, ensure a remedy to and reduce opportunities for undue discrimination, and increase transparency on the transmission system</w:t>
      </w:r>
      <w:r w:rsidR="00843DF8">
        <w:rPr>
          <w:iCs/>
        </w:rPr>
        <w:t>, among other goals</w:t>
      </w:r>
      <w:r w:rsidR="00397558" w:rsidRPr="00397558">
        <w:rPr>
          <w:iCs/>
        </w:rPr>
        <w:t>.</w:t>
      </w:r>
      <w:r w:rsidR="00397558" w:rsidRPr="00397558">
        <w:t xml:space="preserve">  </w:t>
      </w:r>
      <w:r w:rsidR="000B7028">
        <w:t xml:space="preserve">In order to </w:t>
      </w:r>
      <w:r w:rsidR="00A80DA5">
        <w:t>respond to</w:t>
      </w:r>
      <w:r w:rsidR="000B7028">
        <w:t xml:space="preserve"> the directives in the monumental order</w:t>
      </w:r>
      <w:r w:rsidR="00A80DA5">
        <w:t xml:space="preserve">, </w:t>
      </w:r>
      <w:r w:rsidR="000B7028">
        <w:t>the wholesale electric industry, through NAESB, developed approximately forty-seven recommendations.  This March</w:t>
      </w:r>
      <w:r w:rsidR="00397558" w:rsidRPr="00397558">
        <w:t xml:space="preserve">, </w:t>
      </w:r>
      <w:r w:rsidR="000B7028">
        <w:t xml:space="preserve">the last </w:t>
      </w:r>
      <w:r w:rsidR="00A80DA5">
        <w:t xml:space="preserve">recommendation </w:t>
      </w:r>
      <w:r w:rsidR="000B7028" w:rsidRPr="00397558">
        <w:t>to address FERC Order No. 890</w:t>
      </w:r>
      <w:r w:rsidR="000B7028">
        <w:t xml:space="preserve"> was ratified by the NAESB membership and included in the March 30, 2020 </w:t>
      </w:r>
      <w:r w:rsidR="00843DF8">
        <w:t xml:space="preserve">publication of the </w:t>
      </w:r>
      <w:r w:rsidR="000B7028">
        <w:t xml:space="preserve">Version 003.3 WEQ Business Practice Standards.  </w:t>
      </w:r>
      <w:r w:rsidR="00A80DA5">
        <w:t>Th</w:t>
      </w:r>
      <w:r w:rsidR="00843DF8">
        <w:t xml:space="preserve">e last </w:t>
      </w:r>
      <w:r w:rsidR="00A80DA5">
        <w:t xml:space="preserve">recommendation addresses </w:t>
      </w:r>
      <w:r w:rsidR="00397558" w:rsidRPr="00397558">
        <w:t>Paragraph 1627</w:t>
      </w:r>
      <w:r w:rsidR="00A80DA5">
        <w:t xml:space="preserve"> of the order</w:t>
      </w:r>
      <w:r w:rsidR="00843DF8">
        <w:t xml:space="preserve"> w</w:t>
      </w:r>
      <w:r w:rsidR="00A80DA5">
        <w:t>herein</w:t>
      </w:r>
      <w:r>
        <w:t xml:space="preserve"> the Commission </w:t>
      </w:r>
      <w:r w:rsidR="00397558" w:rsidRPr="00397558">
        <w:t xml:space="preserve">required “transmission providers, working through NAESB, to develop a detailed template for the posting of additional information on OASIS regarding firm transmission curtailments.”  </w:t>
      </w:r>
      <w:r>
        <w:t>Over the course of nineteen meetings,</w:t>
      </w:r>
      <w:r w:rsidR="00397558" w:rsidRPr="00397558">
        <w:t xml:space="preserve"> the WEQ BPS and WEQ OASIS Subcommittee</w:t>
      </w:r>
      <w:r>
        <w:t xml:space="preserve"> worked together to complete the standards development effort and the </w:t>
      </w:r>
      <w:r w:rsidR="00397558" w:rsidRPr="00397558">
        <w:t>recommendation was adopted by the WEQ Executive Committee in February.</w:t>
      </w:r>
    </w:p>
    <w:p w14:paraId="1022E676" w14:textId="77777777" w:rsidR="00AB380B" w:rsidRDefault="000B7028" w:rsidP="00A80DA5">
      <w:pPr>
        <w:spacing w:before="120"/>
        <w:jc w:val="both"/>
      </w:pPr>
      <w:r>
        <w:t xml:space="preserve">Also included in the Version 003.3 publication, are two </w:t>
      </w:r>
      <w:r w:rsidR="00C54D7E">
        <w:t xml:space="preserve">WEQ OASIS Subcommittee </w:t>
      </w:r>
      <w:r w:rsidR="00397558" w:rsidRPr="00397558">
        <w:t xml:space="preserve">recommendations </w:t>
      </w:r>
      <w:r>
        <w:t xml:space="preserve">that were </w:t>
      </w:r>
      <w:r w:rsidR="00A80DA5">
        <w:t>approved by the WEQ Executive Committee during its February meeting and ratified by NAESB membership on March 20, 2020</w:t>
      </w:r>
      <w:r w:rsidR="00397558" w:rsidRPr="00397558">
        <w:t>.  The first recommendation revise</w:t>
      </w:r>
      <w:r w:rsidR="00C54D7E">
        <w:t>d</w:t>
      </w:r>
      <w:r w:rsidR="00397558" w:rsidRPr="00397558">
        <w:t xml:space="preserve"> standards addressing Network Integration Transmission Service (NITS).  The modifications </w:t>
      </w:r>
      <w:r w:rsidR="00C54D7E">
        <w:t>were</w:t>
      </w:r>
      <w:r w:rsidR="00397558" w:rsidRPr="00397558">
        <w:t xml:space="preserve"> based on implementation and operational experience since the industry adoption of the NITS-related standards.  The second recommendation was developed jointly by the WEQ OASIS Subcommittee and the WEQ Cybersecurity Subcommittee to address recommendations from the Sandia surety assessment</w:t>
      </w:r>
      <w:r w:rsidR="00C54D7E">
        <w:t xml:space="preserve"> report</w:t>
      </w:r>
      <w:r w:rsidR="00397558" w:rsidRPr="00397558">
        <w:t xml:space="preserve">.  </w:t>
      </w:r>
      <w:r w:rsidR="00A80DA5">
        <w:t>T</w:t>
      </w:r>
      <w:r w:rsidR="00397558" w:rsidRPr="00397558">
        <w:t xml:space="preserve">he recommendation modifies WEQ-001 and WEQ-002 within the WEQ OASIS Business Practice Standards and seeks to align security requirements with industry cybersecurity best practices, among other goals. </w:t>
      </w:r>
    </w:p>
    <w:p w14:paraId="39945BE2" w14:textId="62416E1E" w:rsidR="00843DF8" w:rsidRDefault="00843DF8" w:rsidP="00A80DA5">
      <w:pPr>
        <w:spacing w:before="120"/>
        <w:jc w:val="both"/>
      </w:pPr>
      <w:r>
        <w:t xml:space="preserve">NAESB </w:t>
      </w:r>
      <w:r w:rsidR="00AB380B">
        <w:t xml:space="preserve">filed </w:t>
      </w:r>
      <w:r>
        <w:t xml:space="preserve">Version 003.3 </w:t>
      </w:r>
      <w:proofErr w:type="gramStart"/>
      <w:r w:rsidR="00AB380B">
        <w:t xml:space="preserve">with </w:t>
      </w:r>
      <w:r>
        <w:t xml:space="preserve"> the</w:t>
      </w:r>
      <w:proofErr w:type="gramEnd"/>
      <w:r>
        <w:t xml:space="preserve"> Commission on the same day of publication – March 30, 2020.  As you may </w:t>
      </w:r>
      <w:r w:rsidR="00C54D7E">
        <w:t>know</w:t>
      </w:r>
      <w:r>
        <w:t xml:space="preserve">, Version 003.2 of the WEQ Business Practice Standards was recently </w:t>
      </w:r>
      <w:r w:rsidR="00C54D7E">
        <w:t xml:space="preserve">incorporated by reference into the FERC regulations through FERC Order No. 676-I issued on February 4, 2020.  </w:t>
      </w:r>
      <w:r>
        <w:t xml:space="preserve"> </w:t>
      </w:r>
    </w:p>
    <w:p w14:paraId="0A0B2DB0" w14:textId="0B8886C2" w:rsidR="00397558" w:rsidRPr="00397558" w:rsidRDefault="00397558" w:rsidP="00A80DA5">
      <w:pPr>
        <w:spacing w:before="120"/>
        <w:jc w:val="both"/>
      </w:pPr>
      <w:r w:rsidRPr="00397558">
        <w:t xml:space="preserve">In order to complete the remaining items on the </w:t>
      </w:r>
      <w:r w:rsidR="00A80DA5">
        <w:t xml:space="preserve">2020 </w:t>
      </w:r>
      <w:r w:rsidRPr="00397558">
        <w:t xml:space="preserve">WEQ Annual Plan and </w:t>
      </w:r>
      <w:r w:rsidR="00A80DA5">
        <w:t xml:space="preserve">to </w:t>
      </w:r>
      <w:r w:rsidRPr="00397558">
        <w:t xml:space="preserve">address any submitted industry standards requests, the WEQ OASIS Subcommittee will continue to hold monthly </w:t>
      </w:r>
      <w:r w:rsidR="00A80DA5">
        <w:t>conference calls</w:t>
      </w:r>
      <w:r w:rsidRPr="00397558">
        <w:t xml:space="preserve">.  </w:t>
      </w:r>
      <w:r w:rsidR="00A80DA5">
        <w:t>During the April 14</w:t>
      </w:r>
      <w:r w:rsidR="005B79CB">
        <w:t xml:space="preserve">-16, 2020 conference call, the subcommittee will </w:t>
      </w:r>
      <w:r w:rsidR="005B79CB" w:rsidRPr="005B79CB">
        <w:t xml:space="preserve">discuss and possibly vote on </w:t>
      </w:r>
      <w:r w:rsidR="005B79CB">
        <w:t xml:space="preserve">a no action </w:t>
      </w:r>
      <w:r w:rsidR="005B79CB" w:rsidRPr="005B79CB">
        <w:t>recommendation to address 2020 WEQ Annual Plan Item 3.c</w:t>
      </w:r>
      <w:r w:rsidR="005B79CB">
        <w:t>, an annual plan item that calls for the development of standards for expanding the concept of generation groups within OASIS</w:t>
      </w:r>
      <w:r w:rsidR="005B79CB" w:rsidRPr="005B79CB">
        <w:t xml:space="preserve">.  Additionally, the subcommittee will continue to discuss </w:t>
      </w:r>
      <w:r w:rsidR="005B79CB">
        <w:t xml:space="preserve">standards </w:t>
      </w:r>
      <w:r w:rsidR="00C54D7E">
        <w:t>to allow the t</w:t>
      </w:r>
      <w:r w:rsidR="005B79CB">
        <w:t xml:space="preserve">ransmission </w:t>
      </w:r>
      <w:r w:rsidR="00C54D7E">
        <w:t>p</w:t>
      </w:r>
      <w:r w:rsidR="005B79CB">
        <w:t xml:space="preserve">rovider to document any MW limitation on serving total loads as firm under the NITS Application at specific locations. </w:t>
      </w:r>
      <w:r w:rsidR="005B79CB" w:rsidRPr="005B79CB">
        <w:t xml:space="preserve"> Standards Request R20003</w:t>
      </w:r>
      <w:r w:rsidR="005B79CB">
        <w:t xml:space="preserve"> will also be considered</w:t>
      </w:r>
      <w:r w:rsidR="00A954B2">
        <w:t xml:space="preserve"> during the April call</w:t>
      </w:r>
      <w:r w:rsidR="005B79CB">
        <w:t xml:space="preserve">.  Submitted by OATI, </w:t>
      </w:r>
      <w:r w:rsidR="00A954B2">
        <w:t>R20003</w:t>
      </w:r>
      <w:r w:rsidR="005B79CB">
        <w:t xml:space="preserve"> asks the subcommittee </w:t>
      </w:r>
      <w:r w:rsidR="00A954B2">
        <w:t>participants to</w:t>
      </w:r>
      <w:r w:rsidR="005B79CB" w:rsidRPr="005B79CB">
        <w:t xml:space="preserve"> review </w:t>
      </w:r>
      <w:r w:rsidR="005B79CB">
        <w:t xml:space="preserve">the </w:t>
      </w:r>
      <w:r w:rsidR="005B79CB" w:rsidRPr="005B79CB">
        <w:t xml:space="preserve">WEQ-001-9 and WEQ-001-10 </w:t>
      </w:r>
      <w:r w:rsidR="008E467A">
        <w:t>r</w:t>
      </w:r>
      <w:r w:rsidR="005B79CB" w:rsidRPr="005B79CB">
        <w:t xml:space="preserve">edirect </w:t>
      </w:r>
      <w:r w:rsidR="008E467A">
        <w:t>s</w:t>
      </w:r>
      <w:r w:rsidR="005B79CB" w:rsidRPr="005B79CB">
        <w:t xml:space="preserve">tandards </w:t>
      </w:r>
      <w:r w:rsidR="008E467A">
        <w:t>in response to FERC</w:t>
      </w:r>
      <w:r w:rsidR="005B79CB" w:rsidRPr="005B79CB">
        <w:t xml:space="preserve"> Order </w:t>
      </w:r>
      <w:r w:rsidR="008E467A">
        <w:t xml:space="preserve">No. </w:t>
      </w:r>
      <w:r w:rsidR="005B79CB" w:rsidRPr="005B79CB">
        <w:t>676-I.</w:t>
      </w:r>
      <w:r w:rsidR="008E467A">
        <w:t xml:space="preserve">  </w:t>
      </w:r>
      <w:r w:rsidR="00A954B2">
        <w:t>In Paragraph 35 of FERC Order No. 676-I</w:t>
      </w:r>
      <w:r w:rsidR="00732D8A">
        <w:t>, the Commission stated that it will “…incorporate by reference the WEQ-001-9 and WEQ-001-10 standards with the exception of the text contained in the preambles to WEQ-001-9 and WEQ 001-10, which appear to allow transmission providers to adopt alternative procedures for redirects from conditional parent reservations.”  As always, a</w:t>
      </w:r>
      <w:r w:rsidRPr="00397558">
        <w:t xml:space="preserve">ll interested parties are welcome to </w:t>
      </w:r>
      <w:r w:rsidR="008E467A">
        <w:t>participate</w:t>
      </w:r>
      <w:r w:rsidR="00732D8A">
        <w:t xml:space="preserve"> in the upcoming WEQ OASIS </w:t>
      </w:r>
      <w:r w:rsidR="00AB380B">
        <w:t xml:space="preserve">Subcommittee </w:t>
      </w:r>
      <w:bookmarkStart w:id="0" w:name="_GoBack"/>
      <w:bookmarkEnd w:id="0"/>
      <w:r w:rsidR="00732D8A">
        <w:t>conference call</w:t>
      </w:r>
      <w:r w:rsidR="008E467A">
        <w:t>.</w:t>
      </w:r>
    </w:p>
    <w:p w14:paraId="126885B2" w14:textId="7C427B91" w:rsidR="00635D85" w:rsidRPr="00635D85" w:rsidRDefault="00635D85" w:rsidP="00273CC5">
      <w:pPr>
        <w:spacing w:after="120"/>
        <w:jc w:val="both"/>
      </w:pPr>
    </w:p>
    <w:sectPr w:rsidR="00635D85" w:rsidRPr="00635D85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A2B98" w14:textId="77777777" w:rsidR="002C58C9" w:rsidRDefault="002C58C9">
      <w:r>
        <w:separator/>
      </w:r>
    </w:p>
  </w:endnote>
  <w:endnote w:type="continuationSeparator" w:id="0">
    <w:p w14:paraId="6A67AE59" w14:textId="77777777" w:rsidR="002C58C9" w:rsidRDefault="002C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BDC9B" w14:textId="0A1D3D84" w:rsidR="004D4805" w:rsidRPr="00176FB9" w:rsidRDefault="00D072E8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WEQ </w:t>
    </w:r>
    <w:r w:rsidR="00612568">
      <w:rPr>
        <w:sz w:val="18"/>
        <w:szCs w:val="18"/>
      </w:rPr>
      <w:t>OASIS</w:t>
    </w:r>
    <w:r w:rsidR="00397558">
      <w:rPr>
        <w:sz w:val="18"/>
        <w:szCs w:val="18"/>
      </w:rPr>
      <w:t xml:space="preserve"> Subcommittee</w:t>
    </w:r>
    <w:r w:rsidR="00612568">
      <w:rPr>
        <w:sz w:val="18"/>
        <w:szCs w:val="18"/>
      </w:rPr>
      <w:t xml:space="preserve"> Update</w:t>
    </w:r>
  </w:p>
  <w:p w14:paraId="0D2AD990" w14:textId="77777777"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772B" w14:textId="77777777" w:rsidR="002C58C9" w:rsidRDefault="002C58C9">
      <w:r>
        <w:separator/>
      </w:r>
    </w:p>
  </w:footnote>
  <w:footnote w:type="continuationSeparator" w:id="0">
    <w:p w14:paraId="08A9DBB8" w14:textId="77777777" w:rsidR="002C58C9" w:rsidRDefault="002C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77777777"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CB9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94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43E7"/>
    <w:rsid w:val="00A04E3A"/>
    <w:rsid w:val="00A06B9D"/>
    <w:rsid w:val="00A07B03"/>
    <w:rsid w:val="00A07E1D"/>
    <w:rsid w:val="00A07ECA"/>
    <w:rsid w:val="00A10F8B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0E"/>
    <w:rsid w:val="00A94C74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4F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11B4-37F5-4163-8383-5384DE24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2015-09-24T15:30:00Z</cp:lastPrinted>
  <dcterms:created xsi:type="dcterms:W3CDTF">2020-04-06T17:23:00Z</dcterms:created>
  <dcterms:modified xsi:type="dcterms:W3CDTF">2020-04-06T21:08:00Z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