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40602E89" w:rsidR="00AD2480" w:rsidRPr="005D1B94" w:rsidRDefault="009072B6"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12, 2026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C2873F3"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D93027">
        <w:rPr>
          <w:bCs/>
        </w:rPr>
        <w:t>Caroline Trum, Director of Wholesale Electric Activities</w:t>
      </w:r>
    </w:p>
    <w:p w14:paraId="045CFB00" w14:textId="34B3174C" w:rsidR="00121EF6" w:rsidRPr="00121EF6" w:rsidRDefault="00AD2480" w:rsidP="00121EF6">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w:t>
      </w:r>
    </w:p>
    <w:p w14:paraId="48B1BE07" w14:textId="55C9AB67" w:rsidR="009072B6" w:rsidRDefault="00021240" w:rsidP="003A1D03">
      <w:pPr>
        <w:spacing w:before="120" w:after="120"/>
        <w:jc w:val="both"/>
      </w:pPr>
      <w:r>
        <w:t xml:space="preserve">The WEQ Cybersecurity Subcommittee and WEQ Business Practices Subcommittee </w:t>
      </w:r>
      <w:r w:rsidR="00DB7F10">
        <w:t>are holding</w:t>
      </w:r>
      <w:r w:rsidR="009072B6">
        <w:t xml:space="preserve"> joint meetings to </w:t>
      </w:r>
      <w:r w:rsidR="00DB7F10">
        <w:t>consider</w:t>
      </w:r>
      <w:r w:rsidR="009072B6">
        <w:t xml:space="preserve"> the development of cybersecurity-related standards supportive of the wholesale electric industry’s implementation of FERC Order No. 912 and NERC Supply Chain Risk Management Reliability Standards.  Initial discussions have focused the need for new or revised standards related to vendor vulnerability disclosure reporting and third-party software verification.</w:t>
      </w:r>
      <w:r w:rsidR="00DB7F10">
        <w:t xml:space="preserve">  The subcommittees have a joint meeting scheduled for February 24, 2026 from 1:00 – 3:00 PM Central to continue discussions regarding areas where NAESB standards could be beneficial to address any priorities for industry or gaps in available guidance.</w:t>
      </w:r>
    </w:p>
    <w:p w14:paraId="4AD87F9B" w14:textId="4D09FCFF" w:rsidR="000E5EE6" w:rsidRDefault="00DB7F10" w:rsidP="000E5EE6">
      <w:pPr>
        <w:spacing w:before="120" w:after="120"/>
        <w:jc w:val="both"/>
      </w:pPr>
      <w:r>
        <w:t>As part of the kick-off meeting held on December 15, 202</w:t>
      </w:r>
      <w:r w:rsidR="00B151E6">
        <w:t>5</w:t>
      </w:r>
      <w:r>
        <w:t xml:space="preserve">, a participant provided presentation </w:t>
      </w:r>
      <w:r w:rsidR="00B151E6">
        <w:t xml:space="preserve">regarding </w:t>
      </w:r>
      <w:r w:rsidR="00B151E6" w:rsidRPr="00B151E6">
        <w:t>existing vendor vulnerability disclosure reporting processes</w:t>
      </w:r>
      <w:r w:rsidR="00B151E6">
        <w:t xml:space="preserve"> led to the identification of several potential topics for further discussion by the subcommittees.  These included ways to potentially streamline the identification of pertinent software vulnerabilities by the energy industry and help ensure relevant information is made available by vendors in a useful, consistent manner, such as minimum data authenticity and provenance requirements for vendor product and vulnerability disclosures and standardized data and reporting formats.  As part of the most recent meeting held January 30, 2026, participants discussed how </w:t>
      </w:r>
      <w:r w:rsidR="00B151E6" w:rsidRPr="00B151E6">
        <w:t xml:space="preserve">standardized contract language could support industry and vendor relationships </w:t>
      </w:r>
      <w:r w:rsidR="004A0454">
        <w:t>by</w:t>
      </w:r>
      <w:r w:rsidR="00B151E6" w:rsidRPr="00B151E6">
        <w:t xml:space="preserve"> help</w:t>
      </w:r>
      <w:r w:rsidR="004A0454">
        <w:t>ing</w:t>
      </w:r>
      <w:r w:rsidR="00B151E6" w:rsidRPr="00B151E6">
        <w:t xml:space="preserve"> ensure entities receiv</w:t>
      </w:r>
      <w:r w:rsidR="004A0454">
        <w:t>e</w:t>
      </w:r>
      <w:r w:rsidR="00B151E6" w:rsidRPr="00B151E6">
        <w:t xml:space="preserve"> timely </w:t>
      </w:r>
      <w:r w:rsidR="004A0454">
        <w:t xml:space="preserve">notifications </w:t>
      </w:r>
      <w:r w:rsidR="00B151E6" w:rsidRPr="00B151E6">
        <w:t xml:space="preserve">from their vendors regarding </w:t>
      </w:r>
      <w:r w:rsidR="004A0454">
        <w:t xml:space="preserve">vulnerability </w:t>
      </w:r>
      <w:r w:rsidR="00B151E6" w:rsidRPr="00B151E6">
        <w:t>identification</w:t>
      </w:r>
      <w:r w:rsidR="004A0454">
        <w:t>s</w:t>
      </w:r>
      <w:r w:rsidR="00B151E6" w:rsidRPr="00B151E6">
        <w:t xml:space="preserve"> </w:t>
      </w:r>
      <w:r w:rsidR="004A0454">
        <w:t xml:space="preserve">and mitigation instructions. </w:t>
      </w:r>
      <w:r w:rsidR="00B151E6" w:rsidRPr="00B151E6">
        <w:t xml:space="preserve">  </w:t>
      </w:r>
    </w:p>
    <w:p w14:paraId="72FFAE32" w14:textId="6F46CDF5" w:rsidR="004A0454" w:rsidRPr="00635D85" w:rsidRDefault="004A0454" w:rsidP="000E5EE6">
      <w:pPr>
        <w:spacing w:before="120" w:after="120"/>
        <w:jc w:val="both"/>
      </w:pPr>
      <w:r>
        <w:t xml:space="preserve">Additionally, this year, the WEQ, along with the WGQ and RMQ, will undertake the annual assessments of their respective cybersecurity standards as part of proactive efforts to help ensure the NAESB Business Practice Standards continue to meet industry needs and support secure electronic commercial communications.  The reviews focus on the mitigation of potential vulnerabilities and any new or revised standards necessary to address changing technologies, regulatory expectations, and security frameworks.  This includes discussion of legacy functionalities that should be removed to limit risks for exploitation by bad actors as well as confirmation that the communication protocols and encryption methodologies identified within the standards are in alignment with relevant industry guidance from the U.S. Department of Energy (DoE) and National Institute for Standards and Technology (NIST), among others.  </w:t>
      </w:r>
    </w:p>
    <w:sectPr w:rsidR="004A0454"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6923" w14:textId="77777777" w:rsidR="00C174A1" w:rsidRDefault="00C174A1">
      <w:r>
        <w:separator/>
      </w:r>
    </w:p>
  </w:endnote>
  <w:endnote w:type="continuationSeparator" w:id="0">
    <w:p w14:paraId="53EE2877" w14:textId="77777777" w:rsidR="00C174A1" w:rsidRDefault="00C1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5F1C62A" w:rsidR="004D4805" w:rsidRPr="00176FB9" w:rsidRDefault="004602DD" w:rsidP="005E6421">
    <w:pPr>
      <w:pStyle w:val="Footer"/>
      <w:pBdr>
        <w:top w:val="single" w:sz="12" w:space="1" w:color="auto"/>
      </w:pBdr>
      <w:jc w:val="right"/>
      <w:rPr>
        <w:sz w:val="18"/>
        <w:szCs w:val="18"/>
      </w:rPr>
    </w:pPr>
    <w:r>
      <w:rPr>
        <w:sz w:val="18"/>
        <w:szCs w:val="18"/>
      </w:rPr>
      <w:t>WEQ/RMQ/WGQ Cybersecurity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7DFE" w14:textId="77777777" w:rsidR="00C174A1" w:rsidRDefault="00C174A1">
      <w:r>
        <w:separator/>
      </w:r>
    </w:p>
  </w:footnote>
  <w:footnote w:type="continuationSeparator" w:id="0">
    <w:p w14:paraId="0EC70AA2" w14:textId="77777777" w:rsidR="00C174A1" w:rsidRDefault="00C1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91792"/>
    <w:multiLevelType w:val="hybridMultilevel"/>
    <w:tmpl w:val="F78A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5"/>
  </w:num>
  <w:num w:numId="3" w16cid:durableId="392630661">
    <w:abstractNumId w:val="8"/>
  </w:num>
  <w:num w:numId="4" w16cid:durableId="1026372022">
    <w:abstractNumId w:val="13"/>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2"/>
  </w:num>
  <w:num w:numId="15" w16cid:durableId="848176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240"/>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38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8E3"/>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5EE6"/>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6E29"/>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6"/>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EF6"/>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036C"/>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350"/>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3B0"/>
    <w:rsid w:val="001B0785"/>
    <w:rsid w:val="001B0B3F"/>
    <w:rsid w:val="001B0F25"/>
    <w:rsid w:val="001B1224"/>
    <w:rsid w:val="001B1300"/>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1BB"/>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39A"/>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58"/>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67633"/>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7A1"/>
    <w:rsid w:val="00305E4B"/>
    <w:rsid w:val="003060A6"/>
    <w:rsid w:val="0030616F"/>
    <w:rsid w:val="00306258"/>
    <w:rsid w:val="00306FA4"/>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080"/>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AA9"/>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752"/>
    <w:rsid w:val="003A1A48"/>
    <w:rsid w:val="003A1D03"/>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3B0"/>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112"/>
    <w:rsid w:val="003E2B06"/>
    <w:rsid w:val="003E2BBF"/>
    <w:rsid w:val="003E2CB0"/>
    <w:rsid w:val="003E2F96"/>
    <w:rsid w:val="003E3442"/>
    <w:rsid w:val="003E3799"/>
    <w:rsid w:val="003E3E4F"/>
    <w:rsid w:val="003E4327"/>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6A3"/>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18D"/>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57DF1"/>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454"/>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4C72"/>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2DA"/>
    <w:rsid w:val="005824F2"/>
    <w:rsid w:val="00582F3C"/>
    <w:rsid w:val="005836ED"/>
    <w:rsid w:val="00583969"/>
    <w:rsid w:val="00583A2C"/>
    <w:rsid w:val="00583B0E"/>
    <w:rsid w:val="00583BBC"/>
    <w:rsid w:val="00584046"/>
    <w:rsid w:val="0058534A"/>
    <w:rsid w:val="00585829"/>
    <w:rsid w:val="00585CCE"/>
    <w:rsid w:val="00591A70"/>
    <w:rsid w:val="00592551"/>
    <w:rsid w:val="00593072"/>
    <w:rsid w:val="0059341F"/>
    <w:rsid w:val="0059396C"/>
    <w:rsid w:val="00593D71"/>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B"/>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4C6"/>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377"/>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2E1"/>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D9D"/>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688"/>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0"/>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6B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851"/>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99F"/>
    <w:rsid w:val="007A2BAE"/>
    <w:rsid w:val="007A2CE6"/>
    <w:rsid w:val="007A3AB1"/>
    <w:rsid w:val="007A3E87"/>
    <w:rsid w:val="007A3FB8"/>
    <w:rsid w:val="007A4598"/>
    <w:rsid w:val="007A467E"/>
    <w:rsid w:val="007A4892"/>
    <w:rsid w:val="007A4F79"/>
    <w:rsid w:val="007A52BC"/>
    <w:rsid w:val="007A53E7"/>
    <w:rsid w:val="007A5457"/>
    <w:rsid w:val="007A5699"/>
    <w:rsid w:val="007A5976"/>
    <w:rsid w:val="007A5E69"/>
    <w:rsid w:val="007A6062"/>
    <w:rsid w:val="007A63D6"/>
    <w:rsid w:val="007A6418"/>
    <w:rsid w:val="007A64DC"/>
    <w:rsid w:val="007A6523"/>
    <w:rsid w:val="007A6B07"/>
    <w:rsid w:val="007B04B0"/>
    <w:rsid w:val="007B0539"/>
    <w:rsid w:val="007B0551"/>
    <w:rsid w:val="007B0735"/>
    <w:rsid w:val="007B0B4C"/>
    <w:rsid w:val="007B1269"/>
    <w:rsid w:val="007B1284"/>
    <w:rsid w:val="007B20C6"/>
    <w:rsid w:val="007B2800"/>
    <w:rsid w:val="007B3405"/>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13E"/>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9B1"/>
    <w:rsid w:val="00802006"/>
    <w:rsid w:val="00802997"/>
    <w:rsid w:val="00802A68"/>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22B"/>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E3C"/>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2E4A"/>
    <w:rsid w:val="00883041"/>
    <w:rsid w:val="008830A4"/>
    <w:rsid w:val="00883412"/>
    <w:rsid w:val="00884233"/>
    <w:rsid w:val="00884C01"/>
    <w:rsid w:val="00884C4D"/>
    <w:rsid w:val="008857E5"/>
    <w:rsid w:val="008861E0"/>
    <w:rsid w:val="00886518"/>
    <w:rsid w:val="008865E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45B"/>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B18"/>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2B6"/>
    <w:rsid w:val="009078D9"/>
    <w:rsid w:val="00907E62"/>
    <w:rsid w:val="0091010F"/>
    <w:rsid w:val="00910305"/>
    <w:rsid w:val="0091087F"/>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0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3E39"/>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877CC"/>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124"/>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1AF"/>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C87"/>
    <w:rsid w:val="00A22E67"/>
    <w:rsid w:val="00A22F33"/>
    <w:rsid w:val="00A239A7"/>
    <w:rsid w:val="00A23A16"/>
    <w:rsid w:val="00A23D6E"/>
    <w:rsid w:val="00A23D8F"/>
    <w:rsid w:val="00A24402"/>
    <w:rsid w:val="00A24C65"/>
    <w:rsid w:val="00A25AEE"/>
    <w:rsid w:val="00A260E8"/>
    <w:rsid w:val="00A26376"/>
    <w:rsid w:val="00A26BE1"/>
    <w:rsid w:val="00A272B3"/>
    <w:rsid w:val="00A303FF"/>
    <w:rsid w:val="00A30B46"/>
    <w:rsid w:val="00A30C5A"/>
    <w:rsid w:val="00A30E30"/>
    <w:rsid w:val="00A316E2"/>
    <w:rsid w:val="00A3232F"/>
    <w:rsid w:val="00A32E20"/>
    <w:rsid w:val="00A32F0C"/>
    <w:rsid w:val="00A32FE7"/>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0D0"/>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2E6"/>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1E6"/>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4A1"/>
    <w:rsid w:val="00C17B5B"/>
    <w:rsid w:val="00C17FAF"/>
    <w:rsid w:val="00C200BF"/>
    <w:rsid w:val="00C2018C"/>
    <w:rsid w:val="00C20389"/>
    <w:rsid w:val="00C207E5"/>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482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297"/>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0A6B"/>
    <w:rsid w:val="00CF1419"/>
    <w:rsid w:val="00CF156E"/>
    <w:rsid w:val="00CF1880"/>
    <w:rsid w:val="00CF1A39"/>
    <w:rsid w:val="00CF1B31"/>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669"/>
    <w:rsid w:val="00D04A3C"/>
    <w:rsid w:val="00D04B64"/>
    <w:rsid w:val="00D04FAC"/>
    <w:rsid w:val="00D05991"/>
    <w:rsid w:val="00D05B82"/>
    <w:rsid w:val="00D05D03"/>
    <w:rsid w:val="00D05EB5"/>
    <w:rsid w:val="00D06EEB"/>
    <w:rsid w:val="00D06F42"/>
    <w:rsid w:val="00D0726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7C8"/>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3D8B"/>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9E9"/>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027"/>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10"/>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C7F0E"/>
    <w:rsid w:val="00DD068B"/>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7A0"/>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07EFE"/>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045"/>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3E6"/>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4B"/>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3C6"/>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595"/>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19E"/>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C76"/>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6D4"/>
    <w:rsid w:val="00F35A2F"/>
    <w:rsid w:val="00F35A7F"/>
    <w:rsid w:val="00F35ADB"/>
    <w:rsid w:val="00F36710"/>
    <w:rsid w:val="00F36D73"/>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4F51"/>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5B0"/>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2026-02-11T22:41:00Z</dcterms:created>
  <dcterms:modified xsi:type="dcterms:W3CDTF">2026-02-13T21:54:00Z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