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16" w:rsidRDefault="000F0E61">
      <w:pPr>
        <w:ind w:left="1440" w:hanging="1440"/>
        <w:jc w:val="right"/>
        <w:rPr>
          <w:bCs/>
        </w:rPr>
      </w:pPr>
      <w:bookmarkStart w:id="0" w:name="OLE_LINK1"/>
      <w:bookmarkStart w:id="1" w:name="OLE_LINK2"/>
      <w:bookmarkStart w:id="2" w:name="OLE_LINK3"/>
      <w:bookmarkStart w:id="3" w:name="OLE_LINK4"/>
      <w:bookmarkStart w:id="4" w:name="OLE_LINK5"/>
      <w:bookmarkStart w:id="5" w:name="OLE_LINK6"/>
      <w:bookmarkStart w:id="6" w:name="_GoBack"/>
      <w:bookmarkEnd w:id="6"/>
      <w:r>
        <w:rPr>
          <w:bCs/>
        </w:rPr>
        <w:t>J</w:t>
      </w:r>
      <w:r w:rsidR="008E3ED8">
        <w:rPr>
          <w:bCs/>
        </w:rPr>
        <w:t>anuary 13</w:t>
      </w:r>
      <w:r w:rsidR="00961023">
        <w:rPr>
          <w:bCs/>
        </w:rPr>
        <w:t>, 201</w:t>
      </w:r>
      <w:r>
        <w:rPr>
          <w:bCs/>
        </w:rPr>
        <w:t>5</w:t>
      </w:r>
    </w:p>
    <w:p w:rsidR="00066516" w:rsidRDefault="001502E7">
      <w:pPr>
        <w:spacing w:before="120"/>
        <w:ind w:left="1440" w:hanging="1440"/>
        <w:rPr>
          <w:bCs/>
        </w:rPr>
      </w:pPr>
      <w:r>
        <w:rPr>
          <w:b/>
        </w:rPr>
        <w:t xml:space="preserve">TO:  </w:t>
      </w:r>
      <w:r>
        <w:rPr>
          <w:b/>
        </w:rPr>
        <w:tab/>
      </w:r>
      <w:r>
        <w:rPr>
          <w:bCs/>
        </w:rPr>
        <w:t>NAESB Board of Directors, Executive Committee (EC) Members, EC Alternates, and Invited Guests</w:t>
      </w:r>
    </w:p>
    <w:p w:rsidR="00066516" w:rsidRDefault="001502E7">
      <w:pPr>
        <w:spacing w:before="120"/>
        <w:outlineLvl w:val="0"/>
        <w:rPr>
          <w:bCs/>
        </w:rPr>
      </w:pPr>
      <w:r>
        <w:rPr>
          <w:b/>
        </w:rPr>
        <w:t xml:space="preserve">FROM: </w:t>
      </w:r>
      <w:r>
        <w:rPr>
          <w:b/>
        </w:rPr>
        <w:tab/>
      </w:r>
      <w:r>
        <w:t>Jonathan Booe</w:t>
      </w:r>
      <w:r>
        <w:rPr>
          <w:bCs/>
        </w:rPr>
        <w:t xml:space="preserve">, NAESB </w:t>
      </w:r>
      <w:r w:rsidR="00B92EF6">
        <w:rPr>
          <w:bCs/>
        </w:rPr>
        <w:t>Vice President</w:t>
      </w:r>
    </w:p>
    <w:p w:rsidR="00066516" w:rsidRDefault="001502E7">
      <w:pPr>
        <w:pBdr>
          <w:bottom w:val="single" w:sz="12" w:space="1" w:color="auto"/>
        </w:pBdr>
        <w:spacing w:before="120"/>
        <w:ind w:left="1440" w:hanging="1440"/>
        <w:rPr>
          <w:bCs/>
        </w:rPr>
      </w:pPr>
      <w:r>
        <w:rPr>
          <w:b/>
        </w:rPr>
        <w:t xml:space="preserve">RE:  </w:t>
      </w:r>
      <w:r>
        <w:rPr>
          <w:b/>
        </w:rPr>
        <w:tab/>
      </w:r>
      <w:r w:rsidR="000F0E61" w:rsidRPr="000F0E61">
        <w:t>Draft</w:t>
      </w:r>
      <w:r w:rsidR="00CB08AD" w:rsidRPr="000F0E61">
        <w:t xml:space="preserve"> </w:t>
      </w:r>
      <w:r w:rsidR="000F0E61">
        <w:rPr>
          <w:bCs/>
        </w:rPr>
        <w:t>Minutes from</w:t>
      </w:r>
      <w:r>
        <w:rPr>
          <w:bCs/>
        </w:rPr>
        <w:t xml:space="preserve"> the NAESB Board</w:t>
      </w:r>
      <w:r w:rsidR="00986E1D">
        <w:rPr>
          <w:bCs/>
        </w:rPr>
        <w:t xml:space="preserve"> of Directors</w:t>
      </w:r>
      <w:r>
        <w:rPr>
          <w:bCs/>
        </w:rPr>
        <w:t xml:space="preserve"> Meeting –</w:t>
      </w:r>
      <w:r w:rsidR="00B41303">
        <w:rPr>
          <w:bCs/>
        </w:rPr>
        <w:t xml:space="preserve"> </w:t>
      </w:r>
      <w:r w:rsidR="000F0E61">
        <w:rPr>
          <w:bCs/>
        </w:rPr>
        <w:t>December</w:t>
      </w:r>
      <w:r w:rsidR="00CB08AD">
        <w:rPr>
          <w:bCs/>
        </w:rPr>
        <w:t xml:space="preserve"> 11</w:t>
      </w:r>
      <w:r w:rsidR="00B41303">
        <w:rPr>
          <w:bCs/>
        </w:rPr>
        <w:t>, 2014</w:t>
      </w:r>
    </w:p>
    <w:bookmarkEnd w:id="0"/>
    <w:bookmarkEnd w:id="1"/>
    <w:bookmarkEnd w:id="2"/>
    <w:bookmarkEnd w:id="3"/>
    <w:bookmarkEnd w:id="4"/>
    <w:bookmarkEnd w:id="5"/>
    <w:p w:rsidR="00066516" w:rsidRDefault="00066516">
      <w:pPr>
        <w:pStyle w:val="BodyText"/>
        <w:spacing w:before="60"/>
        <w:jc w:val="center"/>
        <w:outlineLvl w:val="0"/>
        <w:rPr>
          <w:b/>
          <w:sz w:val="20"/>
        </w:rPr>
      </w:pPr>
    </w:p>
    <w:p w:rsidR="00066516" w:rsidRDefault="001502E7">
      <w:pPr>
        <w:pStyle w:val="BodyText"/>
        <w:spacing w:before="60"/>
        <w:jc w:val="center"/>
        <w:outlineLvl w:val="0"/>
        <w:rPr>
          <w:b/>
          <w:sz w:val="20"/>
        </w:rPr>
      </w:pPr>
      <w:r>
        <w:rPr>
          <w:b/>
          <w:sz w:val="20"/>
        </w:rPr>
        <w:t>NAESB BOARD OF DIRECTORS MEETING</w:t>
      </w:r>
      <w:r w:rsidR="00D7088E">
        <w:rPr>
          <w:b/>
          <w:sz w:val="20"/>
        </w:rPr>
        <w:t xml:space="preserve"> &amp; MEETING OF THE MEMBERS</w:t>
      </w:r>
    </w:p>
    <w:p w:rsidR="00066516" w:rsidRDefault="001502E7">
      <w:pPr>
        <w:pStyle w:val="BodyText"/>
        <w:jc w:val="center"/>
        <w:rPr>
          <w:b/>
          <w:sz w:val="20"/>
        </w:rPr>
      </w:pPr>
      <w:r>
        <w:rPr>
          <w:b/>
          <w:bCs/>
          <w:sz w:val="20"/>
        </w:rPr>
        <w:t>Four Seasons Hotel</w:t>
      </w:r>
      <w:r>
        <w:rPr>
          <w:b/>
          <w:sz w:val="20"/>
        </w:rPr>
        <w:t xml:space="preserve">, Houston, Texas </w:t>
      </w:r>
    </w:p>
    <w:p w:rsidR="00066516" w:rsidRDefault="001502E7">
      <w:pPr>
        <w:pStyle w:val="BodyText"/>
        <w:jc w:val="center"/>
        <w:rPr>
          <w:b/>
          <w:sz w:val="20"/>
        </w:rPr>
      </w:pPr>
      <w:r>
        <w:rPr>
          <w:b/>
          <w:sz w:val="20"/>
        </w:rPr>
        <w:t xml:space="preserve">Thursday, </w:t>
      </w:r>
      <w:r w:rsidR="000F0E61">
        <w:rPr>
          <w:b/>
          <w:sz w:val="20"/>
        </w:rPr>
        <w:t xml:space="preserve">December </w:t>
      </w:r>
      <w:r w:rsidR="00CB08AD">
        <w:rPr>
          <w:b/>
          <w:sz w:val="20"/>
        </w:rPr>
        <w:t>11</w:t>
      </w:r>
      <w:r w:rsidR="00B92EF6">
        <w:rPr>
          <w:b/>
          <w:sz w:val="20"/>
        </w:rPr>
        <w:t>, 201</w:t>
      </w:r>
      <w:r w:rsidR="00B41303">
        <w:rPr>
          <w:b/>
          <w:sz w:val="20"/>
        </w:rPr>
        <w:t>4</w:t>
      </w:r>
      <w:r>
        <w:rPr>
          <w:b/>
          <w:sz w:val="20"/>
        </w:rPr>
        <w:t xml:space="preserve"> – 9:00 a.m. to 1:00 p</w:t>
      </w:r>
      <w:r w:rsidR="00E53A68">
        <w:rPr>
          <w:b/>
          <w:sz w:val="20"/>
        </w:rPr>
        <w:t>.</w:t>
      </w:r>
      <w:r>
        <w:rPr>
          <w:b/>
          <w:sz w:val="20"/>
        </w:rPr>
        <w:t>m</w:t>
      </w:r>
      <w:r w:rsidR="00E53A68">
        <w:rPr>
          <w:b/>
          <w:sz w:val="20"/>
        </w:rPr>
        <w:t>.</w:t>
      </w:r>
      <w:r>
        <w:rPr>
          <w:b/>
          <w:sz w:val="20"/>
        </w:rPr>
        <w:t xml:space="preserve"> Central</w:t>
      </w:r>
    </w:p>
    <w:p w:rsidR="00066516" w:rsidRDefault="000F0E61">
      <w:pPr>
        <w:pStyle w:val="BodyText"/>
        <w:jc w:val="center"/>
        <w:outlineLvl w:val="0"/>
        <w:rPr>
          <w:b/>
          <w:caps/>
          <w:sz w:val="20"/>
        </w:rPr>
      </w:pPr>
      <w:r>
        <w:rPr>
          <w:b/>
          <w:caps/>
          <w:sz w:val="20"/>
        </w:rPr>
        <w:t>DRAFT</w:t>
      </w:r>
      <w:r w:rsidR="001502E7">
        <w:rPr>
          <w:b/>
          <w:caps/>
          <w:sz w:val="20"/>
        </w:rPr>
        <w:t xml:space="preserve"> Minutes</w:t>
      </w:r>
    </w:p>
    <w:p w:rsidR="00066516" w:rsidRDefault="001502E7">
      <w:pPr>
        <w:numPr>
          <w:ilvl w:val="0"/>
          <w:numId w:val="6"/>
        </w:numPr>
        <w:tabs>
          <w:tab w:val="clear" w:pos="1080"/>
        </w:tabs>
        <w:spacing w:before="120"/>
        <w:ind w:left="720"/>
        <w:rPr>
          <w:b/>
        </w:rPr>
      </w:pPr>
      <w:r>
        <w:rPr>
          <w:b/>
        </w:rPr>
        <w:t>Administration and Welcome</w:t>
      </w:r>
    </w:p>
    <w:p w:rsidR="00417EEE" w:rsidRPr="00961023" w:rsidRDefault="000F0E61">
      <w:pPr>
        <w:spacing w:before="120"/>
      </w:pPr>
      <w:r>
        <w:t xml:space="preserve">Ms. Crockett </w:t>
      </w:r>
      <w:r w:rsidR="001502E7">
        <w:t xml:space="preserve">welcomed the </w:t>
      </w:r>
      <w:r w:rsidR="00986E1D">
        <w:t>board</w:t>
      </w:r>
      <w:r w:rsidR="001502E7">
        <w:t xml:space="preserve"> members and guests in the room and on the phone.  Mr. Booe provided the antitrust and meeting policy guidance and called the roll of the NAESB </w:t>
      </w:r>
      <w:r w:rsidR="00986E1D">
        <w:t>board</w:t>
      </w:r>
      <w:r w:rsidR="001502E7">
        <w:t xml:space="preserve"> members.  Quorum was established</w:t>
      </w:r>
      <w:r w:rsidR="00B92EF6">
        <w:t xml:space="preserve"> in all quadrants</w:t>
      </w:r>
      <w:r w:rsidR="001502E7">
        <w:t>.</w:t>
      </w:r>
      <w:r>
        <w:t xml:space="preserve">  Ms. Crockett</w:t>
      </w:r>
      <w:r w:rsidR="00C351BA" w:rsidRPr="00961023">
        <w:t xml:space="preserve"> noted the incoming and outgoing members and thanked the invited guests for their attendance. </w:t>
      </w:r>
    </w:p>
    <w:p w:rsidR="00066516" w:rsidRDefault="001502E7">
      <w:pPr>
        <w:numPr>
          <w:ilvl w:val="0"/>
          <w:numId w:val="6"/>
        </w:numPr>
        <w:tabs>
          <w:tab w:val="clear" w:pos="1080"/>
        </w:tabs>
        <w:spacing w:before="120"/>
        <w:ind w:left="720"/>
        <w:rPr>
          <w:b/>
        </w:rPr>
      </w:pPr>
      <w:r>
        <w:rPr>
          <w:b/>
        </w:rPr>
        <w:t>Adoption of the Consent Agenda</w:t>
      </w:r>
    </w:p>
    <w:p w:rsidR="00F75171" w:rsidRPr="00420008" w:rsidRDefault="000F0E61" w:rsidP="00F75171">
      <w:pPr>
        <w:spacing w:before="120"/>
      </w:pPr>
      <w:r>
        <w:t xml:space="preserve">Ms. Crockett </w:t>
      </w:r>
      <w:r w:rsidR="00FA3FB9">
        <w:t xml:space="preserve">reviewed the consent agenda, which included the </w:t>
      </w:r>
      <w:hyperlink r:id="rId9" w:history="1">
        <w:r w:rsidR="00FA3FB9" w:rsidRPr="008E3ED8">
          <w:rPr>
            <w:rStyle w:val="Hyperlink"/>
          </w:rPr>
          <w:t>agenda</w:t>
        </w:r>
      </w:hyperlink>
      <w:r w:rsidR="00FA3FB9">
        <w:t xml:space="preserve">, the </w:t>
      </w:r>
      <w:r w:rsidR="00FA3FB9" w:rsidRPr="00CB08AD">
        <w:t>draft minutes</w:t>
      </w:r>
      <w:r w:rsidR="00FA3FB9">
        <w:t xml:space="preserve"> from the</w:t>
      </w:r>
      <w:r w:rsidR="00B41303">
        <w:t xml:space="preserve"> </w:t>
      </w:r>
      <w:hyperlink r:id="rId10" w:history="1">
        <w:r w:rsidR="008E3ED8" w:rsidRPr="008E3ED8">
          <w:rPr>
            <w:rStyle w:val="Hyperlink"/>
          </w:rPr>
          <w:t>September 11</w:t>
        </w:r>
        <w:r w:rsidR="00FA3FB9" w:rsidRPr="008E3ED8">
          <w:rPr>
            <w:rStyle w:val="Hyperlink"/>
          </w:rPr>
          <w:t>, 201</w:t>
        </w:r>
        <w:r w:rsidR="00CB08AD" w:rsidRPr="008E3ED8">
          <w:rPr>
            <w:rStyle w:val="Hyperlink"/>
          </w:rPr>
          <w:t>4</w:t>
        </w:r>
      </w:hyperlink>
      <w:r w:rsidR="00CB08AD">
        <w:t xml:space="preserve"> </w:t>
      </w:r>
      <w:r w:rsidR="008E3ED8">
        <w:t>Boa</w:t>
      </w:r>
      <w:r w:rsidR="00FA3FB9">
        <w:t>rd of Directors meeting</w:t>
      </w:r>
      <w:r w:rsidR="00CB08AD">
        <w:t>s</w:t>
      </w:r>
      <w:r w:rsidR="00FA3FB9">
        <w:t xml:space="preserve"> and the 201</w:t>
      </w:r>
      <w:r w:rsidR="001511F4">
        <w:t>4</w:t>
      </w:r>
      <w:r w:rsidR="00FA3FB9">
        <w:t xml:space="preserve"> </w:t>
      </w:r>
      <w:hyperlink r:id="rId11" w:history="1">
        <w:r w:rsidR="00FA3FB9" w:rsidRPr="008E3ED8">
          <w:rPr>
            <w:rStyle w:val="Hyperlink"/>
          </w:rPr>
          <w:t>Wholesale Gas</w:t>
        </w:r>
      </w:hyperlink>
      <w:r w:rsidR="008E3ED8">
        <w:t xml:space="preserve"> annual plan</w:t>
      </w:r>
      <w:r w:rsidR="00FA3FB9">
        <w:t>.</w:t>
      </w:r>
      <w:r w:rsidR="008E3ED8">
        <w:t xml:space="preserve">  The 2014 Wholesale Electric and Retail annual plans were removed from the consent agenda as modifications were offered during the leadership meetings. </w:t>
      </w:r>
      <w:r w:rsidR="00FA3FB9">
        <w:t xml:space="preserve">Mr. </w:t>
      </w:r>
      <w:proofErr w:type="spellStart"/>
      <w:r w:rsidR="008E3ED8">
        <w:t>Stultz</w:t>
      </w:r>
      <w:proofErr w:type="spellEnd"/>
      <w:r w:rsidR="00D7088E">
        <w:t xml:space="preserve"> </w:t>
      </w:r>
      <w:r w:rsidR="00FA3FB9">
        <w:t xml:space="preserve">moved to adopt the consent agenda and Mr. </w:t>
      </w:r>
      <w:r w:rsidR="008E3ED8">
        <w:t>True</w:t>
      </w:r>
      <w:r w:rsidR="00FA3FB9">
        <w:t xml:space="preserve"> seconded the motion.  The motion passed without opposition.  </w:t>
      </w:r>
    </w:p>
    <w:p w:rsidR="00D7088E" w:rsidRDefault="00E87283" w:rsidP="00D7088E">
      <w:pPr>
        <w:numPr>
          <w:ilvl w:val="0"/>
          <w:numId w:val="6"/>
        </w:numPr>
        <w:tabs>
          <w:tab w:val="clear" w:pos="1080"/>
        </w:tabs>
        <w:spacing w:before="120"/>
        <w:ind w:left="720"/>
        <w:rPr>
          <w:b/>
        </w:rPr>
      </w:pPr>
      <w:r>
        <w:rPr>
          <w:b/>
        </w:rPr>
        <w:t xml:space="preserve">Remarks from David </w:t>
      </w:r>
      <w:proofErr w:type="spellStart"/>
      <w:r>
        <w:rPr>
          <w:b/>
        </w:rPr>
        <w:t>Cruthirds</w:t>
      </w:r>
      <w:proofErr w:type="spellEnd"/>
    </w:p>
    <w:p w:rsidR="00E87283" w:rsidRDefault="00714310" w:rsidP="00D7088E">
      <w:pPr>
        <w:spacing w:before="120"/>
      </w:pPr>
      <w:r>
        <w:t>M</w:t>
      </w:r>
      <w:r w:rsidR="00E87283">
        <w:t xml:space="preserve">s. McQuade introduced Mr. </w:t>
      </w:r>
      <w:proofErr w:type="spellStart"/>
      <w:r w:rsidR="00E87283">
        <w:t>Cruthirds</w:t>
      </w:r>
      <w:proofErr w:type="spellEnd"/>
      <w:r w:rsidR="00E87283">
        <w:t xml:space="preserve"> and thanked him for attending the meeting. Mr. </w:t>
      </w:r>
      <w:proofErr w:type="spellStart"/>
      <w:r w:rsidR="00E87283">
        <w:t>Cruthirds</w:t>
      </w:r>
      <w:proofErr w:type="spellEnd"/>
      <w:r w:rsidR="00E87283">
        <w:t xml:space="preserve"> delivered a presentation from his perspectives as a regulatory attorney and the publisher of an energy industry newsletter</w:t>
      </w:r>
      <w:r w:rsidR="009B23F3">
        <w:t xml:space="preserve"> concerning emerging issues the industry will have to address.  His remarks focused on retail market challenges, gas and electric coordination issues and how new legislation and regulation will impact the resource mix for power generators.  Upon the conclusion of his remarks, Ms. McQuade thanked Mr. </w:t>
      </w:r>
      <w:proofErr w:type="spellStart"/>
      <w:r w:rsidR="009B23F3">
        <w:t>Cruthirds</w:t>
      </w:r>
      <w:proofErr w:type="spellEnd"/>
      <w:r w:rsidR="009B23F3">
        <w:t xml:space="preserve"> and encouraged the participants to ask Mr. </w:t>
      </w:r>
      <w:proofErr w:type="spellStart"/>
      <w:r w:rsidR="009B23F3">
        <w:t>Cruthirds</w:t>
      </w:r>
      <w:proofErr w:type="spellEnd"/>
      <w:r w:rsidR="009B23F3">
        <w:t xml:space="preserve"> any questions they may have concerning his remarks during a break or after the meeting. </w:t>
      </w:r>
      <w:r w:rsidR="00E87283">
        <w:t xml:space="preserve">  </w:t>
      </w:r>
    </w:p>
    <w:p w:rsidR="00066516" w:rsidRDefault="001502E7">
      <w:pPr>
        <w:numPr>
          <w:ilvl w:val="0"/>
          <w:numId w:val="6"/>
        </w:numPr>
        <w:tabs>
          <w:tab w:val="clear" w:pos="1080"/>
        </w:tabs>
        <w:spacing w:before="120"/>
        <w:ind w:left="720"/>
        <w:rPr>
          <w:b/>
        </w:rPr>
      </w:pPr>
      <w:r>
        <w:rPr>
          <w:b/>
        </w:rPr>
        <w:t>Membership and Financial Report</w:t>
      </w:r>
    </w:p>
    <w:p w:rsidR="005009EF" w:rsidRDefault="001502E7" w:rsidP="00F94A0A">
      <w:pPr>
        <w:spacing w:before="120"/>
      </w:pPr>
      <w:r>
        <w:rPr>
          <w:u w:val="single"/>
        </w:rPr>
        <w:t xml:space="preserve">Membership </w:t>
      </w:r>
      <w:r w:rsidR="009E597E">
        <w:rPr>
          <w:u w:val="single"/>
        </w:rPr>
        <w:t xml:space="preserve">&amp; Financial </w:t>
      </w:r>
      <w:r>
        <w:rPr>
          <w:u w:val="single"/>
        </w:rPr>
        <w:t>Report</w:t>
      </w:r>
      <w:r>
        <w:t xml:space="preserve">:  </w:t>
      </w:r>
      <w:r w:rsidR="003F4123">
        <w:t xml:space="preserve">Ms. McQuade </w:t>
      </w:r>
      <w:r w:rsidR="00420008">
        <w:t xml:space="preserve">provided the </w:t>
      </w:r>
      <w:r w:rsidR="003F4123">
        <w:t xml:space="preserve">membership </w:t>
      </w:r>
      <w:r w:rsidR="004012DF">
        <w:t xml:space="preserve">and financial </w:t>
      </w:r>
      <w:hyperlink r:id="rId12" w:history="1">
        <w:r w:rsidR="00420008" w:rsidRPr="009B23F3">
          <w:rPr>
            <w:rStyle w:val="Hyperlink"/>
          </w:rPr>
          <w:t>report</w:t>
        </w:r>
      </w:hyperlink>
      <w:r w:rsidR="00420008">
        <w:t xml:space="preserve">. </w:t>
      </w:r>
      <w:r w:rsidR="003F4123">
        <w:t>She noted that</w:t>
      </w:r>
      <w:r w:rsidR="009B23F3">
        <w:t xml:space="preserve"> the materials include a new chart requested by Mr. Desselle that is intended to succinctly highlight the current status of the membership and the finances of the organization.  She reviewed the new chart with the </w:t>
      </w:r>
      <w:r w:rsidR="00D333B4">
        <w:t>participants and stated that it graphically summarizes</w:t>
      </w:r>
      <w:r w:rsidR="009B23F3">
        <w:t xml:space="preserve"> the </w:t>
      </w:r>
      <w:r w:rsidR="00D333B4">
        <w:t xml:space="preserve">status </w:t>
      </w:r>
      <w:r w:rsidR="009B23F3">
        <w:t>of the organization</w:t>
      </w:r>
      <w:r w:rsidR="00D333B4">
        <w:t xml:space="preserve">’s health in a number of important areas by comparing the current year’s </w:t>
      </w:r>
      <w:r w:rsidR="0022510A">
        <w:t>figures</w:t>
      </w:r>
      <w:r w:rsidR="00D333B4">
        <w:t xml:space="preserve"> to the previous years and/or </w:t>
      </w:r>
      <w:r w:rsidR="0022510A">
        <w:t>current budgeted figure</w:t>
      </w:r>
      <w:r w:rsidR="00D333B4">
        <w:t>s.</w:t>
      </w:r>
      <w:r w:rsidR="005009EF">
        <w:t xml:space="preserve">  As detailed in the chart, the organization is in a better position financially than the previous year with the exception of an increase in expenses.  However, the increased expenses can be attributed to the gas-electric harmonization forum activities, which also provided an increase in revenue due to the institution of a meeting attendance fee.  Ms. McQuade noted that the expense of hosting the forum meetings outweighed the revenue generated by the meeting attendance fees. </w:t>
      </w:r>
    </w:p>
    <w:p w:rsidR="00CF4C0C" w:rsidRDefault="005009EF" w:rsidP="00F94A0A">
      <w:pPr>
        <w:spacing w:before="120"/>
      </w:pPr>
      <w:r>
        <w:t>Next, Ms. McQuade reviewed the membership report.</w:t>
      </w:r>
      <w:r w:rsidR="003F4123">
        <w:t xml:space="preserve"> </w:t>
      </w:r>
      <w:r>
        <w:t>T</w:t>
      </w:r>
      <w:r w:rsidR="003F4123">
        <w:t xml:space="preserve">here has been a net </w:t>
      </w:r>
      <w:r w:rsidR="004012DF">
        <w:t xml:space="preserve">increase </w:t>
      </w:r>
      <w:r w:rsidR="003F4123">
        <w:t xml:space="preserve">of </w:t>
      </w:r>
      <w:r>
        <w:t>nine</w:t>
      </w:r>
      <w:r w:rsidR="00420008">
        <w:t xml:space="preserve"> </w:t>
      </w:r>
      <w:r w:rsidR="003F4123">
        <w:t xml:space="preserve">members since </w:t>
      </w:r>
      <w:r w:rsidR="00904374">
        <w:t>the beginning of the year</w:t>
      </w:r>
      <w:r w:rsidR="00CF4C0C">
        <w:t xml:space="preserve">, which is </w:t>
      </w:r>
      <w:r>
        <w:t>significant consider</w:t>
      </w:r>
      <w:r w:rsidR="00CF4C0C">
        <w:t>ing the large number</w:t>
      </w:r>
      <w:r w:rsidR="004012DF">
        <w:t xml:space="preserve"> of </w:t>
      </w:r>
      <w:r w:rsidR="00CF4C0C">
        <w:t xml:space="preserve">resigning </w:t>
      </w:r>
      <w:r w:rsidR="004012DF">
        <w:t>members</w:t>
      </w:r>
      <w:r w:rsidR="00CF4C0C">
        <w:t>, a majority in the Wholesale Gas Quadrant (WGQ).  Ms. McQuade reviewed the resignations</w:t>
      </w:r>
      <w:r w:rsidR="00B8062F">
        <w:t xml:space="preserve">, </w:t>
      </w:r>
      <w:r w:rsidR="00CF4C0C">
        <w:t>the membership volatility report</w:t>
      </w:r>
      <w:r w:rsidR="00B8062F">
        <w:t xml:space="preserve"> and the newly created membership comparison chart, which tracks the </w:t>
      </w:r>
      <w:r w:rsidR="00F55676">
        <w:t xml:space="preserve">monthly </w:t>
      </w:r>
      <w:r w:rsidR="00B8062F">
        <w:t>membership figures</w:t>
      </w:r>
      <w:r w:rsidR="00F55676">
        <w:t xml:space="preserve"> in 2012, 2013 and 2014.</w:t>
      </w:r>
      <w:r w:rsidR="00B8062F">
        <w:t xml:space="preserve"> </w:t>
      </w:r>
      <w:r w:rsidR="00CF4C0C">
        <w:t xml:space="preserve"> </w:t>
      </w:r>
      <w:r w:rsidR="00F55676">
        <w:t xml:space="preserve">She also reviewed the balance sheet with the participants comparing current to previous years, noting that we </w:t>
      </w:r>
      <w:r w:rsidR="00F55676">
        <w:lastRenderedPageBreak/>
        <w:t xml:space="preserve">have almost $300,000 more in net income than last year. Based on previous years, we are expecting to close the year with $150,000 more income than was included in the budget, which will help defray the extra expenses associated with the gas-electric harmonization forum activities. </w:t>
      </w:r>
      <w:r w:rsidR="009E597E">
        <w:t xml:space="preserve">Based on </w:t>
      </w:r>
      <w:r w:rsidR="00F55676">
        <w:t>estimates</w:t>
      </w:r>
      <w:r w:rsidR="009E597E">
        <w:t>, the additional income should result in a $</w:t>
      </w:r>
      <w:r w:rsidR="00F55676">
        <w:t xml:space="preserve">98,000 surplus that will address a portion of the negative retained earnings. </w:t>
      </w:r>
      <w:r w:rsidR="009E597E">
        <w:t>Ms. Mc</w:t>
      </w:r>
      <w:r w:rsidR="00D70371">
        <w:t xml:space="preserve">Quade </w:t>
      </w:r>
      <w:r w:rsidR="009E597E">
        <w:t xml:space="preserve">reviewed a </w:t>
      </w:r>
      <w:hyperlink r:id="rId13" w:history="1">
        <w:r w:rsidR="009E597E" w:rsidRPr="00D70371">
          <w:rPr>
            <w:rStyle w:val="Hyperlink"/>
          </w:rPr>
          <w:t>report</w:t>
        </w:r>
      </w:hyperlink>
      <w:r w:rsidR="009E597E">
        <w:t xml:space="preserve"> highlighting the new and resigning members in 2014 and details the companies’ reason for joining or leaving. </w:t>
      </w:r>
    </w:p>
    <w:p w:rsidR="00D70371" w:rsidRDefault="009E597E" w:rsidP="000E318F">
      <w:pPr>
        <w:spacing w:before="120"/>
      </w:pPr>
      <w:r>
        <w:rPr>
          <w:u w:val="single"/>
        </w:rPr>
        <w:t>2015 Proposed Budget</w:t>
      </w:r>
      <w:r w:rsidR="00F57CDD">
        <w:t xml:space="preserve">: </w:t>
      </w:r>
      <w:r w:rsidR="00356839">
        <w:t>Nex</w:t>
      </w:r>
      <w:r w:rsidR="008F5768">
        <w:t xml:space="preserve">t, Ms. McQuade reviewed the </w:t>
      </w:r>
      <w:hyperlink r:id="rId14" w:history="1">
        <w:r w:rsidRPr="00D70371">
          <w:rPr>
            <w:rStyle w:val="Hyperlink"/>
          </w:rPr>
          <w:t>proposed 2015</w:t>
        </w:r>
        <w:r w:rsidR="00890D27" w:rsidRPr="00D70371">
          <w:rPr>
            <w:rStyle w:val="Hyperlink"/>
          </w:rPr>
          <w:t xml:space="preserve"> </w:t>
        </w:r>
        <w:r w:rsidRPr="00D70371">
          <w:rPr>
            <w:rStyle w:val="Hyperlink"/>
          </w:rPr>
          <w:t>budget</w:t>
        </w:r>
      </w:hyperlink>
      <w:r w:rsidR="00890D27">
        <w:t xml:space="preserve">.  She noted that </w:t>
      </w:r>
      <w:r w:rsidR="00D70371">
        <w:t xml:space="preserve">the </w:t>
      </w:r>
      <w:r>
        <w:t>proposed budget is based upon</w:t>
      </w:r>
      <w:r w:rsidR="00D70371">
        <w:t xml:space="preserve"> the revenue and expenses from 2014; however, a number of adjustments have been made to account for the increase in revenue and expenses resulting from the gas-electric harmonization forum, a reduction in the number of expected new memberships and other such outlying factors.  Mr. Peress moved to adopt the proposed 2015 budget and Mr. True seconded the motion.  The motion passed without opposition. </w:t>
      </w:r>
      <w:r>
        <w:t xml:space="preserve"> </w:t>
      </w:r>
    </w:p>
    <w:p w:rsidR="00066516" w:rsidRPr="000E318F" w:rsidRDefault="000E318F" w:rsidP="004D7D0B">
      <w:pPr>
        <w:keepNext/>
        <w:tabs>
          <w:tab w:val="left" w:pos="720"/>
          <w:tab w:val="left" w:pos="2160"/>
        </w:tabs>
        <w:spacing w:before="120"/>
        <w:rPr>
          <w:b/>
        </w:rPr>
      </w:pPr>
      <w:r w:rsidRPr="000E318F">
        <w:rPr>
          <w:b/>
        </w:rPr>
        <w:t>5.</w:t>
      </w:r>
      <w:r w:rsidRPr="000E318F">
        <w:rPr>
          <w:b/>
        </w:rPr>
        <w:tab/>
      </w:r>
      <w:r w:rsidR="001502E7" w:rsidRPr="000E318F">
        <w:rPr>
          <w:b/>
        </w:rPr>
        <w:t>Reports from Board Committees</w:t>
      </w:r>
    </w:p>
    <w:p w:rsidR="006F24EE" w:rsidRDefault="00417EEE" w:rsidP="00417EEE">
      <w:pPr>
        <w:spacing w:before="120"/>
      </w:pPr>
      <w:r w:rsidRPr="00F57CDD">
        <w:rPr>
          <w:u w:val="single"/>
        </w:rPr>
        <w:t>Managing Committee</w:t>
      </w:r>
      <w:r w:rsidR="00F57CDD" w:rsidRPr="00F57CDD">
        <w:t>:</w:t>
      </w:r>
      <w:r w:rsidR="00F57CDD">
        <w:rPr>
          <w:b/>
        </w:rPr>
        <w:t xml:space="preserve"> </w:t>
      </w:r>
      <w:r w:rsidR="00D70371">
        <w:t>Ms</w:t>
      </w:r>
      <w:r w:rsidR="007B6BBF">
        <w:t xml:space="preserve">. </w:t>
      </w:r>
      <w:r w:rsidR="00D70371">
        <w:t>Crockett</w:t>
      </w:r>
      <w:r w:rsidR="007B6BBF">
        <w:t xml:space="preserve"> stated that</w:t>
      </w:r>
      <w:r w:rsidR="000E318F">
        <w:t xml:space="preserve"> the Managing Committee met on </w:t>
      </w:r>
      <w:r w:rsidR="00D70371">
        <w:t>September 26</w:t>
      </w:r>
      <w:r w:rsidR="00D70371" w:rsidRPr="00D70371">
        <w:rPr>
          <w:vertAlign w:val="superscript"/>
        </w:rPr>
        <w:t>th</w:t>
      </w:r>
      <w:r w:rsidR="00D70371">
        <w:t xml:space="preserve"> and November 20</w:t>
      </w:r>
      <w:r w:rsidR="00D70371" w:rsidRPr="00D70371">
        <w:rPr>
          <w:vertAlign w:val="superscript"/>
        </w:rPr>
        <w:t>th</w:t>
      </w:r>
      <w:r w:rsidR="00D70371">
        <w:t xml:space="preserve"> </w:t>
      </w:r>
      <w:r w:rsidR="000E318F">
        <w:t xml:space="preserve">to discuss the </w:t>
      </w:r>
      <w:r w:rsidR="00D70371">
        <w:t>NAESB course format, a number of Federal Energy Regulatory Commission (FERC) filings</w:t>
      </w:r>
      <w:r w:rsidR="006F24EE">
        <w:t>, change orders to support the Electric Industry Registry (EIR), a request to consider standards development from the American National Standards Institute (</w:t>
      </w:r>
      <w:smartTag w:uri="urn:schemas-microsoft-com:office:smarttags" w:element="stockticker">
        <w:r w:rsidR="006F24EE">
          <w:t>ANSI</w:t>
        </w:r>
      </w:smartTag>
      <w:r w:rsidR="006F24EE">
        <w:t>) and a request to provide the standards in an editable format</w:t>
      </w:r>
      <w:r w:rsidR="000E318F">
        <w:t xml:space="preserve">.  </w:t>
      </w:r>
      <w:r w:rsidR="006F24EE">
        <w:t xml:space="preserve">She stated that the Managing Committee also endorsed the </w:t>
      </w:r>
      <w:hyperlink r:id="rId15" w:history="1">
        <w:r w:rsidR="006F24EE" w:rsidRPr="006F24EE">
          <w:rPr>
            <w:rStyle w:val="Hyperlink"/>
          </w:rPr>
          <w:t>resolution</w:t>
        </w:r>
      </w:hyperlink>
      <w:r w:rsidR="006F24EE">
        <w:t xml:space="preserve"> proposed by the Parliamentary Committee to permanently merge the two retail quadrants into the Retail Markets Quadrant and reviewed the resolution with the participants.  Mr. Cargas moved to adopt the resolution and Mr. Hurley seconded the motion. There was no opposition to the motion. A notational ballot will be distributed to the absentee Board members to ensure the</w:t>
      </w:r>
      <w:r w:rsidR="003630E0">
        <w:t xml:space="preserve"> voting</w:t>
      </w:r>
      <w:r w:rsidR="006F24EE">
        <w:t xml:space="preserve"> thresholds are met for modifying the Bylaws. Mr. Peress confirmed that the balanced voting requirements would</w:t>
      </w:r>
      <w:r w:rsidR="003630E0">
        <w:t xml:space="preserve"> not be affected by the merger.  Mr. Booe provided a review of the current status of the EIR and noted that a request has been made to increase the EIR registry fee so that the cost of industry requested change orders will be covered by the money collected for use of the industry.  This will ensure that the EIR continues to be an industry funded tool as was originally contemplated.  Ms. Crockett reviewed the </w:t>
      </w:r>
      <w:hyperlink r:id="rId16" w:history="1">
        <w:r w:rsidR="003630E0" w:rsidRPr="003630E0">
          <w:rPr>
            <w:rStyle w:val="Hyperlink"/>
          </w:rPr>
          <w:t>resolution</w:t>
        </w:r>
      </w:hyperlink>
      <w:r w:rsidR="003630E0">
        <w:t xml:space="preserve"> to adopt the fee increase as proposed by the Managing Committee with the participants.  Mr. Desselle moved to adopt the resolution and Mr. True seconded the motion.  Ms. Munson noted a typo in the resolution and Mr. Gent stated that $200 per role in the EIR is a reasonable fee and thanked NAESB and OATI for providing such an accurate estimate for funding the tool when originally created. The motion passed without opposition. </w:t>
      </w:r>
    </w:p>
    <w:p w:rsidR="00F91203" w:rsidRDefault="00F91203" w:rsidP="00F91203">
      <w:pPr>
        <w:spacing w:before="120"/>
      </w:pPr>
      <w:r>
        <w:rPr>
          <w:u w:val="single"/>
        </w:rPr>
        <w:t>Revenue</w:t>
      </w:r>
      <w:r w:rsidRPr="00F57CDD">
        <w:rPr>
          <w:u w:val="single"/>
        </w:rPr>
        <w:t xml:space="preserve"> Committee</w:t>
      </w:r>
      <w:r>
        <w:t xml:space="preserve">:  Mr. Desselle stated that the Revenue Committee met once since the last Board meeting and has continued discussions concerning the publication cycles, communication efforts and the status of the Membership Stabilization Task Force as they consider solutions for the stabilization of the membership revenue for committee for consideration.  </w:t>
      </w:r>
      <w:r w:rsidR="003762EE">
        <w:t xml:space="preserve">He noted that so far the task force has discussed the possibility of hosting an industry wide webcast to highlight the benefits of membership within NAESB and also seeking additional information from resigning members during their exit interviews. At the beginning of next year, the task force will meet and continue to discuss the requirements and definition of corporate member to determine if there alternatives that would help support the stabilization of the current membership figures. </w:t>
      </w:r>
    </w:p>
    <w:p w:rsidR="003762EE" w:rsidRDefault="003762EE" w:rsidP="003762EE">
      <w:pPr>
        <w:spacing w:before="120"/>
      </w:pPr>
      <w:r w:rsidRPr="003762EE">
        <w:rPr>
          <w:u w:val="single"/>
        </w:rPr>
        <w:t>Board Certification Program Committee</w:t>
      </w:r>
      <w:r>
        <w:t>:  Mr. Burks</w:t>
      </w:r>
      <w:r w:rsidRPr="003762EE">
        <w:t xml:space="preserve"> reviewed the activities of the Board Certification Program Committee</w:t>
      </w:r>
      <w:r>
        <w:t xml:space="preserve"> and noted that the committee met once on November 24</w:t>
      </w:r>
      <w:r w:rsidRPr="003762EE">
        <w:rPr>
          <w:vertAlign w:val="superscript"/>
        </w:rPr>
        <w:t>th</w:t>
      </w:r>
      <w:r>
        <w:t xml:space="preserve"> to discuss an issue concerning the implementation of the PKI standards adopted by the FERC in Order No. 676-H</w:t>
      </w:r>
      <w:r w:rsidRPr="003762EE">
        <w:t xml:space="preserve">. </w:t>
      </w:r>
      <w:r>
        <w:t xml:space="preserve">He stated that in order to resolve the issue, the committee adopted a few modifications to the </w:t>
      </w:r>
      <w:r w:rsidRPr="003762EE">
        <w:t>NAESB Authorized Certification Authority Process</w:t>
      </w:r>
      <w:r>
        <w:t xml:space="preserve"> that will place some additional notification requirements on NAESB concerning the authorization and resignation of ACAs.</w:t>
      </w:r>
      <w:r w:rsidR="002C5E9E">
        <w:t xml:space="preserve">  Mr. Burks reviewed the proposed </w:t>
      </w:r>
      <w:hyperlink r:id="rId17" w:history="1">
        <w:r w:rsidR="002C5E9E" w:rsidRPr="002C5E9E">
          <w:rPr>
            <w:rStyle w:val="Hyperlink"/>
          </w:rPr>
          <w:t>resolution</w:t>
        </w:r>
      </w:hyperlink>
      <w:r w:rsidR="00534730">
        <w:t xml:space="preserve"> with the participants.  Mr. Hurley moved to adopt the resolution of the </w:t>
      </w:r>
      <w:r w:rsidR="00534730" w:rsidRPr="00534730">
        <w:t>Board Certification Program Committee</w:t>
      </w:r>
      <w:r w:rsidR="00534730">
        <w:t xml:space="preserve"> and accept the modifications to the </w:t>
      </w:r>
      <w:r w:rsidR="00534730" w:rsidRPr="003762EE">
        <w:t>NAESB Authorized Certification Authority Process</w:t>
      </w:r>
      <w:r w:rsidR="00534730">
        <w:t xml:space="preserve">.  Mr. Desselle seconded the motion and the motion passed without opposition.  </w:t>
      </w:r>
    </w:p>
    <w:p w:rsidR="007A6D6B" w:rsidRDefault="007A6D6B" w:rsidP="007A6D6B">
      <w:pPr>
        <w:spacing w:before="120"/>
      </w:pPr>
      <w:r>
        <w:rPr>
          <w:u w:val="single"/>
        </w:rPr>
        <w:t>Board Strategic Plan Ad Hoc Task Force</w:t>
      </w:r>
      <w:r>
        <w:t>:  Mr. Desselle reviewed the activities of the Board Strategic Plan Ad Hoc Task Force with the participants. He stated that the task force met on November 6</w:t>
      </w:r>
      <w:r w:rsidRPr="007A6D6B">
        <w:rPr>
          <w:vertAlign w:val="superscript"/>
        </w:rPr>
        <w:t>th</w:t>
      </w:r>
      <w:r>
        <w:t xml:space="preserve"> to review the proposed 2015 annual plans developed by the Annual Plan Subcommittees and the Executive Committees to ens</w:t>
      </w:r>
      <w:r w:rsidR="009F0432">
        <w:t>ure that the plans were in sync</w:t>
      </w:r>
      <w:r>
        <w:t xml:space="preserve"> with the strategic plan adopted by the Board during the September meeting.  In addition</w:t>
      </w:r>
      <w:r w:rsidR="009F0432">
        <w:t>,</w:t>
      </w:r>
      <w:r>
        <w:t xml:space="preserve"> the task force </w:t>
      </w:r>
      <w:r>
        <w:lastRenderedPageBreak/>
        <w:t xml:space="preserve">reviewed the ANSI request noted during the Managing Committee update.  He stated that a discussion was held concerning the possibility of adding a </w:t>
      </w:r>
      <w:r w:rsidR="00996426">
        <w:t xml:space="preserve">provisional item to the annual plans regarding the regulations that will result from Section 111(d) of the Clean Air Act.  As consensus was not reached on the addition of the provisional item, it was recommended that it be considered by the Board of Directors in the adoption of the 2015 annual plans. Mr. Lander stated that it would be prudent to provisionally add the items to the annual plans, but questioned if it was premature to do so at this time. </w:t>
      </w:r>
    </w:p>
    <w:p w:rsidR="0063284A" w:rsidRDefault="00F57CDD" w:rsidP="00417EEE">
      <w:pPr>
        <w:spacing w:before="120"/>
      </w:pPr>
      <w:r w:rsidRPr="00F57CDD">
        <w:rPr>
          <w:u w:val="single"/>
        </w:rPr>
        <w:t>Parliamentary Committee</w:t>
      </w:r>
      <w:r w:rsidR="00996426">
        <w:t>:  Ms. Crockett</w:t>
      </w:r>
      <w:r>
        <w:t xml:space="preserve"> </w:t>
      </w:r>
      <w:r w:rsidR="00996426">
        <w:t xml:space="preserve">reviewed the activities of the </w:t>
      </w:r>
      <w:r>
        <w:t>Parliamentary Committee</w:t>
      </w:r>
      <w:r w:rsidR="00996426">
        <w:t xml:space="preserve">, and stated that she has received a number of comments concerning the proposed </w:t>
      </w:r>
      <w:hyperlink r:id="rId18" w:history="1">
        <w:r w:rsidR="00996426" w:rsidRPr="00A72231">
          <w:rPr>
            <w:rStyle w:val="Hyperlink"/>
          </w:rPr>
          <w:t>resolution</w:t>
        </w:r>
      </w:hyperlink>
      <w:r w:rsidR="00996426">
        <w:t xml:space="preserve"> to adopt a process for the removal of Directors for misfeasance, malfeasance or nonfeasance specifically related to the </w:t>
      </w:r>
      <w:r w:rsidR="009F0432">
        <w:t>“</w:t>
      </w:r>
      <w:r w:rsidR="00996426">
        <w:t>Majority</w:t>
      </w:r>
      <w:r w:rsidR="009F0432">
        <w:t>”</w:t>
      </w:r>
      <w:r w:rsidR="00996426">
        <w:t xml:space="preserve"> voting threshold for removal. The term </w:t>
      </w:r>
      <w:r w:rsidR="009F0432">
        <w:t>“</w:t>
      </w:r>
      <w:r w:rsidR="00996426">
        <w:t>Majority</w:t>
      </w:r>
      <w:r w:rsidR="009F0432">
        <w:t>”</w:t>
      </w:r>
      <w:r w:rsidR="00996426">
        <w:t xml:space="preserve"> is defined in NAESB Bylaw 1.1(k)</w:t>
      </w:r>
      <w:r w:rsidR="0063284A">
        <w:t xml:space="preserve"> as </w:t>
      </w:r>
      <w:r w:rsidR="00996426">
        <w:t>a simple majority of each of the applicable Quadrants for the purposes of voting and was intentionally included in the proposed Bylaw to support process</w:t>
      </w:r>
      <w:r w:rsidR="0063284A">
        <w:t xml:space="preserve"> by the Parliamentary Committee.  Several members have expressed concern with this use of term </w:t>
      </w:r>
      <w:r w:rsidR="009F0432">
        <w:t>“</w:t>
      </w:r>
      <w:r w:rsidR="0063284A">
        <w:t>Majority</w:t>
      </w:r>
      <w:r w:rsidR="009F0432">
        <w:t>”</w:t>
      </w:r>
      <w:r w:rsidR="0063284A">
        <w:t xml:space="preserve"> and recommendations have been made that the term be lower cased, so that the</w:t>
      </w:r>
      <w:r w:rsidR="00996426">
        <w:t xml:space="preserve"> </w:t>
      </w:r>
      <w:r w:rsidR="0063284A">
        <w:t xml:space="preserve">voting threshold would be defined by the Board as a whole rather than by each quadrant. She stated that if there is significant disagreement by the Board members, her recommendation would be to remand the issue back to the Committee and ask that it provide a recommendation during the next meeting. Mr. Desselle made a motion to adopt the resolution as proposed by the Parliamentary Committee and Mr. Parker seconded the motion.  </w:t>
      </w:r>
    </w:p>
    <w:p w:rsidR="0063284A" w:rsidRDefault="0063284A" w:rsidP="00417EEE">
      <w:pPr>
        <w:spacing w:before="120"/>
      </w:pPr>
      <w:r>
        <w:t>Mr. Kruse confirmed th</w:t>
      </w:r>
      <w:r w:rsidR="009F0432">
        <w:t>at the motion was to adopt the b</w:t>
      </w:r>
      <w:r>
        <w:t>yla</w:t>
      </w:r>
      <w:r w:rsidR="009F0432">
        <w:t>w amendment as proposed by the c</w:t>
      </w:r>
      <w:r>
        <w:t xml:space="preserve">ommittee with current </w:t>
      </w:r>
      <w:r w:rsidR="009F0432">
        <w:t>“</w:t>
      </w:r>
      <w:r>
        <w:t>Majority</w:t>
      </w:r>
      <w:r w:rsidR="009F0432">
        <w:t>” definition contained in the b</w:t>
      </w:r>
      <w:r>
        <w:t>ylaws.  Ms. Crockett responded affirmatively.</w:t>
      </w:r>
      <w:r w:rsidR="00DE5A4F">
        <w:t xml:space="preserve">  Mr. Boswell stated that he has concerns with </w:t>
      </w:r>
      <w:r w:rsidR="002F16DE">
        <w:t xml:space="preserve">the proposed voting threshold and would recommend that the Board act as a unit when addressing such issues as a matter of good corporate governance.  He reminded the participants of their fiduciary duty to act in the best of interest of the organization as a whole, and noted that a scenario could arise under the proposed language in which the wishes of 5/6 of the Board could be precluded by 1/6 minority of the </w:t>
      </w:r>
      <w:r w:rsidR="009F0432">
        <w:t>d</w:t>
      </w:r>
      <w:r w:rsidR="002F16DE">
        <w:t xml:space="preserve">irectors.  Mr. Gent asked if Mr. Boswell was aware of any other boards that would act in the manner described in the proposed Bylaw.  Mr. Boswell stated that he was not.  Mr. Kruse stated that he is in support of including </w:t>
      </w:r>
      <w:r w:rsidR="00550124">
        <w:t xml:space="preserve">a </w:t>
      </w:r>
      <w:r w:rsidR="009F0432">
        <w:t>“</w:t>
      </w:r>
      <w:r w:rsidR="00550124">
        <w:t>Majority</w:t>
      </w:r>
      <w:r w:rsidR="009F0432">
        <w:t>”</w:t>
      </w:r>
      <w:r w:rsidR="00550124">
        <w:t xml:space="preserve"> voti</w:t>
      </w:r>
      <w:r w:rsidR="009F0432">
        <w:t>ng threshold as defined in the b</w:t>
      </w:r>
      <w:r w:rsidR="00550124">
        <w:t>ylaws to ensure that inequalities would not exi</w:t>
      </w:r>
      <w:r w:rsidR="009F0432">
        <w:t>st given the varying number of b</w:t>
      </w:r>
      <w:r w:rsidR="00550124">
        <w:t xml:space="preserve">oard seats available to each quadrant. Mr. Desselle stated that he would like to amend his original motion to make the voting threshold a majority of the entire Board of Directors, rather than as proposed by the Parliamentary Committee consistent with Mr. Boswell’s recommendation. Mr. True seconded the amendment to the motion. Mr. </w:t>
      </w:r>
      <w:proofErr w:type="spellStart"/>
      <w:r w:rsidR="00550124">
        <w:t>Stultz</w:t>
      </w:r>
      <w:proofErr w:type="spellEnd"/>
      <w:r w:rsidR="00550124">
        <w:t xml:space="preserve"> recommend</w:t>
      </w:r>
      <w:r w:rsidR="009F0432">
        <w:t>ed that process for removal of d</w:t>
      </w:r>
      <w:r w:rsidR="00550124">
        <w:t xml:space="preserve">irectors be consistent with the process to elect </w:t>
      </w:r>
      <w:r w:rsidR="009F0432">
        <w:t>b</w:t>
      </w:r>
      <w:r w:rsidR="00550124">
        <w:t>oard members, which is by quadrant. Mr. Langston stated that he would support remanding the issue back the Parliamentary Committee for further discussion.</w:t>
      </w:r>
    </w:p>
    <w:p w:rsidR="0063284A" w:rsidRDefault="00A72231" w:rsidP="00417EEE">
      <w:pPr>
        <w:spacing w:before="120"/>
      </w:pPr>
      <w:r>
        <w:t xml:space="preserve">Based upon the discussion, Mr. Desselle withdrew his amendment and motion to adopt the proposed resolution.  Mr. Parker and Mr. True </w:t>
      </w:r>
      <w:r w:rsidR="00CA3C44">
        <w:t xml:space="preserve">also </w:t>
      </w:r>
      <w:r>
        <w:t xml:space="preserve">supported the withdrawal of the amendment and </w:t>
      </w:r>
      <w:r w:rsidR="00CA3C44">
        <w:t xml:space="preserve">motion.  Mr. Gallagher </w:t>
      </w:r>
      <w:r w:rsidR="009F0432">
        <w:t>urged</w:t>
      </w:r>
      <w:r w:rsidR="00CA3C44">
        <w:t xml:space="preserve"> the Parliamentary Committee to heed the advice provided by Mr. Boswell when considering the issue. Mr. O’Hara and Mr. Peress stated that they recognize the issue noted by Mr. Kruse and asked that the </w:t>
      </w:r>
      <w:r w:rsidR="009F0432">
        <w:t>c</w:t>
      </w:r>
      <w:r w:rsidR="00CA3C44">
        <w:t>ommittee als</w:t>
      </w:r>
      <w:r w:rsidR="009F0432">
        <w:t>o consider the comments of the b</w:t>
      </w:r>
      <w:r w:rsidR="00CA3C44">
        <w:t>oard members. Ms. Crockett stated that she would like to withdraw the other proposed resolutions of the Parliamentary Committee from consideration until the present issue is addres</w:t>
      </w:r>
      <w:r w:rsidR="009F0432">
        <w:t>sed in a future meeting of the c</w:t>
      </w:r>
      <w:r w:rsidR="00CA3C44">
        <w:t xml:space="preserve">ommittee. </w:t>
      </w:r>
    </w:p>
    <w:p w:rsidR="008C403D" w:rsidRDefault="004E2EC6" w:rsidP="00CA3C44">
      <w:pPr>
        <w:spacing w:before="120"/>
        <w:rPr>
          <w:b/>
        </w:rPr>
      </w:pPr>
      <w:r>
        <w:rPr>
          <w:b/>
        </w:rPr>
        <w:t>6</w:t>
      </w:r>
      <w:r w:rsidR="00F94A0A">
        <w:rPr>
          <w:b/>
        </w:rPr>
        <w:t>.</w:t>
      </w:r>
      <w:r w:rsidR="00F94A0A">
        <w:rPr>
          <w:b/>
        </w:rPr>
        <w:tab/>
      </w:r>
      <w:r w:rsidR="00AC286A">
        <w:rPr>
          <w:b/>
        </w:rPr>
        <w:t>Project Discussions</w:t>
      </w:r>
      <w:r w:rsidR="009755C2">
        <w:rPr>
          <w:b/>
        </w:rPr>
        <w:t xml:space="preserve"> and</w:t>
      </w:r>
      <w:r w:rsidR="00F94A0A">
        <w:rPr>
          <w:b/>
        </w:rPr>
        <w:t xml:space="preserve"> Leadership Sessi</w:t>
      </w:r>
      <w:r w:rsidR="009755C2">
        <w:rPr>
          <w:b/>
        </w:rPr>
        <w:t>on Reviews</w:t>
      </w:r>
    </w:p>
    <w:p w:rsidR="00E02445" w:rsidRDefault="005F2B37" w:rsidP="0075145D">
      <w:pPr>
        <w:autoSpaceDE w:val="0"/>
        <w:autoSpaceDN w:val="0"/>
        <w:adjustRightInd w:val="0"/>
        <w:spacing w:before="120"/>
      </w:pPr>
      <w:r>
        <w:t>Ms. Crockett asked the Executive Committee chairs to provide a recap of the leadership meeting discussions and review the quadrant annual plans.  Mr. Buccigross stated that in addition to</w:t>
      </w:r>
      <w:r w:rsidR="009F0432">
        <w:t xml:space="preserve"> addressing the request of the b</w:t>
      </w:r>
      <w:r>
        <w:t xml:space="preserve">oard related to the gas-electric harmonization forum, the WGQ completed all items on the 2014 WGQ Annual Plan and published Version 3.0 of WGQ standards in November.  He noted that only two maintenance items will transition to the 2015 WGQ Annual Plan, but the quadrant expects to address any requests from the FERC that result from the gas-electric coordination NOPR.  </w:t>
      </w:r>
      <w:r w:rsidR="00E02445">
        <w:t xml:space="preserve">Ms. Crockett thanked him for the update and noted that 2014 WGQ Annual Plan was adopted in the consent agenda, as there were no changes during the leadership meeting. </w:t>
      </w:r>
    </w:p>
    <w:p w:rsidR="00E02445" w:rsidRDefault="005F2B37" w:rsidP="0075145D">
      <w:pPr>
        <w:autoSpaceDE w:val="0"/>
        <w:autoSpaceDN w:val="0"/>
        <w:adjustRightInd w:val="0"/>
        <w:spacing w:before="120"/>
      </w:pPr>
      <w:r>
        <w:t>Ms. York provided a brief update of the Parallel Flow Visualization (PFV) project, the MOD effort and the status of the EIR.  She also reviewed the 2014 WEQ Annual Plan and noted</w:t>
      </w:r>
      <w:r w:rsidR="00E02445">
        <w:t xml:space="preserve"> the modifications proposed during the meeting.  </w:t>
      </w:r>
      <w:r w:rsidR="00E02445">
        <w:lastRenderedPageBreak/>
        <w:t>Ms. York moved to adopt the 2014 WEQ Annual Plan with the revision she</w:t>
      </w:r>
      <w:r w:rsidR="004E2EC6">
        <w:t xml:space="preserve"> </w:t>
      </w:r>
      <w:r w:rsidR="00E02445">
        <w:t xml:space="preserve">noted and Mr. Buccigross seconded the motion.  The motion passed without opposition.  The revised annual plan can be found through the following hyperlink:  </w:t>
      </w:r>
      <w:hyperlink r:id="rId19" w:history="1">
        <w:r w:rsidR="00E02445" w:rsidRPr="00CC17C8">
          <w:rPr>
            <w:rStyle w:val="Hyperlink"/>
          </w:rPr>
          <w:t>https://www.naesb.org//pdf4/bd121114a5.docx</w:t>
        </w:r>
      </w:hyperlink>
      <w:r w:rsidR="00E02445">
        <w:t>.</w:t>
      </w:r>
    </w:p>
    <w:p w:rsidR="00E02445" w:rsidRDefault="00E02445" w:rsidP="0075145D">
      <w:pPr>
        <w:autoSpaceDE w:val="0"/>
        <w:autoSpaceDN w:val="0"/>
        <w:adjustRightInd w:val="0"/>
        <w:spacing w:before="120"/>
      </w:pPr>
      <w:r>
        <w:t xml:space="preserve">Ms. </w:t>
      </w:r>
      <w:proofErr w:type="spellStart"/>
      <w:r>
        <w:t>McKeever</w:t>
      </w:r>
      <w:proofErr w:type="spellEnd"/>
      <w:r>
        <w:t xml:space="preserve"> provided a review of the projects completed by the RXQ in 2014, highlighting the efforts to develop standards that support net metering, smart grid and updates to the individual books. She also noted the request submitted by ANSI and stated that discussions concerning its addition to the 2015 RXQ Annual Plan will take place at the February Executive Committee meeting.  Ms. McQuade reviewed the changes to the 2014 RXQ Annual Plan discussed </w:t>
      </w:r>
      <w:r w:rsidR="0058406F">
        <w:t xml:space="preserve">during the leadership meeting and noted that the ANSI request had been recommended as a provisional item for the 2015 RXQ Annual Plan.  Ms. </w:t>
      </w:r>
      <w:proofErr w:type="spellStart"/>
      <w:r w:rsidR="0058406F">
        <w:t>McKeever</w:t>
      </w:r>
      <w:proofErr w:type="spellEnd"/>
      <w:r w:rsidR="0058406F">
        <w:t xml:space="preserve"> made a motion to adopt the 2014 annual plan and Mr. Burks seconded the motion.  The motion passed without opposition.  The revised annual plan can be found through the following hyperlink:  </w:t>
      </w:r>
      <w:hyperlink r:id="rId20" w:history="1">
        <w:r w:rsidR="0058406F" w:rsidRPr="00CC17C8">
          <w:rPr>
            <w:rStyle w:val="Hyperlink"/>
          </w:rPr>
          <w:t>https://www.naesb.org//pdf4/bd121114a4.docx</w:t>
        </w:r>
      </w:hyperlink>
      <w:r w:rsidR="0058406F">
        <w:t xml:space="preserve">.  </w:t>
      </w:r>
    </w:p>
    <w:p w:rsidR="0058406F" w:rsidRDefault="000602BB" w:rsidP="009755C2">
      <w:pPr>
        <w:spacing w:before="120"/>
        <w:rPr>
          <w:b/>
        </w:rPr>
      </w:pPr>
      <w:r>
        <w:rPr>
          <w:b/>
        </w:rPr>
        <w:t>7</w:t>
      </w:r>
      <w:r w:rsidR="009755C2">
        <w:rPr>
          <w:b/>
        </w:rPr>
        <w:t>.</w:t>
      </w:r>
      <w:r w:rsidR="009755C2">
        <w:rPr>
          <w:b/>
        </w:rPr>
        <w:tab/>
      </w:r>
      <w:r w:rsidR="0058406F">
        <w:rPr>
          <w:b/>
        </w:rPr>
        <w:t>Adoption of the 2015 Annual Plans</w:t>
      </w:r>
    </w:p>
    <w:p w:rsidR="0058406F" w:rsidRPr="0058406F" w:rsidRDefault="0058406F" w:rsidP="009755C2">
      <w:pPr>
        <w:spacing w:before="120"/>
      </w:pPr>
      <w:r>
        <w:t xml:space="preserve">Mr. Buccigross reviewed the proposed </w:t>
      </w:r>
      <w:hyperlink r:id="rId21" w:history="1">
        <w:r w:rsidRPr="0058406F">
          <w:rPr>
            <w:rStyle w:val="Hyperlink"/>
          </w:rPr>
          <w:t>2015 WGQ Annual Plan</w:t>
        </w:r>
      </w:hyperlink>
      <w:r>
        <w:t xml:space="preserve"> with the participants, and reiterated that although there are currently only two items on the plan, work to support the gas-electric coordination efforts is expected. Mr. Buccigross made a motion to adopt the annual plan and Mr. Parker seconded the motion.  The motion passed without opposition. Mr. Precht reviewed the </w:t>
      </w:r>
      <w:hyperlink r:id="rId22" w:history="1">
        <w:r w:rsidRPr="0058406F">
          <w:rPr>
            <w:rStyle w:val="Hyperlink"/>
          </w:rPr>
          <w:t>2015 RXQ Annual Plan</w:t>
        </w:r>
      </w:hyperlink>
      <w:r>
        <w:t xml:space="preserve"> with the participants and the modifications offered during the leadership meeting. He noted that one of those items is the ANSI request to develop additional Energy Efficiency standards and that it has been proposed as a provisional item.</w:t>
      </w:r>
      <w:r w:rsidR="006E6600">
        <w:t xml:space="preserve">  Mr. Burks moved to adopt the annual plan and Ms. </w:t>
      </w:r>
      <w:proofErr w:type="spellStart"/>
      <w:r w:rsidR="006E6600">
        <w:t>McKeever</w:t>
      </w:r>
      <w:proofErr w:type="spellEnd"/>
      <w:r w:rsidR="006E6600">
        <w:t xml:space="preserve"> seconded the motion. Mr. Winkler stated that he believes it is premature to include the ANSI request to the annual plan in any capacity.  Mr. Either stated support for Mr. Winkler’s comments and stated that he cannot vote in favor of it with the additional provisional item.  </w:t>
      </w:r>
      <w:r w:rsidR="006E6600" w:rsidRPr="00577987">
        <w:t>The</w:t>
      </w:r>
      <w:r w:rsidRPr="00577987">
        <w:t xml:space="preserve"> </w:t>
      </w:r>
      <w:r w:rsidR="006E6600" w:rsidRPr="00577987">
        <w:t xml:space="preserve">motion passed </w:t>
      </w:r>
      <w:r w:rsidR="009F0432" w:rsidRPr="00577987">
        <w:t>with Mr. Either voting in opposition</w:t>
      </w:r>
      <w:r w:rsidR="006E6600" w:rsidRPr="00577987">
        <w:t>.</w:t>
      </w:r>
      <w:r w:rsidR="006E6600">
        <w:t xml:space="preserve">   Next, Ms. York reviewed the proposed </w:t>
      </w:r>
      <w:hyperlink r:id="rId23" w:history="1">
        <w:r w:rsidR="006E6600" w:rsidRPr="006E6600">
          <w:rPr>
            <w:rStyle w:val="Hyperlink"/>
          </w:rPr>
          <w:t>2015 WEQ Annual Plan</w:t>
        </w:r>
      </w:hyperlink>
      <w:r w:rsidR="006E6600">
        <w:t xml:space="preserve"> and moved for its adoption as reviewed.  Mr. Buccigross seconded the motion and the motion passed without opposition. </w:t>
      </w:r>
    </w:p>
    <w:p w:rsidR="00066516" w:rsidRPr="009755C2" w:rsidRDefault="0058406F" w:rsidP="009755C2">
      <w:pPr>
        <w:spacing w:before="120"/>
        <w:rPr>
          <w:b/>
        </w:rPr>
      </w:pPr>
      <w:r>
        <w:rPr>
          <w:b/>
        </w:rPr>
        <w:t>8.</w:t>
      </w:r>
      <w:r>
        <w:rPr>
          <w:b/>
        </w:rPr>
        <w:tab/>
      </w:r>
      <w:r w:rsidR="001502E7" w:rsidRPr="009755C2">
        <w:rPr>
          <w:b/>
        </w:rPr>
        <w:t>Old and New Business</w:t>
      </w:r>
    </w:p>
    <w:p w:rsidR="00193C13" w:rsidRDefault="000602BB" w:rsidP="00193C13">
      <w:pPr>
        <w:spacing w:before="120"/>
      </w:pPr>
      <w:r>
        <w:t>Mr. Booe provided an update of the regulatory activities of the organization and continued communication with the Department of Energy, the FERC, the National Association of Regulatory Utility Commissioners, and N</w:t>
      </w:r>
      <w:r w:rsidR="006E6600">
        <w:t xml:space="preserve">ERC among others. Ms. Crockett </w:t>
      </w:r>
      <w:r>
        <w:t xml:space="preserve">thanked the </w:t>
      </w:r>
      <w:r w:rsidR="006E6600">
        <w:t>invited guests and asked for any closing remarks</w:t>
      </w:r>
      <w:r w:rsidR="00864370">
        <w:t xml:space="preserve">.  </w:t>
      </w:r>
    </w:p>
    <w:p w:rsidR="00066516" w:rsidRPr="00204BB8" w:rsidRDefault="006E6600" w:rsidP="00204BB8">
      <w:pPr>
        <w:spacing w:before="120"/>
        <w:rPr>
          <w:b/>
        </w:rPr>
      </w:pPr>
      <w:r>
        <w:rPr>
          <w:b/>
        </w:rPr>
        <w:t>9</w:t>
      </w:r>
      <w:r w:rsidR="00204BB8">
        <w:rPr>
          <w:b/>
        </w:rPr>
        <w:t>.</w:t>
      </w:r>
      <w:r w:rsidR="00204BB8">
        <w:rPr>
          <w:b/>
        </w:rPr>
        <w:tab/>
      </w:r>
      <w:r w:rsidR="001502E7" w:rsidRPr="00204BB8">
        <w:rPr>
          <w:b/>
        </w:rPr>
        <w:t>Adjourn</w:t>
      </w:r>
    </w:p>
    <w:p w:rsidR="005E65D3" w:rsidRDefault="00050602">
      <w:pPr>
        <w:spacing w:before="120" w:after="120"/>
        <w:sectPr w:rsidR="005E65D3">
          <w:headerReference w:type="default" r:id="rId24"/>
          <w:footerReference w:type="default" r:id="rId25"/>
          <w:type w:val="continuous"/>
          <w:pgSz w:w="12240" w:h="15840"/>
          <w:pgMar w:top="1440" w:right="1440" w:bottom="1440" w:left="1440" w:header="720" w:footer="720" w:gutter="0"/>
          <w:cols w:space="720"/>
          <w:docGrid w:linePitch="360"/>
        </w:sectPr>
      </w:pPr>
      <w:r>
        <w:t xml:space="preserve">Mr. </w:t>
      </w:r>
      <w:r w:rsidR="006E6600">
        <w:t>Peress</w:t>
      </w:r>
      <w:r w:rsidR="00DF6184">
        <w:t xml:space="preserve"> made a motion to ad</w:t>
      </w:r>
      <w:r>
        <w:t>jou</w:t>
      </w:r>
      <w:r w:rsidR="00204BB8">
        <w:t xml:space="preserve">rn the meeting and Mr. </w:t>
      </w:r>
      <w:r w:rsidR="000602BB">
        <w:t xml:space="preserve">Cargas </w:t>
      </w:r>
      <w:r w:rsidR="00DF6184">
        <w:t xml:space="preserve">seconded the motion. </w:t>
      </w:r>
      <w:r w:rsidR="004601EB">
        <w:t xml:space="preserve">The meeting adjourned at </w:t>
      </w:r>
      <w:r w:rsidR="00B16E35">
        <w:t>12:21</w:t>
      </w:r>
      <w:r w:rsidR="00204BB8">
        <w:t xml:space="preserve"> p</w:t>
      </w:r>
      <w:r w:rsidR="001502E7">
        <w:t xml:space="preserve">m Central.  </w:t>
      </w:r>
    </w:p>
    <w:tbl>
      <w:tblPr>
        <w:tblW w:w="12960" w:type="dxa"/>
        <w:tblInd w:w="108" w:type="dxa"/>
        <w:tblLayout w:type="fixed"/>
        <w:tblLook w:val="04A0" w:firstRow="1" w:lastRow="0" w:firstColumn="1" w:lastColumn="0" w:noHBand="0" w:noVBand="1"/>
      </w:tblPr>
      <w:tblGrid>
        <w:gridCol w:w="1962"/>
        <w:gridCol w:w="180"/>
        <w:gridCol w:w="8118"/>
        <w:gridCol w:w="1440"/>
        <w:gridCol w:w="1260"/>
      </w:tblGrid>
      <w:tr w:rsidR="00A27495" w:rsidTr="00A27495">
        <w:trPr>
          <w:tblHeader/>
        </w:trPr>
        <w:tc>
          <w:tcPr>
            <w:tcW w:w="10260" w:type="dxa"/>
            <w:gridSpan w:val="3"/>
            <w:tcBorders>
              <w:top w:val="single" w:sz="4" w:space="0" w:color="auto"/>
              <w:left w:val="nil"/>
              <w:bottom w:val="single" w:sz="4" w:space="0" w:color="auto"/>
              <w:right w:val="nil"/>
            </w:tcBorders>
          </w:tcPr>
          <w:p w:rsidR="00A27495" w:rsidRPr="00A27495" w:rsidRDefault="00A27495" w:rsidP="00A2749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27495">
              <w:rPr>
                <w:b/>
                <w:smallCaps/>
                <w:sz w:val="20"/>
              </w:rPr>
              <w:lastRenderedPageBreak/>
              <w:t>10.           B</w:t>
            </w:r>
            <w:r w:rsidRPr="00A27495">
              <w:rPr>
                <w:b/>
                <w:sz w:val="20"/>
              </w:rPr>
              <w:t>oard Attendance and Vote</w:t>
            </w:r>
          </w:p>
        </w:tc>
        <w:tc>
          <w:tcPr>
            <w:tcW w:w="1440" w:type="dxa"/>
            <w:tcBorders>
              <w:top w:val="single" w:sz="4" w:space="0" w:color="auto"/>
              <w:left w:val="nil"/>
              <w:bottom w:val="single" w:sz="4" w:space="0" w:color="auto"/>
              <w:right w:val="nil"/>
            </w:tcBorders>
          </w:tcPr>
          <w:p w:rsidR="00A27495" w:rsidRPr="00A27495" w:rsidRDefault="00A27495" w:rsidP="0057798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b/>
                <w:smallCaps/>
                <w:sz w:val="20"/>
              </w:rPr>
            </w:pPr>
            <w:r>
              <w:rPr>
                <w:b/>
                <w:smallCaps/>
                <w:sz w:val="20"/>
              </w:rPr>
              <w:t>Attendance</w:t>
            </w:r>
          </w:p>
        </w:tc>
        <w:tc>
          <w:tcPr>
            <w:tcW w:w="1260" w:type="dxa"/>
            <w:tcBorders>
              <w:top w:val="single" w:sz="4" w:space="0" w:color="auto"/>
              <w:left w:val="nil"/>
              <w:bottom w:val="single" w:sz="4" w:space="0" w:color="auto"/>
              <w:right w:val="nil"/>
            </w:tcBorders>
          </w:tcPr>
          <w:p w:rsidR="00A27495" w:rsidRPr="00A27495" w:rsidRDefault="00A27495" w:rsidP="0057798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b/>
                <w:smallCaps/>
                <w:sz w:val="20"/>
              </w:rPr>
            </w:pPr>
            <w:r w:rsidRPr="00A27495">
              <w:rPr>
                <w:b/>
                <w:smallCaps/>
                <w:sz w:val="20"/>
              </w:rPr>
              <w:t>Vote</w:t>
            </w: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27495">
              <w:rPr>
                <w:b/>
                <w:smallCaps/>
                <w:sz w:val="20"/>
              </w:rPr>
              <w:t>Wholesale Gas Quadrant Producers Segment</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Richard D. Smith</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Regulatory &amp; Compliance Manager, Noble Energy Inc.</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Mark </w:t>
            </w:r>
            <w:proofErr w:type="spellStart"/>
            <w:r w:rsidRPr="00A27495">
              <w:rPr>
                <w:sz w:val="20"/>
              </w:rPr>
              <w:t>Stultz</w:t>
            </w:r>
            <w:proofErr w:type="spellEnd"/>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Senior Vice President – Regulatory Policy and Communications, North America Gas and Power, BP Energy</w:t>
            </w:r>
          </w:p>
        </w:tc>
        <w:tc>
          <w:tcPr>
            <w:tcW w:w="1440" w:type="dxa"/>
          </w:tcPr>
          <w:p w:rsidR="006E6600" w:rsidRPr="00A27495" w:rsidRDefault="00577987"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John Bretz</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Marketing, Anadarko Energy Services Company</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Cs/>
                <w:sz w:val="20"/>
              </w:rPr>
            </w:pPr>
            <w:r w:rsidRPr="00A27495">
              <w:rPr>
                <w:bCs/>
                <w:sz w:val="20"/>
              </w:rPr>
              <w:t>Randy E. Parker</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Global Regulatory Advisor, ExxonMobil Gas and Power Marketing Company</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Pete Frost</w:t>
            </w:r>
          </w:p>
        </w:tc>
        <w:tc>
          <w:tcPr>
            <w:tcW w:w="8118"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Director – Regulatory Affairs, ConocoPhillips Gas and Power Marketing</w:t>
            </w:r>
          </w:p>
        </w:tc>
        <w:tc>
          <w:tcPr>
            <w:tcW w:w="1440" w:type="dxa"/>
            <w:tcBorders>
              <w:top w:val="nil"/>
              <w:left w:val="nil"/>
              <w:bottom w:val="single" w:sz="4" w:space="0" w:color="auto"/>
              <w:right w:val="nil"/>
            </w:tcBorders>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t>Wholesale Gas Quadrant Pipeline Segment</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Douglas Field</w:t>
            </w:r>
          </w:p>
        </w:tc>
        <w:tc>
          <w:tcPr>
            <w:tcW w:w="8118"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Manager – Compliance, Southern Star Central Gas Pipeline</w:t>
            </w:r>
          </w:p>
        </w:tc>
        <w:tc>
          <w:tcPr>
            <w:tcW w:w="1440" w:type="dxa"/>
            <w:tcBorders>
              <w:top w:val="single" w:sz="4" w:space="0" w:color="auto"/>
              <w:left w:val="nil"/>
              <w:bottom w:val="nil"/>
              <w:right w:val="nil"/>
            </w:tcBorders>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Michael Langston</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and Chief Regulatory Officer, Energy Transfer Equity, L.P.</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sidRPr="00A27495">
              <w:rPr>
                <w:bCs/>
                <w:sz w:val="20"/>
              </w:rPr>
              <w:t>Gene Nowak</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 xml:space="preserve">Vice President – Transportation &amp; Storage Services, Interstate Pipelines for Kinder Morgan </w:t>
            </w:r>
            <w:proofErr w:type="spellStart"/>
            <w:r w:rsidRPr="00A27495">
              <w:rPr>
                <w:sz w:val="20"/>
              </w:rPr>
              <w:t>Inc</w:t>
            </w:r>
            <w:proofErr w:type="spellEnd"/>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Randy Young</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 Regulatory Compliance and Corporate Services, Boardwalk Pipeline Partners, LP</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Richard Kruse</w:t>
            </w:r>
          </w:p>
        </w:tc>
        <w:tc>
          <w:tcPr>
            <w:tcW w:w="8118"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 Rates and Regulatory Affairs, Spectra Energy Corp</w:t>
            </w:r>
          </w:p>
        </w:tc>
        <w:tc>
          <w:tcPr>
            <w:tcW w:w="1440" w:type="dxa"/>
            <w:tcBorders>
              <w:top w:val="nil"/>
              <w:left w:val="nil"/>
              <w:bottom w:val="single" w:sz="4" w:space="0" w:color="auto"/>
              <w:right w:val="nil"/>
            </w:tcBorders>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t xml:space="preserve">Wholesale Gas Quadrant Local Distribution Company (LDC) Segment </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r>
      <w:tr w:rsidR="006E6600" w:rsidTr="00A27495">
        <w:tc>
          <w:tcPr>
            <w:tcW w:w="2142" w:type="dxa"/>
            <w:gridSpan w:val="2"/>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Craig Colombo</w:t>
            </w:r>
          </w:p>
        </w:tc>
        <w:tc>
          <w:tcPr>
            <w:tcW w:w="8118"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Energy Trader III, Dominion Resources</w:t>
            </w:r>
          </w:p>
        </w:tc>
        <w:tc>
          <w:tcPr>
            <w:tcW w:w="1440" w:type="dxa"/>
            <w:tcBorders>
              <w:top w:val="single" w:sz="4" w:space="0" w:color="auto"/>
              <w:left w:val="nil"/>
              <w:bottom w:val="nil"/>
              <w:right w:val="nil"/>
            </w:tcBorders>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Tim Sherwood</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Managing Director of Gas Operations and Capacity Planning, AGL Resources. Inc. </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Karl Stanley</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of Commercial Operations NIPSCO, representing NiSource Inc.</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James A. Stanzione</w:t>
            </w:r>
          </w:p>
        </w:tc>
        <w:tc>
          <w:tcPr>
            <w:tcW w:w="8118" w:type="dxa"/>
            <w:hideMark/>
          </w:tcPr>
          <w:p w:rsidR="006E6600" w:rsidRPr="00A27495" w:rsidRDefault="006E6600">
            <w:pPr>
              <w:pStyle w:val="BodyText"/>
              <w:spacing w:before="40" w:after="40"/>
              <w:rPr>
                <w:sz w:val="20"/>
              </w:rPr>
            </w:pPr>
            <w:r w:rsidRPr="00A27495">
              <w:rPr>
                <w:sz w:val="20"/>
              </w:rPr>
              <w:t>Director – Federal Gas Regulatory Policy, National Grid</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 xml:space="preserve">Perry Pergola </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 xml:space="preserve">Director – Gas Supply, </w:t>
            </w:r>
            <w:proofErr w:type="spellStart"/>
            <w:r w:rsidRPr="00A27495">
              <w:rPr>
                <w:sz w:val="20"/>
              </w:rPr>
              <w:t>Vectren</w:t>
            </w:r>
            <w:proofErr w:type="spellEnd"/>
            <w:r w:rsidRPr="00A27495">
              <w:rPr>
                <w:sz w:val="20"/>
              </w:rPr>
              <w:t xml:space="preserve"> Corporation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t>Wholesale Gas Quadrant End Users Segment</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Valerie Crockett</w:t>
            </w:r>
          </w:p>
        </w:tc>
        <w:tc>
          <w:tcPr>
            <w:tcW w:w="8118"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Senior Program Manager - Energy Markets &amp; Policy, Tennessee Valley Authority</w:t>
            </w:r>
          </w:p>
        </w:tc>
        <w:tc>
          <w:tcPr>
            <w:tcW w:w="1440" w:type="dxa"/>
            <w:tcBorders>
              <w:top w:val="single" w:sz="4" w:space="0" w:color="auto"/>
              <w:left w:val="nil"/>
              <w:bottom w:val="nil"/>
              <w:right w:val="nil"/>
            </w:tcBorders>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Timothy W. Gerrish</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Director of Origination-Energy Marketing and Trading, Florida Power &amp; Light</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Tina Burnett</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Natural Gas Resources Administrator, The Boeing Company</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Paul Jones</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Senior Marketing Representative, Salt River Project Agricultural Improvement &amp; Power District</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Leslie </w:t>
            </w:r>
            <w:proofErr w:type="spellStart"/>
            <w:r w:rsidRPr="00A27495">
              <w:rPr>
                <w:sz w:val="20"/>
              </w:rPr>
              <w:t>Capilla</w:t>
            </w:r>
            <w:proofErr w:type="spellEnd"/>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Senior Business Analyst, Fuel Procurement, Arizona Public Service Company</w:t>
            </w:r>
          </w:p>
        </w:tc>
        <w:tc>
          <w:tcPr>
            <w:tcW w:w="1440" w:type="dxa"/>
          </w:tcPr>
          <w:p w:rsidR="006E6600" w:rsidRPr="00A27495" w:rsidRDefault="009A0EAD"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lastRenderedPageBreak/>
              <w:t>Wholesale Gas Quadrant Services Segment</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Cleve Hogarth</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Vice President &amp; Chief Commercial Officer, Quorum Business Solutions, Inc.</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6E6600" w:rsidTr="00A27495">
        <w:tc>
          <w:tcPr>
            <w:tcW w:w="2142"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Rakesh Agrawal</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Executive Vice President, Blackstone Technology Group, Inc.</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2142" w:type="dxa"/>
            <w:gridSpan w:val="2"/>
            <w:hideMark/>
          </w:tcPr>
          <w:p w:rsidR="006E6600" w:rsidRPr="00A27495" w:rsidRDefault="006E6600">
            <w:pPr>
              <w:spacing w:before="40" w:after="40"/>
            </w:pPr>
            <w:r w:rsidRPr="00A27495">
              <w:t>Keith Sappenfield</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Project Manager and Principal, Natural Resource Group, LLC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2142" w:type="dxa"/>
            <w:gridSpan w:val="2"/>
            <w:hideMark/>
          </w:tcPr>
          <w:p w:rsidR="006E6600" w:rsidRPr="00A27495" w:rsidRDefault="006E6600">
            <w:pPr>
              <w:spacing w:before="40" w:after="40"/>
            </w:pPr>
            <w:r w:rsidRPr="00A27495">
              <w:t>J. Bartley</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Principal, Accenture LLP</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A27495">
              <w:rPr>
                <w:sz w:val="20"/>
              </w:rPr>
              <w:t>Support</w:t>
            </w:r>
          </w:p>
        </w:tc>
      </w:tr>
      <w:tr w:rsidR="006E6600" w:rsidTr="00A27495">
        <w:tc>
          <w:tcPr>
            <w:tcW w:w="2142" w:type="dxa"/>
            <w:gridSpan w:val="2"/>
            <w:hideMark/>
          </w:tcPr>
          <w:p w:rsidR="006E6600" w:rsidRPr="00A27495" w:rsidRDefault="006E6600">
            <w:pPr>
              <w:spacing w:before="40" w:after="40"/>
            </w:pPr>
            <w:r w:rsidRPr="00A27495">
              <w:t>Sylvia Munson</w:t>
            </w:r>
          </w:p>
        </w:tc>
        <w:tc>
          <w:tcPr>
            <w:tcW w:w="8118"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Industry Specialist, SunGard Energy</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0260" w:type="dxa"/>
            <w:gridSpan w:val="3"/>
            <w:tcBorders>
              <w:top w:val="single" w:sz="4" w:space="0" w:color="auto"/>
              <w:left w:val="nil"/>
              <w:bottom w:val="single" w:sz="4" w:space="0" w:color="auto"/>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27495">
              <w:rPr>
                <w:b/>
                <w:smallCaps/>
                <w:sz w:val="20"/>
              </w:rPr>
              <w:t>Retail Energy Quadrant Retail Electric Service Providers/Suppliers Segment</w:t>
            </w:r>
          </w:p>
        </w:tc>
        <w:tc>
          <w:tcPr>
            <w:tcW w:w="1440" w:type="dxa"/>
            <w:tcBorders>
              <w:top w:val="single" w:sz="4" w:space="0" w:color="auto"/>
              <w:left w:val="nil"/>
              <w:bottom w:val="single" w:sz="4" w:space="0" w:color="auto"/>
              <w:right w:val="nil"/>
            </w:tcBorders>
            <w:vAlign w:val="center"/>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vAlign w:val="center"/>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Wendell Miyaji</w:t>
            </w:r>
          </w:p>
        </w:tc>
        <w:tc>
          <w:tcPr>
            <w:tcW w:w="8118" w:type="dxa"/>
            <w:vAlign w:val="center"/>
            <w:hideMark/>
          </w:tcPr>
          <w:p w:rsidR="006E6600" w:rsidRPr="00A27495" w:rsidRDefault="006E6600">
            <w:pPr>
              <w:pStyle w:val="TableText"/>
              <w:spacing w:before="40" w:after="40"/>
              <w:rPr>
                <w:rFonts w:ascii="Times New Roman" w:hAnsi="Times New Roman"/>
                <w:color w:val="auto"/>
                <w:sz w:val="20"/>
              </w:rPr>
            </w:pPr>
            <w:r w:rsidRPr="00A27495">
              <w:rPr>
                <w:rFonts w:ascii="Times New Roman" w:hAnsi="Times New Roman"/>
                <w:color w:val="auto"/>
                <w:sz w:val="20"/>
              </w:rPr>
              <w:t xml:space="preserve">Vice President – Energy Sciences, </w:t>
            </w:r>
            <w:proofErr w:type="spellStart"/>
            <w:r w:rsidRPr="00A27495">
              <w:rPr>
                <w:rFonts w:ascii="Times New Roman" w:hAnsi="Times New Roman"/>
                <w:color w:val="auto"/>
                <w:sz w:val="20"/>
              </w:rPr>
              <w:t>Comverge</w:t>
            </w:r>
            <w:proofErr w:type="spellEnd"/>
            <w:r w:rsidRPr="00A27495">
              <w:rPr>
                <w:rFonts w:ascii="Times New Roman" w:hAnsi="Times New Roman"/>
                <w:color w:val="auto"/>
                <w:sz w:val="20"/>
              </w:rPr>
              <w:t>, Inc.</w:t>
            </w:r>
          </w:p>
        </w:tc>
        <w:tc>
          <w:tcPr>
            <w:tcW w:w="1440" w:type="dxa"/>
            <w:vAlign w:val="center"/>
          </w:tcPr>
          <w:p w:rsidR="006E6600" w:rsidRPr="00A27495" w:rsidRDefault="009767C6" w:rsidP="006E6600">
            <w:pPr>
              <w:pStyle w:val="TableText"/>
              <w:spacing w:before="40" w:after="40"/>
              <w:jc w:val="center"/>
              <w:rPr>
                <w:rFonts w:ascii="Times New Roman" w:hAnsi="Times New Roman"/>
                <w:color w:val="auto"/>
                <w:sz w:val="20"/>
              </w:rPr>
            </w:pPr>
            <w:r>
              <w:rPr>
                <w:rFonts w:ascii="Times New Roman" w:hAnsi="Times New Roman"/>
                <w:color w:val="auto"/>
                <w:sz w:val="20"/>
              </w:rPr>
              <w:t>In Person</w:t>
            </w:r>
          </w:p>
        </w:tc>
        <w:tc>
          <w:tcPr>
            <w:tcW w:w="1260" w:type="dxa"/>
            <w:vAlign w:val="center"/>
            <w:hideMark/>
          </w:tcPr>
          <w:p w:rsidR="006E6600" w:rsidRPr="00A27495" w:rsidRDefault="006E6600">
            <w:pPr>
              <w:pStyle w:val="TableText"/>
              <w:spacing w:before="40" w:after="40"/>
              <w:jc w:val="center"/>
              <w:rPr>
                <w:rFonts w:ascii="Times New Roman" w:hAnsi="Times New Roman"/>
                <w:color w:val="auto"/>
                <w:sz w:val="20"/>
              </w:rPr>
            </w:pPr>
            <w:r w:rsidRPr="00A27495">
              <w:rPr>
                <w:rFonts w:ascii="Times New Roman" w:hAnsi="Times New Roman"/>
                <w:sz w:val="20"/>
              </w:rPr>
              <w:t>Support</w:t>
            </w: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Cs/>
                <w:sz w:val="20"/>
              </w:rPr>
            </w:pPr>
            <w:r w:rsidRPr="00A27495">
              <w:rPr>
                <w:sz w:val="20"/>
              </w:rPr>
              <w:t>Jim Minneman</w:t>
            </w:r>
          </w:p>
        </w:tc>
        <w:tc>
          <w:tcPr>
            <w:tcW w:w="8118" w:type="dxa"/>
            <w:vAlign w:val="center"/>
            <w:hideMark/>
          </w:tcPr>
          <w:p w:rsidR="006E6600" w:rsidRPr="00A27495" w:rsidRDefault="006E6600">
            <w:pPr>
              <w:pStyle w:val="TableText"/>
              <w:spacing w:before="40" w:after="40"/>
              <w:jc w:val="both"/>
              <w:rPr>
                <w:rFonts w:ascii="Times New Roman" w:hAnsi="Times New Roman"/>
                <w:sz w:val="20"/>
              </w:rPr>
            </w:pPr>
            <w:r w:rsidRPr="00A27495">
              <w:rPr>
                <w:rFonts w:ascii="Times New Roman" w:hAnsi="Times New Roman"/>
                <w:color w:val="auto"/>
                <w:sz w:val="20"/>
              </w:rPr>
              <w:t>Controller, PPL Solutions, LLC</w:t>
            </w:r>
          </w:p>
        </w:tc>
        <w:tc>
          <w:tcPr>
            <w:tcW w:w="1440" w:type="dxa"/>
            <w:vAlign w:val="center"/>
          </w:tcPr>
          <w:p w:rsidR="006E6600" w:rsidRPr="00A27495" w:rsidRDefault="006E6600" w:rsidP="006E6600">
            <w:pPr>
              <w:pStyle w:val="TableText"/>
              <w:spacing w:before="40" w:after="40"/>
              <w:jc w:val="center"/>
              <w:rPr>
                <w:rFonts w:ascii="Times New Roman" w:hAnsi="Times New Roman"/>
                <w:sz w:val="20"/>
              </w:rPr>
            </w:pPr>
          </w:p>
        </w:tc>
        <w:tc>
          <w:tcPr>
            <w:tcW w:w="1260" w:type="dxa"/>
            <w:vAlign w:val="center"/>
          </w:tcPr>
          <w:p w:rsidR="006E6600" w:rsidRPr="00A27495" w:rsidRDefault="006E6600">
            <w:pPr>
              <w:pStyle w:val="TableText"/>
              <w:spacing w:before="40" w:after="40"/>
              <w:jc w:val="center"/>
              <w:rPr>
                <w:rFonts w:ascii="Times New Roman" w:hAnsi="Times New Roman"/>
                <w:sz w:val="20"/>
              </w:rPr>
            </w:pP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 Cade Burks</w:t>
            </w:r>
          </w:p>
        </w:tc>
        <w:tc>
          <w:tcPr>
            <w:tcW w:w="8118" w:type="dxa"/>
            <w:vAlign w:val="center"/>
            <w:hideMark/>
          </w:tcPr>
          <w:p w:rsidR="006E6600" w:rsidRPr="00A27495" w:rsidRDefault="006E6600">
            <w:pPr>
              <w:pStyle w:val="TableText"/>
              <w:spacing w:before="40" w:after="40"/>
              <w:jc w:val="both"/>
              <w:rPr>
                <w:rFonts w:ascii="Times New Roman" w:hAnsi="Times New Roman"/>
                <w:sz w:val="20"/>
              </w:rPr>
            </w:pPr>
            <w:r w:rsidRPr="00A27495">
              <w:rPr>
                <w:rFonts w:ascii="Times New Roman" w:hAnsi="Times New Roman"/>
                <w:sz w:val="20"/>
              </w:rPr>
              <w:t>President, Big Data Energy Services</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In Person</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0260" w:type="dxa"/>
            <w:gridSpan w:val="3"/>
            <w:tcBorders>
              <w:top w:val="single" w:sz="4" w:space="0" w:color="auto"/>
              <w:left w:val="nil"/>
              <w:bottom w:val="single" w:sz="4" w:space="0" w:color="auto"/>
              <w:right w:val="nil"/>
            </w:tcBorders>
            <w:vAlign w:val="center"/>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t>Retail Energy Quadrant Retail Electric Utilities Segment</w:t>
            </w:r>
          </w:p>
        </w:tc>
        <w:tc>
          <w:tcPr>
            <w:tcW w:w="1440" w:type="dxa"/>
            <w:tcBorders>
              <w:top w:val="single" w:sz="4" w:space="0" w:color="auto"/>
              <w:left w:val="nil"/>
              <w:bottom w:val="single" w:sz="4" w:space="0" w:color="auto"/>
              <w:right w:val="nil"/>
            </w:tcBorders>
            <w:vAlign w:val="center"/>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vAlign w:val="center"/>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2142" w:type="dxa"/>
            <w:gridSpan w:val="2"/>
            <w:tcBorders>
              <w:top w:val="single" w:sz="4" w:space="0" w:color="auto"/>
              <w:left w:val="nil"/>
              <w:bottom w:val="nil"/>
              <w:right w:val="nil"/>
            </w:tcBorders>
            <w:vAlign w:val="center"/>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Brandon Stites</w:t>
            </w:r>
          </w:p>
        </w:tc>
        <w:tc>
          <w:tcPr>
            <w:tcW w:w="8118" w:type="dxa"/>
            <w:tcBorders>
              <w:top w:val="single" w:sz="4" w:space="0" w:color="auto"/>
              <w:left w:val="nil"/>
              <w:bottom w:val="nil"/>
              <w:right w:val="nil"/>
            </w:tcBorders>
            <w:vAlign w:val="center"/>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Director – Energy Conservation &amp; Advanced Metering, Dominion Virginia Power</w:t>
            </w:r>
          </w:p>
        </w:tc>
        <w:tc>
          <w:tcPr>
            <w:tcW w:w="1440" w:type="dxa"/>
            <w:tcBorders>
              <w:top w:val="single" w:sz="4" w:space="0" w:color="auto"/>
              <w:left w:val="nil"/>
              <w:bottom w:val="nil"/>
              <w:right w:val="nil"/>
            </w:tcBorders>
            <w:vAlign w:val="center"/>
          </w:tcPr>
          <w:p w:rsidR="006E6600" w:rsidRPr="00A27495" w:rsidRDefault="006E6600" w:rsidP="006E6600">
            <w:pPr>
              <w:pStyle w:val="TableText"/>
              <w:spacing w:before="40" w:after="40"/>
              <w:jc w:val="center"/>
              <w:rPr>
                <w:rFonts w:ascii="Times New Roman" w:hAnsi="Times New Roman"/>
                <w:color w:val="auto"/>
                <w:sz w:val="20"/>
              </w:rPr>
            </w:pPr>
          </w:p>
        </w:tc>
        <w:tc>
          <w:tcPr>
            <w:tcW w:w="1260" w:type="dxa"/>
            <w:tcBorders>
              <w:top w:val="single" w:sz="4" w:space="0" w:color="auto"/>
              <w:left w:val="nil"/>
              <w:bottom w:val="nil"/>
              <w:right w:val="nil"/>
            </w:tcBorders>
            <w:vAlign w:val="center"/>
          </w:tcPr>
          <w:p w:rsidR="006E6600" w:rsidRPr="00A27495" w:rsidRDefault="006E6600">
            <w:pPr>
              <w:pStyle w:val="TableText"/>
              <w:spacing w:before="40" w:after="40"/>
              <w:jc w:val="center"/>
              <w:rPr>
                <w:rFonts w:ascii="Times New Roman" w:hAnsi="Times New Roman"/>
                <w:color w:val="auto"/>
                <w:sz w:val="20"/>
              </w:rPr>
            </w:pP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Dennis Derricks</w:t>
            </w:r>
          </w:p>
        </w:tc>
        <w:tc>
          <w:tcPr>
            <w:tcW w:w="8118" w:type="dxa"/>
            <w:vAlign w:val="center"/>
            <w:hideMark/>
          </w:tcPr>
          <w:p w:rsidR="006E6600" w:rsidRPr="00A27495" w:rsidRDefault="006E6600">
            <w:pPr>
              <w:pStyle w:val="TableText"/>
              <w:spacing w:before="40" w:after="40"/>
              <w:rPr>
                <w:rFonts w:ascii="Times New Roman" w:hAnsi="Times New Roman"/>
                <w:color w:val="auto"/>
                <w:sz w:val="20"/>
              </w:rPr>
            </w:pPr>
            <w:r w:rsidRPr="00A27495">
              <w:rPr>
                <w:rFonts w:ascii="Times New Roman" w:hAnsi="Times New Roman"/>
                <w:color w:val="auto"/>
                <w:sz w:val="20"/>
              </w:rPr>
              <w:t>Director Regulatory Policy and Analysis, Wisconsin Public Service Corporation</w:t>
            </w:r>
          </w:p>
        </w:tc>
        <w:tc>
          <w:tcPr>
            <w:tcW w:w="1440" w:type="dxa"/>
            <w:vAlign w:val="center"/>
          </w:tcPr>
          <w:p w:rsidR="006E6600" w:rsidRPr="00A27495" w:rsidRDefault="009767C6" w:rsidP="006E6600">
            <w:pPr>
              <w:pStyle w:val="TableText"/>
              <w:spacing w:before="40" w:after="40"/>
              <w:jc w:val="center"/>
              <w:rPr>
                <w:rFonts w:ascii="Times New Roman" w:hAnsi="Times New Roman"/>
                <w:color w:val="auto"/>
                <w:sz w:val="20"/>
              </w:rPr>
            </w:pPr>
            <w:r>
              <w:rPr>
                <w:rFonts w:ascii="Times New Roman" w:hAnsi="Times New Roman"/>
                <w:color w:val="auto"/>
                <w:sz w:val="20"/>
              </w:rPr>
              <w:t>Phone</w:t>
            </w:r>
          </w:p>
        </w:tc>
        <w:tc>
          <w:tcPr>
            <w:tcW w:w="1260" w:type="dxa"/>
            <w:vAlign w:val="center"/>
            <w:hideMark/>
          </w:tcPr>
          <w:p w:rsidR="006E6600" w:rsidRPr="00A27495" w:rsidRDefault="006E6600">
            <w:pPr>
              <w:pStyle w:val="TableText"/>
              <w:spacing w:before="40" w:after="40"/>
              <w:jc w:val="center"/>
              <w:rPr>
                <w:rFonts w:ascii="Times New Roman" w:hAnsi="Times New Roman"/>
                <w:color w:val="auto"/>
                <w:sz w:val="20"/>
              </w:rPr>
            </w:pPr>
            <w:r w:rsidRPr="00A27495">
              <w:rPr>
                <w:rFonts w:ascii="Times New Roman" w:hAnsi="Times New Roman"/>
                <w:sz w:val="20"/>
              </w:rPr>
              <w:t>Support</w:t>
            </w: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Ruth Kiselewich</w:t>
            </w:r>
          </w:p>
        </w:tc>
        <w:tc>
          <w:tcPr>
            <w:tcW w:w="8118" w:type="dxa"/>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sz w:val="20"/>
              </w:rPr>
              <w:t>Director - Demand Side Management Programs, Baltimore Gas &amp; Electric Company</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Phone</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2142" w:type="dxa"/>
            <w:gridSpan w:val="2"/>
            <w:tcBorders>
              <w:top w:val="nil"/>
              <w:left w:val="nil"/>
              <w:bottom w:val="single" w:sz="4" w:space="0" w:color="auto"/>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Debbie </w:t>
            </w:r>
            <w:proofErr w:type="spellStart"/>
            <w:r w:rsidRPr="00A27495">
              <w:rPr>
                <w:sz w:val="20"/>
              </w:rPr>
              <w:t>McKeever</w:t>
            </w:r>
            <w:proofErr w:type="spellEnd"/>
          </w:p>
        </w:tc>
        <w:tc>
          <w:tcPr>
            <w:tcW w:w="8118" w:type="dxa"/>
            <w:tcBorders>
              <w:top w:val="nil"/>
              <w:left w:val="nil"/>
              <w:bottom w:val="single" w:sz="4" w:space="0" w:color="auto"/>
              <w:right w:val="nil"/>
            </w:tcBorders>
            <w:vAlign w:val="center"/>
            <w:hideMark/>
          </w:tcPr>
          <w:p w:rsidR="006E6600" w:rsidRPr="00A27495" w:rsidRDefault="006E6600">
            <w:pPr>
              <w:pStyle w:val="Header"/>
              <w:spacing w:before="40" w:after="40"/>
              <w:rPr>
                <w:b/>
              </w:rPr>
            </w:pPr>
            <w:r w:rsidRPr="00A27495">
              <w:t xml:space="preserve">Market Advocate, </w:t>
            </w:r>
            <w:proofErr w:type="spellStart"/>
            <w:r w:rsidRPr="00A27495">
              <w:t>Oncor</w:t>
            </w:r>
            <w:proofErr w:type="spellEnd"/>
            <w:r w:rsidRPr="00A27495">
              <w:t xml:space="preserve"> Electric Delivery Company LLC</w:t>
            </w:r>
          </w:p>
        </w:tc>
        <w:tc>
          <w:tcPr>
            <w:tcW w:w="1440" w:type="dxa"/>
            <w:tcBorders>
              <w:top w:val="nil"/>
              <w:left w:val="nil"/>
              <w:bottom w:val="single" w:sz="4" w:space="0" w:color="auto"/>
              <w:right w:val="nil"/>
            </w:tcBorders>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In Person</w:t>
            </w:r>
          </w:p>
        </w:tc>
        <w:tc>
          <w:tcPr>
            <w:tcW w:w="1260" w:type="dxa"/>
            <w:tcBorders>
              <w:top w:val="nil"/>
              <w:left w:val="nil"/>
              <w:bottom w:val="single" w:sz="4" w:space="0" w:color="auto"/>
              <w:right w:val="nil"/>
            </w:tcBorders>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0260" w:type="dxa"/>
            <w:gridSpan w:val="3"/>
            <w:tcBorders>
              <w:top w:val="single" w:sz="4" w:space="0" w:color="auto"/>
              <w:left w:val="nil"/>
              <w:bottom w:val="single" w:sz="4" w:space="0" w:color="auto"/>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27495">
              <w:rPr>
                <w:b/>
                <w:smallCaps/>
                <w:sz w:val="20"/>
              </w:rPr>
              <w:t>Retail Energy Quadrant Retail Electric End Users/Public Agencies Segment</w:t>
            </w:r>
          </w:p>
        </w:tc>
        <w:tc>
          <w:tcPr>
            <w:tcW w:w="1440" w:type="dxa"/>
            <w:tcBorders>
              <w:top w:val="single" w:sz="4" w:space="0" w:color="auto"/>
              <w:left w:val="nil"/>
              <w:bottom w:val="single" w:sz="4" w:space="0" w:color="auto"/>
              <w:right w:val="nil"/>
            </w:tcBorders>
            <w:vAlign w:val="center"/>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c>
          <w:tcPr>
            <w:tcW w:w="1260" w:type="dxa"/>
            <w:tcBorders>
              <w:top w:val="single" w:sz="4" w:space="0" w:color="auto"/>
              <w:left w:val="nil"/>
              <w:bottom w:val="single" w:sz="4" w:space="0" w:color="auto"/>
              <w:right w:val="nil"/>
            </w:tcBorders>
            <w:vAlign w:val="center"/>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Tobin Richardson</w:t>
            </w:r>
          </w:p>
        </w:tc>
        <w:tc>
          <w:tcPr>
            <w:tcW w:w="8118"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President and CEO, ZigBee Alliance</w:t>
            </w:r>
          </w:p>
        </w:tc>
        <w:tc>
          <w:tcPr>
            <w:tcW w:w="1440" w:type="dxa"/>
            <w:vAlign w:val="center"/>
          </w:tcPr>
          <w:p w:rsidR="006E6600" w:rsidRPr="00A27495" w:rsidRDefault="006E6600" w:rsidP="006E6600">
            <w:pPr>
              <w:pStyle w:val="TableText"/>
              <w:spacing w:before="40" w:after="40"/>
              <w:jc w:val="center"/>
              <w:rPr>
                <w:rFonts w:ascii="Times New Roman" w:hAnsi="Times New Roman"/>
                <w:color w:val="auto"/>
                <w:sz w:val="20"/>
              </w:rPr>
            </w:pPr>
          </w:p>
        </w:tc>
        <w:tc>
          <w:tcPr>
            <w:tcW w:w="1260" w:type="dxa"/>
            <w:vAlign w:val="center"/>
          </w:tcPr>
          <w:p w:rsidR="006E6600" w:rsidRPr="00A27495" w:rsidRDefault="006E6600">
            <w:pPr>
              <w:pStyle w:val="TableText"/>
              <w:spacing w:before="40" w:after="40"/>
              <w:jc w:val="center"/>
              <w:rPr>
                <w:rFonts w:ascii="Times New Roman" w:hAnsi="Times New Roman"/>
                <w:color w:val="auto"/>
                <w:sz w:val="20"/>
              </w:rPr>
            </w:pP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Robert G. Gray</w:t>
            </w:r>
          </w:p>
        </w:tc>
        <w:tc>
          <w:tcPr>
            <w:tcW w:w="8118"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Executive Consultant, Arizona Corporation Commission</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Phone</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2142"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James P. Cargas</w:t>
            </w:r>
          </w:p>
        </w:tc>
        <w:tc>
          <w:tcPr>
            <w:tcW w:w="8118"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Senior Assistant City Attorney, City of Houston</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In Person</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2142" w:type="dxa"/>
            <w:gridSpan w:val="2"/>
            <w:tcBorders>
              <w:top w:val="nil"/>
              <w:left w:val="nil"/>
              <w:bottom w:val="single" w:sz="4" w:space="0" w:color="auto"/>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Susan Anthony</w:t>
            </w:r>
          </w:p>
        </w:tc>
        <w:tc>
          <w:tcPr>
            <w:tcW w:w="8118" w:type="dxa"/>
            <w:tcBorders>
              <w:top w:val="nil"/>
              <w:left w:val="nil"/>
              <w:bottom w:val="single" w:sz="4" w:space="0" w:color="auto"/>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Retail Market Liaison, Electric Reliability Council of Texas, Inc.</w:t>
            </w:r>
          </w:p>
        </w:tc>
        <w:tc>
          <w:tcPr>
            <w:tcW w:w="1440" w:type="dxa"/>
            <w:tcBorders>
              <w:top w:val="nil"/>
              <w:left w:val="nil"/>
              <w:bottom w:val="single" w:sz="4" w:space="0" w:color="auto"/>
              <w:right w:val="nil"/>
            </w:tcBorders>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In Person</w:t>
            </w:r>
          </w:p>
        </w:tc>
        <w:tc>
          <w:tcPr>
            <w:tcW w:w="1260" w:type="dxa"/>
            <w:tcBorders>
              <w:top w:val="nil"/>
              <w:left w:val="nil"/>
              <w:bottom w:val="single" w:sz="4" w:space="0" w:color="auto"/>
              <w:right w:val="nil"/>
            </w:tcBorders>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0260" w:type="dxa"/>
            <w:gridSpan w:val="3"/>
            <w:tcBorders>
              <w:top w:val="single" w:sz="4" w:space="0" w:color="auto"/>
              <w:left w:val="nil"/>
              <w:bottom w:val="single" w:sz="4" w:space="0" w:color="auto"/>
              <w:right w:val="nil"/>
            </w:tcBorders>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b/>
                <w:smallCaps/>
                <w:sz w:val="20"/>
              </w:rPr>
              <w:t>Retail Energy Quadrant</w:t>
            </w:r>
            <w:r w:rsidRPr="00A27495">
              <w:rPr>
                <w:rFonts w:ascii="Times New Roman" w:hAnsi="Times New Roman"/>
                <w:b/>
                <w:smallCaps/>
                <w:color w:val="auto"/>
                <w:sz w:val="20"/>
              </w:rPr>
              <w:t xml:space="preserve"> Retail Gas Market Interests Segment</w:t>
            </w:r>
          </w:p>
        </w:tc>
        <w:tc>
          <w:tcPr>
            <w:tcW w:w="1440" w:type="dxa"/>
            <w:tcBorders>
              <w:top w:val="single" w:sz="4" w:space="0" w:color="auto"/>
              <w:left w:val="nil"/>
              <w:bottom w:val="single" w:sz="4" w:space="0" w:color="auto"/>
              <w:right w:val="nil"/>
            </w:tcBorders>
            <w:vAlign w:val="center"/>
          </w:tcPr>
          <w:p w:rsidR="006E6600" w:rsidRPr="00A27495" w:rsidRDefault="006E6600">
            <w:pPr>
              <w:pStyle w:val="TableText"/>
              <w:spacing w:before="40" w:after="40"/>
              <w:rPr>
                <w:rFonts w:ascii="Times New Roman" w:hAnsi="Times New Roman"/>
                <w:sz w:val="20"/>
              </w:rPr>
            </w:pPr>
          </w:p>
        </w:tc>
        <w:tc>
          <w:tcPr>
            <w:tcW w:w="1260" w:type="dxa"/>
            <w:tcBorders>
              <w:top w:val="single" w:sz="4" w:space="0" w:color="auto"/>
              <w:left w:val="nil"/>
              <w:bottom w:val="single" w:sz="4" w:space="0" w:color="auto"/>
              <w:right w:val="nil"/>
            </w:tcBorders>
            <w:vAlign w:val="center"/>
          </w:tcPr>
          <w:p w:rsidR="006E6600" w:rsidRPr="00A27495" w:rsidRDefault="006E6600" w:rsidP="006E6600">
            <w:pPr>
              <w:pStyle w:val="TableText"/>
              <w:spacing w:before="40" w:after="40"/>
              <w:rPr>
                <w:rFonts w:ascii="Times New Roman" w:hAnsi="Times New Roman"/>
                <w:sz w:val="20"/>
              </w:rPr>
            </w:pPr>
          </w:p>
        </w:tc>
      </w:tr>
      <w:tr w:rsidR="006E6600" w:rsidTr="00A27495">
        <w:tc>
          <w:tcPr>
            <w:tcW w:w="1962" w:type="dxa"/>
            <w:tcBorders>
              <w:top w:val="single" w:sz="4" w:space="0" w:color="auto"/>
              <w:left w:val="nil"/>
              <w:bottom w:val="nil"/>
              <w:right w:val="nil"/>
            </w:tcBorders>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Leigh Spangler</w:t>
            </w:r>
          </w:p>
        </w:tc>
        <w:tc>
          <w:tcPr>
            <w:tcW w:w="8298" w:type="dxa"/>
            <w:gridSpan w:val="2"/>
            <w:tcBorders>
              <w:top w:val="single" w:sz="4" w:space="0" w:color="auto"/>
              <w:left w:val="nil"/>
              <w:bottom w:val="nil"/>
              <w:right w:val="nil"/>
            </w:tcBorders>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sz w:val="20"/>
              </w:rPr>
              <w:t>President, Latitude Technologies Inc.</w:t>
            </w:r>
          </w:p>
        </w:tc>
        <w:tc>
          <w:tcPr>
            <w:tcW w:w="1440" w:type="dxa"/>
            <w:tcBorders>
              <w:top w:val="single" w:sz="4" w:space="0" w:color="auto"/>
              <w:left w:val="nil"/>
              <w:bottom w:val="nil"/>
              <w:right w:val="nil"/>
            </w:tcBorders>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In Person</w:t>
            </w:r>
          </w:p>
        </w:tc>
        <w:tc>
          <w:tcPr>
            <w:tcW w:w="1260" w:type="dxa"/>
            <w:tcBorders>
              <w:top w:val="single" w:sz="4" w:space="0" w:color="auto"/>
              <w:left w:val="nil"/>
              <w:bottom w:val="nil"/>
              <w:right w:val="nil"/>
            </w:tcBorders>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962"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Cs/>
                <w:sz w:val="20"/>
              </w:rPr>
            </w:pPr>
            <w:r w:rsidRPr="00A27495">
              <w:rPr>
                <w:sz w:val="20"/>
              </w:rPr>
              <w:t>Scott Mosley</w:t>
            </w:r>
          </w:p>
        </w:tc>
        <w:tc>
          <w:tcPr>
            <w:tcW w:w="8298" w:type="dxa"/>
            <w:gridSpan w:val="2"/>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sz w:val="20"/>
              </w:rPr>
              <w:t xml:space="preserve">Managing Director – Physical Operations, </w:t>
            </w:r>
            <w:proofErr w:type="spellStart"/>
            <w:r w:rsidRPr="00A27495">
              <w:rPr>
                <w:rFonts w:ascii="Times New Roman" w:hAnsi="Times New Roman"/>
                <w:sz w:val="20"/>
              </w:rPr>
              <w:t>SouthStar</w:t>
            </w:r>
            <w:proofErr w:type="spellEnd"/>
            <w:r w:rsidRPr="00A27495">
              <w:rPr>
                <w:rFonts w:ascii="Times New Roman" w:hAnsi="Times New Roman"/>
                <w:sz w:val="20"/>
              </w:rPr>
              <w:t xml:space="preserve"> Energy Services, LLC.</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Phone</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Michael E. Novak</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Asst. General Manager, National Fuel Gas Distribution Corporation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Dave Darnell</w:t>
            </w:r>
          </w:p>
        </w:tc>
        <w:tc>
          <w:tcPr>
            <w:tcW w:w="8298" w:type="dxa"/>
            <w:gridSpan w:val="2"/>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color w:val="auto"/>
                <w:sz w:val="20"/>
              </w:rPr>
              <w:t xml:space="preserve">President &amp; CEO, </w:t>
            </w:r>
            <w:proofErr w:type="spellStart"/>
            <w:r w:rsidRPr="00A27495">
              <w:rPr>
                <w:rFonts w:ascii="Times New Roman" w:hAnsi="Times New Roman"/>
                <w:color w:val="auto"/>
                <w:sz w:val="20"/>
              </w:rPr>
              <w:t>Systrends</w:t>
            </w:r>
            <w:proofErr w:type="spellEnd"/>
            <w:r w:rsidRPr="00A27495">
              <w:rPr>
                <w:rFonts w:ascii="Times New Roman" w:hAnsi="Times New Roman"/>
                <w:color w:val="auto"/>
                <w:sz w:val="20"/>
              </w:rPr>
              <w:t xml:space="preserve"> USA</w:t>
            </w:r>
          </w:p>
        </w:tc>
        <w:tc>
          <w:tcPr>
            <w:tcW w:w="1440" w:type="dxa"/>
            <w:vAlign w:val="center"/>
          </w:tcPr>
          <w:p w:rsidR="006E6600" w:rsidRPr="00A27495" w:rsidRDefault="006E6600" w:rsidP="006E6600">
            <w:pPr>
              <w:pStyle w:val="TableText"/>
              <w:spacing w:before="40" w:after="40"/>
              <w:jc w:val="center"/>
              <w:rPr>
                <w:rFonts w:ascii="Times New Roman" w:hAnsi="Times New Roman"/>
                <w:sz w:val="20"/>
              </w:rPr>
            </w:pPr>
          </w:p>
        </w:tc>
        <w:tc>
          <w:tcPr>
            <w:tcW w:w="1260" w:type="dxa"/>
            <w:vAlign w:val="center"/>
          </w:tcPr>
          <w:p w:rsidR="006E6600" w:rsidRPr="00A27495" w:rsidRDefault="006E6600">
            <w:pPr>
              <w:pStyle w:val="TableText"/>
              <w:spacing w:before="40" w:after="40"/>
              <w:jc w:val="center"/>
              <w:rPr>
                <w:rFonts w:ascii="Times New Roman" w:hAnsi="Times New Roman"/>
                <w:sz w:val="20"/>
              </w:rPr>
            </w:pPr>
          </w:p>
        </w:tc>
      </w:tr>
      <w:tr w:rsidR="006E6600" w:rsidTr="00A27495">
        <w:tc>
          <w:tcPr>
            <w:tcW w:w="1962"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lastRenderedPageBreak/>
              <w:t>Greg Lander</w:t>
            </w:r>
          </w:p>
        </w:tc>
        <w:tc>
          <w:tcPr>
            <w:tcW w:w="8298" w:type="dxa"/>
            <w:gridSpan w:val="2"/>
            <w:vAlign w:val="center"/>
            <w:hideMark/>
          </w:tcPr>
          <w:p w:rsidR="006E6600" w:rsidRPr="00A27495" w:rsidRDefault="006E6600">
            <w:pPr>
              <w:pStyle w:val="TableText"/>
              <w:spacing w:before="40" w:after="40"/>
              <w:rPr>
                <w:rFonts w:ascii="Times New Roman" w:hAnsi="Times New Roman"/>
                <w:sz w:val="20"/>
              </w:rPr>
            </w:pPr>
            <w:r w:rsidRPr="00A27495">
              <w:rPr>
                <w:rFonts w:ascii="Times New Roman" w:hAnsi="Times New Roman"/>
                <w:color w:val="auto"/>
                <w:sz w:val="20"/>
              </w:rPr>
              <w:t>President, Skipping Stone, LLC</w:t>
            </w:r>
          </w:p>
        </w:tc>
        <w:tc>
          <w:tcPr>
            <w:tcW w:w="1440" w:type="dxa"/>
            <w:vAlign w:val="center"/>
          </w:tcPr>
          <w:p w:rsidR="006E6600" w:rsidRPr="00A27495" w:rsidRDefault="009767C6" w:rsidP="006E6600">
            <w:pPr>
              <w:pStyle w:val="TableText"/>
              <w:spacing w:before="40" w:after="40"/>
              <w:jc w:val="center"/>
              <w:rPr>
                <w:rFonts w:ascii="Times New Roman" w:hAnsi="Times New Roman"/>
                <w:sz w:val="20"/>
              </w:rPr>
            </w:pPr>
            <w:r>
              <w:rPr>
                <w:rFonts w:ascii="Times New Roman" w:hAnsi="Times New Roman"/>
                <w:sz w:val="20"/>
              </w:rPr>
              <w:t>Phone</w:t>
            </w:r>
          </w:p>
        </w:tc>
        <w:tc>
          <w:tcPr>
            <w:tcW w:w="1260" w:type="dxa"/>
            <w:vAlign w:val="center"/>
            <w:hideMark/>
          </w:tcPr>
          <w:p w:rsidR="006E6600" w:rsidRPr="00A27495" w:rsidRDefault="006E6600">
            <w:pPr>
              <w:pStyle w:val="TableText"/>
              <w:spacing w:before="40" w:after="40"/>
              <w:jc w:val="center"/>
              <w:rPr>
                <w:rFonts w:ascii="Times New Roman" w:hAnsi="Times New Roman"/>
                <w:sz w:val="20"/>
              </w:rPr>
            </w:pPr>
            <w:r w:rsidRPr="00A27495">
              <w:rPr>
                <w:rFonts w:ascii="Times New Roman" w:hAnsi="Times New Roman"/>
                <w:sz w:val="20"/>
              </w:rPr>
              <w:t>Support</w:t>
            </w:r>
          </w:p>
        </w:tc>
      </w:tr>
      <w:tr w:rsidR="006E6600" w:rsidTr="00A27495">
        <w:tc>
          <w:tcPr>
            <w:tcW w:w="1962" w:type="dxa"/>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Alonzo Weaver</w:t>
            </w:r>
          </w:p>
        </w:tc>
        <w:tc>
          <w:tcPr>
            <w:tcW w:w="8298" w:type="dxa"/>
            <w:gridSpan w:val="2"/>
            <w:vAlign w:val="center"/>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of Engineering and Operations, Memphis Light, Gas &amp; Water Division (APGA)</w:t>
            </w:r>
          </w:p>
        </w:tc>
        <w:tc>
          <w:tcPr>
            <w:tcW w:w="1440" w:type="dxa"/>
            <w:vAlign w:val="center"/>
          </w:tcPr>
          <w:p w:rsidR="006E6600" w:rsidRPr="00A27495" w:rsidRDefault="006E6600" w:rsidP="006E6600">
            <w:pPr>
              <w:pStyle w:val="TableText"/>
              <w:spacing w:before="40" w:after="40"/>
              <w:jc w:val="center"/>
              <w:rPr>
                <w:rFonts w:ascii="Times New Roman" w:hAnsi="Times New Roman"/>
                <w:sz w:val="20"/>
              </w:rPr>
            </w:pPr>
          </w:p>
        </w:tc>
        <w:tc>
          <w:tcPr>
            <w:tcW w:w="1260" w:type="dxa"/>
            <w:vAlign w:val="center"/>
          </w:tcPr>
          <w:p w:rsidR="006E6600" w:rsidRPr="00A27495" w:rsidRDefault="006E6600">
            <w:pPr>
              <w:pStyle w:val="TableText"/>
              <w:spacing w:before="40" w:after="40"/>
              <w:jc w:val="center"/>
              <w:rPr>
                <w:rFonts w:ascii="Times New Roman" w:hAnsi="Times New Roman"/>
                <w:sz w:val="20"/>
              </w:rPr>
            </w:pP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hideMark/>
          </w:tcPr>
          <w:p w:rsidR="006E6600" w:rsidRPr="00A27495" w:rsidRDefault="006E6600">
            <w:pPr>
              <w:pStyle w:val="BodyText"/>
              <w:spacing w:before="40" w:after="40"/>
              <w:rPr>
                <w:sz w:val="20"/>
              </w:rPr>
            </w:pPr>
            <w:r w:rsidRPr="00A27495">
              <w:rPr>
                <w:sz w:val="20"/>
              </w:rPr>
              <w:t>Armando Rodriguez</w:t>
            </w:r>
          </w:p>
        </w:tc>
        <w:tc>
          <w:tcPr>
            <w:tcW w:w="8298" w:type="dxa"/>
            <w:gridSpan w:val="2"/>
            <w:hideMark/>
          </w:tcPr>
          <w:p w:rsidR="006E6600" w:rsidRPr="00A27495" w:rsidRDefault="006E6600">
            <w:pPr>
              <w:pStyle w:val="BodyText"/>
              <w:spacing w:before="40" w:after="40"/>
              <w:rPr>
                <w:sz w:val="20"/>
              </w:rPr>
            </w:pPr>
            <w:r w:rsidRPr="00A27495">
              <w:rPr>
                <w:sz w:val="20"/>
              </w:rPr>
              <w:t>Senior Manager, Reliability Authority &amp; Regional Operations, Tennessee Valley Authority</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60"/>
              <w:rPr>
                <w:sz w:val="20"/>
              </w:rPr>
            </w:pPr>
            <w:r w:rsidRPr="00A27495">
              <w:rPr>
                <w:sz w:val="20"/>
              </w:rPr>
              <w:t>Narinder Saini</w:t>
            </w:r>
          </w:p>
        </w:tc>
        <w:tc>
          <w:tcPr>
            <w:tcW w:w="8298" w:type="dxa"/>
            <w:gridSpan w:val="2"/>
            <w:hideMark/>
          </w:tcPr>
          <w:p w:rsidR="006E6600" w:rsidRPr="00A27495" w:rsidRDefault="006E6600">
            <w:pPr>
              <w:pStyle w:val="BodyText"/>
              <w:spacing w:before="60"/>
              <w:rPr>
                <w:sz w:val="20"/>
              </w:rPr>
            </w:pPr>
            <w:r w:rsidRPr="00A27495">
              <w:rPr>
                <w:sz w:val="20"/>
              </w:rPr>
              <w:t>Policy Consultant, Entergy Services, Inc.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Mike Anthony</w:t>
            </w:r>
          </w:p>
        </w:tc>
        <w:tc>
          <w:tcPr>
            <w:tcW w:w="8298" w:type="dxa"/>
            <w:gridSpan w:val="2"/>
            <w:hideMark/>
          </w:tcPr>
          <w:p w:rsidR="006E6600" w:rsidRPr="00A27495" w:rsidRDefault="006E6600">
            <w:pPr>
              <w:pStyle w:val="BodyText"/>
              <w:spacing w:before="40" w:after="40"/>
              <w:rPr>
                <w:sz w:val="20"/>
              </w:rPr>
            </w:pPr>
            <w:r w:rsidRPr="00A27495">
              <w:rPr>
                <w:sz w:val="20"/>
              </w:rPr>
              <w:t>Manager – Tariff Administration and Business Services, Duke Energy Corporation</w:t>
            </w:r>
          </w:p>
        </w:tc>
        <w:tc>
          <w:tcPr>
            <w:tcW w:w="1440" w:type="dxa"/>
          </w:tcPr>
          <w:p w:rsidR="006E6600" w:rsidRPr="009767C6"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Alex DeBoissiere</w:t>
            </w:r>
          </w:p>
        </w:tc>
        <w:tc>
          <w:tcPr>
            <w:tcW w:w="8298" w:type="dxa"/>
            <w:gridSpan w:val="2"/>
            <w:hideMark/>
          </w:tcPr>
          <w:p w:rsidR="006E6600" w:rsidRPr="00A27495" w:rsidRDefault="006E6600">
            <w:pPr>
              <w:pStyle w:val="BodyText"/>
              <w:spacing w:before="40" w:after="40"/>
              <w:rPr>
                <w:sz w:val="20"/>
              </w:rPr>
            </w:pPr>
            <w:r w:rsidRPr="00A27495">
              <w:rPr>
                <w:sz w:val="20"/>
              </w:rPr>
              <w:t>Senior Vice President – Government Relations, The United Illuminating Company</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0260" w:type="dxa"/>
            <w:gridSpan w:val="3"/>
            <w:tcBorders>
              <w:top w:val="single" w:sz="4" w:space="0" w:color="auto"/>
              <w:left w:val="nil"/>
              <w:bottom w:val="single" w:sz="4" w:space="0" w:color="auto"/>
              <w:right w:val="nil"/>
            </w:tcBorders>
            <w:hideMark/>
          </w:tcPr>
          <w:p w:rsidR="006E6600" w:rsidRPr="00A27495" w:rsidRDefault="006E6600">
            <w:pPr>
              <w:pStyle w:val="BodyText"/>
              <w:spacing w:before="40" w:after="40"/>
              <w:rPr>
                <w:sz w:val="20"/>
              </w:rPr>
            </w:pPr>
            <w:r w:rsidRPr="00A27495">
              <w:rPr>
                <w:b/>
                <w:smallCaps/>
                <w:sz w:val="20"/>
              </w:rPr>
              <w:t>Wholesale Electric Quadrant Generation Segment</w:t>
            </w:r>
          </w:p>
        </w:tc>
        <w:tc>
          <w:tcPr>
            <w:tcW w:w="144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Borders>
              <w:top w:val="single" w:sz="4" w:space="0" w:color="auto"/>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r>
      <w:tr w:rsidR="006E6600" w:rsidTr="00A27495">
        <w:tc>
          <w:tcPr>
            <w:tcW w:w="1962" w:type="dxa"/>
            <w:hideMark/>
          </w:tcPr>
          <w:p w:rsidR="006E6600" w:rsidRPr="00A27495" w:rsidRDefault="006E6600">
            <w:pPr>
              <w:pStyle w:val="BodyText"/>
              <w:spacing w:before="40" w:after="40"/>
              <w:rPr>
                <w:sz w:val="20"/>
              </w:rPr>
            </w:pPr>
            <w:r w:rsidRPr="00A27495">
              <w:rPr>
                <w:sz w:val="20"/>
              </w:rPr>
              <w:t>William J. Gallagher</w:t>
            </w:r>
          </w:p>
        </w:tc>
        <w:tc>
          <w:tcPr>
            <w:tcW w:w="8298" w:type="dxa"/>
            <w:gridSpan w:val="2"/>
            <w:hideMark/>
          </w:tcPr>
          <w:p w:rsidR="006E6600" w:rsidRPr="00A27495" w:rsidRDefault="006E6600">
            <w:pPr>
              <w:pStyle w:val="BodyText"/>
              <w:spacing w:before="40" w:after="40"/>
              <w:rPr>
                <w:sz w:val="20"/>
              </w:rPr>
            </w:pPr>
            <w:r w:rsidRPr="00A27495">
              <w:rPr>
                <w:sz w:val="20"/>
              </w:rPr>
              <w:t>Special Projects Chief, Vermont Public Power Supply Authority</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Kathy York</w:t>
            </w:r>
          </w:p>
        </w:tc>
        <w:tc>
          <w:tcPr>
            <w:tcW w:w="8298" w:type="dxa"/>
            <w:gridSpan w:val="2"/>
            <w:hideMark/>
          </w:tcPr>
          <w:p w:rsidR="006E6600" w:rsidRPr="00A27495" w:rsidRDefault="006E6600">
            <w:pPr>
              <w:pStyle w:val="BodyText"/>
              <w:spacing w:before="40" w:after="40"/>
              <w:rPr>
                <w:sz w:val="20"/>
              </w:rPr>
            </w:pPr>
            <w:r w:rsidRPr="00A27495">
              <w:rPr>
                <w:sz w:val="20"/>
              </w:rPr>
              <w:t>Senior Program Manager - Energy Markets, Policy and Compliance Reporting, Tennessee Valley Authority</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Lou Oberski</w:t>
            </w:r>
          </w:p>
        </w:tc>
        <w:tc>
          <w:tcPr>
            <w:tcW w:w="8298" w:type="dxa"/>
            <w:gridSpan w:val="2"/>
            <w:hideMark/>
          </w:tcPr>
          <w:p w:rsidR="006E6600" w:rsidRPr="00A27495" w:rsidRDefault="006E6600">
            <w:pPr>
              <w:pStyle w:val="BodyText"/>
              <w:spacing w:before="40" w:after="40"/>
              <w:rPr>
                <w:sz w:val="20"/>
              </w:rPr>
            </w:pPr>
            <w:r w:rsidRPr="00A27495">
              <w:rPr>
                <w:sz w:val="20"/>
              </w:rPr>
              <w:t>Managing Director NERC Compliance Policy, Dominion Resources Services, Inc.</w:t>
            </w:r>
          </w:p>
        </w:tc>
        <w:tc>
          <w:tcPr>
            <w:tcW w:w="1440" w:type="dxa"/>
          </w:tcPr>
          <w:p w:rsidR="006E6600" w:rsidRPr="00A27495" w:rsidRDefault="006E6600" w:rsidP="006E6600">
            <w:pPr>
              <w:pStyle w:val="BodyText"/>
              <w:spacing w:before="40" w:after="40"/>
              <w:jc w:val="center"/>
              <w:rPr>
                <w:sz w:val="20"/>
              </w:rPr>
            </w:pPr>
          </w:p>
        </w:tc>
        <w:tc>
          <w:tcPr>
            <w:tcW w:w="1260" w:type="dxa"/>
          </w:tcPr>
          <w:p w:rsidR="006E6600" w:rsidRPr="00A27495" w:rsidRDefault="006E6600">
            <w:pPr>
              <w:pStyle w:val="BodyText"/>
              <w:spacing w:before="40" w:after="40"/>
              <w:jc w:val="center"/>
              <w:rPr>
                <w:sz w:val="20"/>
              </w:rPr>
            </w:pPr>
          </w:p>
        </w:tc>
      </w:tr>
      <w:tr w:rsidR="006E6600" w:rsidTr="00A27495">
        <w:tc>
          <w:tcPr>
            <w:tcW w:w="1962" w:type="dxa"/>
            <w:hideMark/>
          </w:tcPr>
          <w:p w:rsidR="006E6600" w:rsidRPr="00A27495" w:rsidRDefault="006E6600">
            <w:pPr>
              <w:pStyle w:val="BodyText"/>
              <w:spacing w:before="40" w:after="40"/>
              <w:rPr>
                <w:sz w:val="20"/>
              </w:rPr>
            </w:pPr>
            <w:r w:rsidRPr="00A27495">
              <w:rPr>
                <w:sz w:val="20"/>
              </w:rPr>
              <w:t>Wayne Moore</w:t>
            </w:r>
          </w:p>
        </w:tc>
        <w:tc>
          <w:tcPr>
            <w:tcW w:w="8298" w:type="dxa"/>
            <w:gridSpan w:val="2"/>
            <w:hideMark/>
          </w:tcPr>
          <w:p w:rsidR="006E6600" w:rsidRPr="00A27495" w:rsidRDefault="006E6600">
            <w:pPr>
              <w:pStyle w:val="BodyText"/>
              <w:spacing w:before="40" w:after="40"/>
              <w:rPr>
                <w:sz w:val="20"/>
              </w:rPr>
            </w:pPr>
            <w:r w:rsidRPr="00A27495">
              <w:rPr>
                <w:sz w:val="20"/>
              </w:rPr>
              <w:t>Vice President - Operations Compliance Officer, Southern Company Services, Inc.</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spacing w:before="60"/>
              <w:rPr>
                <w:sz w:val="20"/>
              </w:rPr>
            </w:pPr>
            <w:r w:rsidRPr="00A27495">
              <w:rPr>
                <w:sz w:val="20"/>
              </w:rPr>
              <w:t>Chris O’Hara</w:t>
            </w:r>
          </w:p>
        </w:tc>
        <w:tc>
          <w:tcPr>
            <w:tcW w:w="8298" w:type="dxa"/>
            <w:gridSpan w:val="2"/>
            <w:hideMark/>
          </w:tcPr>
          <w:p w:rsidR="006E6600" w:rsidRPr="00A27495" w:rsidRDefault="006E6600">
            <w:pPr>
              <w:pStyle w:val="BodyText"/>
              <w:spacing w:before="60"/>
              <w:rPr>
                <w:sz w:val="20"/>
              </w:rPr>
            </w:pPr>
            <w:r w:rsidRPr="00A27495">
              <w:rPr>
                <w:sz w:val="20"/>
              </w:rPr>
              <w:t>General Counsel – Gulf Coast Region, NRG Energy, Inc.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Joe Hartsoe</w:t>
            </w:r>
          </w:p>
        </w:tc>
        <w:tc>
          <w:tcPr>
            <w:tcW w:w="8298" w:type="dxa"/>
            <w:gridSpan w:val="2"/>
            <w:hideMark/>
          </w:tcPr>
          <w:p w:rsidR="006E6600" w:rsidRPr="00A27495" w:rsidRDefault="006E6600">
            <w:pPr>
              <w:pStyle w:val="BodyText"/>
              <w:spacing w:before="40" w:after="40"/>
              <w:rPr>
                <w:sz w:val="20"/>
              </w:rPr>
            </w:pPr>
            <w:r w:rsidRPr="00A27495">
              <w:rPr>
                <w:sz w:val="20"/>
              </w:rPr>
              <w:t>Managing Director – Federal Policy, American Electric Power Service Corp.</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spacing w:before="40" w:after="40"/>
              <w:rPr>
                <w:sz w:val="20"/>
              </w:rPr>
            </w:pPr>
            <w:r w:rsidRPr="00A27495">
              <w:rPr>
                <w:sz w:val="20"/>
              </w:rPr>
              <w:t>Brad Cox</w:t>
            </w:r>
          </w:p>
        </w:tc>
        <w:tc>
          <w:tcPr>
            <w:tcW w:w="8298" w:type="dxa"/>
            <w:gridSpan w:val="2"/>
            <w:hideMark/>
          </w:tcPr>
          <w:p w:rsidR="006E6600" w:rsidRPr="00A27495" w:rsidRDefault="006E6600">
            <w:pPr>
              <w:pStyle w:val="BodyText"/>
              <w:spacing w:before="40" w:after="40"/>
              <w:rPr>
                <w:sz w:val="20"/>
              </w:rPr>
            </w:pPr>
            <w:r w:rsidRPr="00A27495">
              <w:rPr>
                <w:sz w:val="20"/>
              </w:rPr>
              <w:t>Vice President – Markets &amp; Compliance, Tenaska, Inc.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hideMark/>
          </w:tcPr>
          <w:p w:rsidR="006E6600" w:rsidRPr="00A27495" w:rsidRDefault="006E6600">
            <w:pPr>
              <w:pStyle w:val="BodyText"/>
              <w:keepNext/>
              <w:spacing w:before="40" w:after="40"/>
              <w:rPr>
                <w:sz w:val="20"/>
              </w:rPr>
            </w:pPr>
            <w:r w:rsidRPr="00A27495">
              <w:rPr>
                <w:sz w:val="20"/>
              </w:rPr>
              <w:t>Roy True</w:t>
            </w:r>
          </w:p>
        </w:tc>
        <w:tc>
          <w:tcPr>
            <w:tcW w:w="8298" w:type="dxa"/>
            <w:gridSpan w:val="2"/>
            <w:hideMark/>
          </w:tcPr>
          <w:p w:rsidR="006E6600" w:rsidRPr="00A27495" w:rsidRDefault="006E6600">
            <w:pPr>
              <w:pStyle w:val="BodyText"/>
              <w:keepNext/>
              <w:spacing w:before="40" w:after="40"/>
              <w:rPr>
                <w:sz w:val="20"/>
              </w:rPr>
            </w:pPr>
            <w:r w:rsidRPr="00A27495">
              <w:rPr>
                <w:sz w:val="20"/>
              </w:rPr>
              <w:t>Manager of Regulatory &amp; Market Affairs, Alliance for Cooperative Energy Services Power Marketing LLC (ACES)</w:t>
            </w:r>
          </w:p>
        </w:tc>
        <w:tc>
          <w:tcPr>
            <w:tcW w:w="1440" w:type="dxa"/>
          </w:tcPr>
          <w:p w:rsidR="006E6600" w:rsidRPr="00A27495" w:rsidRDefault="009767C6" w:rsidP="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spacing w:before="40" w:after="40"/>
              <w:rPr>
                <w:sz w:val="20"/>
              </w:rPr>
            </w:pPr>
            <w:r w:rsidRPr="00A27495">
              <w:rPr>
                <w:sz w:val="20"/>
              </w:rPr>
              <w:t>Jeff Ackerman</w:t>
            </w:r>
          </w:p>
        </w:tc>
        <w:tc>
          <w:tcPr>
            <w:tcW w:w="8298" w:type="dxa"/>
            <w:gridSpan w:val="2"/>
            <w:hideMark/>
          </w:tcPr>
          <w:p w:rsidR="006E6600" w:rsidRPr="00A27495" w:rsidRDefault="006E6600">
            <w:pPr>
              <w:pStyle w:val="BodyText"/>
              <w:keepNext/>
              <w:spacing w:before="40" w:after="40"/>
              <w:rPr>
                <w:sz w:val="20"/>
              </w:rPr>
            </w:pPr>
            <w:r w:rsidRPr="00A27495">
              <w:rPr>
                <w:sz w:val="20"/>
              </w:rPr>
              <w:t>Manager - Colorado River Storage Project Energy Management &amp; Marketing Office, Western Area Power Administration</w:t>
            </w:r>
          </w:p>
        </w:tc>
        <w:tc>
          <w:tcPr>
            <w:tcW w:w="1440" w:type="dxa"/>
          </w:tcPr>
          <w:p w:rsidR="006E6600" w:rsidRPr="00A27495" w:rsidRDefault="009767C6" w:rsidP="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spacing w:before="40" w:after="40"/>
              <w:rPr>
                <w:sz w:val="20"/>
              </w:rPr>
            </w:pPr>
            <w:r w:rsidRPr="00A27495">
              <w:rPr>
                <w:sz w:val="20"/>
              </w:rPr>
              <w:t>Andrea Sanders Brackett</w:t>
            </w:r>
          </w:p>
        </w:tc>
        <w:tc>
          <w:tcPr>
            <w:tcW w:w="8298" w:type="dxa"/>
            <w:gridSpan w:val="2"/>
            <w:hideMark/>
          </w:tcPr>
          <w:p w:rsidR="006E6600" w:rsidRPr="00A27495" w:rsidRDefault="006E6600">
            <w:pPr>
              <w:pStyle w:val="BodyText"/>
              <w:keepNext/>
              <w:spacing w:before="40" w:after="40"/>
              <w:rPr>
                <w:sz w:val="20"/>
              </w:rPr>
            </w:pPr>
            <w:r w:rsidRPr="00A27495">
              <w:rPr>
                <w:sz w:val="20"/>
              </w:rPr>
              <w:t>Senior Manager of Cyber Governance, Policy and Standards, Tennessee Valley Authority</w:t>
            </w:r>
          </w:p>
        </w:tc>
        <w:tc>
          <w:tcPr>
            <w:tcW w:w="1440" w:type="dxa"/>
          </w:tcPr>
          <w:p w:rsidR="006E6600" w:rsidRPr="00A27495" w:rsidRDefault="009767C6" w:rsidP="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spacing w:before="40" w:after="40"/>
              <w:rPr>
                <w:sz w:val="20"/>
              </w:rPr>
            </w:pPr>
            <w:r w:rsidRPr="00A27495">
              <w:rPr>
                <w:sz w:val="20"/>
              </w:rPr>
              <w:t xml:space="preserve">Paul Zhang </w:t>
            </w:r>
          </w:p>
        </w:tc>
        <w:tc>
          <w:tcPr>
            <w:tcW w:w="8298" w:type="dxa"/>
            <w:gridSpan w:val="2"/>
            <w:hideMark/>
          </w:tcPr>
          <w:p w:rsidR="006E6600" w:rsidRPr="00A27495" w:rsidRDefault="006E6600">
            <w:pPr>
              <w:pStyle w:val="BodyText"/>
              <w:keepNext/>
              <w:spacing w:before="40" w:after="40"/>
              <w:rPr>
                <w:sz w:val="20"/>
              </w:rPr>
            </w:pPr>
            <w:r w:rsidRPr="00A27495">
              <w:rPr>
                <w:sz w:val="20"/>
              </w:rPr>
              <w:t>Financial Trading Desk Head – Energy Marketing &amp; Trading, Florida Power &amp; Light</w:t>
            </w:r>
          </w:p>
        </w:tc>
        <w:tc>
          <w:tcPr>
            <w:tcW w:w="1440" w:type="dxa"/>
          </w:tcPr>
          <w:p w:rsidR="006E6600" w:rsidRPr="00A27495" w:rsidRDefault="009767C6" w:rsidP="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spacing w:before="40" w:after="40"/>
              <w:rPr>
                <w:sz w:val="20"/>
              </w:rPr>
            </w:pPr>
            <w:r w:rsidRPr="00A27495">
              <w:rPr>
                <w:sz w:val="20"/>
              </w:rPr>
              <w:t>R. Scott Brown</w:t>
            </w:r>
          </w:p>
        </w:tc>
        <w:tc>
          <w:tcPr>
            <w:tcW w:w="8298" w:type="dxa"/>
            <w:gridSpan w:val="2"/>
            <w:hideMark/>
          </w:tcPr>
          <w:p w:rsidR="006E6600" w:rsidRPr="00A27495" w:rsidRDefault="006E6600">
            <w:pPr>
              <w:pStyle w:val="BodyText"/>
              <w:keepNext/>
              <w:spacing w:before="40" w:after="40"/>
              <w:rPr>
                <w:sz w:val="20"/>
              </w:rPr>
            </w:pPr>
            <w:r w:rsidRPr="00A27495">
              <w:rPr>
                <w:sz w:val="20"/>
              </w:rPr>
              <w:t>Market Initiatives and Analysis – Exelon Corporation, Exelon Generation Company, LLC</w:t>
            </w:r>
          </w:p>
        </w:tc>
        <w:tc>
          <w:tcPr>
            <w:tcW w:w="1440" w:type="dxa"/>
          </w:tcPr>
          <w:p w:rsidR="006E6600" w:rsidRPr="00A27495" w:rsidRDefault="006E6600" w:rsidP="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Pr>
          <w:p w:rsidR="006E6600" w:rsidRPr="00A27495" w:rsidRDefault="006E6600">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hideMark/>
          </w:tcPr>
          <w:p w:rsidR="006E6600" w:rsidRPr="00A27495" w:rsidRDefault="006E6600">
            <w:pPr>
              <w:pStyle w:val="BodyText"/>
              <w:keepNext/>
              <w:keepLines/>
              <w:spacing w:before="40" w:after="40"/>
              <w:rPr>
                <w:sz w:val="20"/>
              </w:rPr>
            </w:pPr>
            <w:r w:rsidRPr="00A27495">
              <w:rPr>
                <w:sz w:val="20"/>
              </w:rPr>
              <w:lastRenderedPageBreak/>
              <w:t>Paul McCurley</w:t>
            </w:r>
          </w:p>
        </w:tc>
        <w:tc>
          <w:tcPr>
            <w:tcW w:w="8298" w:type="dxa"/>
            <w:gridSpan w:val="2"/>
            <w:hideMark/>
          </w:tcPr>
          <w:p w:rsidR="006E6600" w:rsidRPr="00A27495" w:rsidRDefault="006E6600">
            <w:pPr>
              <w:pStyle w:val="BodyText"/>
              <w:spacing w:before="40" w:after="40"/>
              <w:rPr>
                <w:sz w:val="20"/>
              </w:rPr>
            </w:pPr>
            <w:r w:rsidRPr="00A27495">
              <w:rPr>
                <w:sz w:val="20"/>
              </w:rPr>
              <w:t>Manager – Power Supply, National Rural Electric Cooperative Association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spacing w:before="40" w:after="40"/>
              <w:rPr>
                <w:sz w:val="20"/>
              </w:rPr>
            </w:pPr>
            <w:r w:rsidRPr="00A27495">
              <w:rPr>
                <w:sz w:val="20"/>
              </w:rPr>
              <w:t>Nelson Peeler</w:t>
            </w:r>
          </w:p>
        </w:tc>
        <w:tc>
          <w:tcPr>
            <w:tcW w:w="8298" w:type="dxa"/>
            <w:gridSpan w:val="2"/>
            <w:hideMark/>
          </w:tcPr>
          <w:p w:rsidR="006E6600" w:rsidRPr="00A27495" w:rsidRDefault="006E6600">
            <w:pPr>
              <w:pStyle w:val="BodyText"/>
              <w:spacing w:before="40" w:after="40"/>
              <w:rPr>
                <w:sz w:val="20"/>
              </w:rPr>
            </w:pPr>
            <w:r w:rsidRPr="00A27495">
              <w:rPr>
                <w:sz w:val="20"/>
              </w:rPr>
              <w:t>Vice President System Operations, Duke Energy Corporation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Mark G. Lauby</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and Director – Standards, North American Electric Reliability Corporation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Bruce Ellsworth</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New York State Reliability Council</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Jesse D. Hurley</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CEO, Shift Systems, LLC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Shanna Cleveland</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Interim Program Director, Clean Energy and Climate Change – Senior Attorney, Conservation Law Foundation</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Lila Kee</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Chief Product Officer and Vice President of U.S. Business Development, GMO </w:t>
            </w:r>
            <w:proofErr w:type="spellStart"/>
            <w:r w:rsidRPr="00A27495">
              <w:rPr>
                <w:sz w:val="20"/>
              </w:rPr>
              <w:t>GlobalSign</w:t>
            </w:r>
            <w:proofErr w:type="spellEnd"/>
            <w:r w:rsidRPr="00A27495">
              <w:rPr>
                <w:sz w:val="20"/>
              </w:rPr>
              <w:t>, Inc.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Michehl Gent</w:t>
            </w:r>
          </w:p>
        </w:tc>
        <w:tc>
          <w:tcPr>
            <w:tcW w:w="8298" w:type="dxa"/>
            <w:gridSpan w:val="2"/>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Open Access Technology International, Inc.</w:t>
            </w:r>
          </w:p>
        </w:tc>
        <w:tc>
          <w:tcPr>
            <w:tcW w:w="1440" w:type="dxa"/>
            <w:tcBorders>
              <w:top w:val="nil"/>
              <w:left w:val="nil"/>
              <w:bottom w:val="single" w:sz="4" w:space="0" w:color="auto"/>
              <w:right w:val="nil"/>
            </w:tcBorders>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Michael Desselle</w:t>
            </w:r>
          </w:p>
        </w:tc>
        <w:tc>
          <w:tcPr>
            <w:tcW w:w="8298" w:type="dxa"/>
            <w:gridSpan w:val="2"/>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Process Integrity, Southwest Power Pool</w:t>
            </w:r>
          </w:p>
        </w:tc>
        <w:tc>
          <w:tcPr>
            <w:tcW w:w="1440" w:type="dxa"/>
            <w:tcBorders>
              <w:top w:val="single" w:sz="4" w:space="0" w:color="auto"/>
              <w:left w:val="nil"/>
              <w:bottom w:val="nil"/>
              <w:right w:val="nil"/>
            </w:tcBorders>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Joel Mickey</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Director of Market Design and Development, ERCOT</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Robert </w:t>
            </w:r>
            <w:proofErr w:type="spellStart"/>
            <w:r w:rsidRPr="00A27495">
              <w:rPr>
                <w:sz w:val="20"/>
              </w:rPr>
              <w:t>Ethier</w:t>
            </w:r>
            <w:proofErr w:type="spellEnd"/>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Market Operations, ISO New England, Inc.</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Jim Castle</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Manager of Reliability, New York Independent System Operator, Inc. (NYISO)</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Stu </w:t>
            </w:r>
            <w:proofErr w:type="spellStart"/>
            <w:r w:rsidRPr="00A27495">
              <w:rPr>
                <w:sz w:val="20"/>
              </w:rPr>
              <w:t>Bresler</w:t>
            </w:r>
            <w:proofErr w:type="spellEnd"/>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of Market Operations, PJM Interconnection, LLC</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Lori A. Spence</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Executive Director and Deputy General Counsel of Compliance Services, MISO</w:t>
            </w:r>
          </w:p>
        </w:tc>
        <w:tc>
          <w:tcPr>
            <w:tcW w:w="1440" w:type="dxa"/>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c>
          <w:tcPr>
            <w:tcW w:w="1260" w:type="dxa"/>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6E6600" w:rsidTr="00A27495">
        <w:tc>
          <w:tcPr>
            <w:tcW w:w="1962" w:type="dxa"/>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Mark Wilson</w:t>
            </w:r>
          </w:p>
        </w:tc>
        <w:tc>
          <w:tcPr>
            <w:tcW w:w="8298" w:type="dxa"/>
            <w:gridSpan w:val="2"/>
            <w:tcBorders>
              <w:top w:val="nil"/>
              <w:left w:val="nil"/>
              <w:bottom w:val="single" w:sz="4" w:space="0" w:color="auto"/>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Director of Corporate Planning, Independent Electricity System Operator (IESO)</w:t>
            </w:r>
          </w:p>
        </w:tc>
        <w:tc>
          <w:tcPr>
            <w:tcW w:w="1440" w:type="dxa"/>
            <w:tcBorders>
              <w:top w:val="nil"/>
              <w:left w:val="nil"/>
              <w:bottom w:val="single" w:sz="4" w:space="0" w:color="auto"/>
              <w:right w:val="nil"/>
            </w:tcBorders>
          </w:tcPr>
          <w:p w:rsidR="006E6600" w:rsidRPr="00A27495" w:rsidRDefault="006E6600"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Borders>
              <w:top w:val="nil"/>
              <w:left w:val="nil"/>
              <w:bottom w:val="single" w:sz="4" w:space="0" w:color="auto"/>
              <w:right w:val="nil"/>
            </w:tcBorders>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r>
      <w:tr w:rsidR="006E6600" w:rsidTr="00A27495">
        <w:tc>
          <w:tcPr>
            <w:tcW w:w="11700" w:type="dxa"/>
            <w:gridSpan w:val="4"/>
            <w:tcBorders>
              <w:top w:val="single" w:sz="4" w:space="0" w:color="auto"/>
              <w:left w:val="nil"/>
              <w:bottom w:val="single" w:sz="4" w:space="0" w:color="auto"/>
              <w:right w:val="nil"/>
            </w:tcBorders>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c>
          <w:tcPr>
            <w:tcW w:w="1260" w:type="dxa"/>
            <w:tcBorders>
              <w:top w:val="single" w:sz="4" w:space="0" w:color="auto"/>
              <w:left w:val="nil"/>
              <w:bottom w:val="single" w:sz="4" w:space="0" w:color="auto"/>
              <w:right w:val="nil"/>
            </w:tcBorders>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p>
        </w:tc>
      </w:tr>
      <w:tr w:rsidR="006E6600" w:rsidTr="00A27495">
        <w:tc>
          <w:tcPr>
            <w:tcW w:w="1962" w:type="dxa"/>
            <w:tcBorders>
              <w:top w:val="single" w:sz="4" w:space="0" w:color="auto"/>
              <w:left w:val="nil"/>
              <w:bottom w:val="nil"/>
              <w:right w:val="nil"/>
            </w:tcBorders>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Jim Buccigross</w:t>
            </w:r>
          </w:p>
        </w:tc>
        <w:tc>
          <w:tcPr>
            <w:tcW w:w="8298" w:type="dxa"/>
            <w:gridSpan w:val="2"/>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Vice President Energy Industry Practice, 8760 Inc.</w:t>
            </w:r>
          </w:p>
        </w:tc>
        <w:tc>
          <w:tcPr>
            <w:tcW w:w="1440" w:type="dxa"/>
            <w:tcBorders>
              <w:top w:val="single" w:sz="4" w:space="0" w:color="auto"/>
              <w:left w:val="nil"/>
              <w:bottom w:val="nil"/>
              <w:right w:val="nil"/>
            </w:tcBorders>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tcBorders>
              <w:top w:val="single" w:sz="4" w:space="0" w:color="auto"/>
              <w:left w:val="nil"/>
              <w:bottom w:val="nil"/>
              <w:right w:val="nil"/>
            </w:tcBorders>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David A. Wollman</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Leader, Smart Grid Team – Standards &amp; Electrical Metrology Groups, National Institute of Standards &amp;Technology (NIST)</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r w:rsidR="006E6600" w:rsidTr="00A27495">
        <w:tc>
          <w:tcPr>
            <w:tcW w:w="1962" w:type="dxa"/>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Maria Seidler</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Manager – Policy and Grant (Alternative Energy Solutions), Dominion Voltage Inc.</w:t>
            </w:r>
          </w:p>
        </w:tc>
        <w:tc>
          <w:tcPr>
            <w:tcW w:w="1440" w:type="dxa"/>
          </w:tcPr>
          <w:p w:rsidR="006E6600" w:rsidRPr="00A27495" w:rsidRDefault="009767C6" w:rsidP="006E6600">
            <w:pPr>
              <w:pStyle w:val="Style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pPr>
            <w:r>
              <w:t>Phone</w:t>
            </w:r>
          </w:p>
        </w:tc>
        <w:tc>
          <w:tcPr>
            <w:tcW w:w="1260" w:type="dxa"/>
            <w:hideMark/>
          </w:tcPr>
          <w:p w:rsidR="006E6600" w:rsidRPr="00A27495" w:rsidRDefault="006E6600">
            <w:pPr>
              <w:pStyle w:val="Style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pPr>
            <w:r w:rsidRPr="00A27495">
              <w:t>Support</w:t>
            </w:r>
          </w:p>
        </w:tc>
      </w:tr>
      <w:tr w:rsidR="006E6600" w:rsidTr="00A27495">
        <w:tc>
          <w:tcPr>
            <w:tcW w:w="1962" w:type="dxa"/>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 xml:space="preserve">E. Russell </w:t>
            </w:r>
            <w:proofErr w:type="spellStart"/>
            <w:r w:rsidRPr="00A27495">
              <w:rPr>
                <w:sz w:val="20"/>
              </w:rPr>
              <w:t>Braziel</w:t>
            </w:r>
            <w:proofErr w:type="spellEnd"/>
          </w:p>
        </w:tc>
        <w:tc>
          <w:tcPr>
            <w:tcW w:w="8298" w:type="dxa"/>
            <w:gridSpan w:val="2"/>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sidRPr="00A27495">
              <w:rPr>
                <w:sz w:val="20"/>
              </w:rPr>
              <w:t>President, RBN Energy, LLC</w:t>
            </w:r>
          </w:p>
        </w:tc>
        <w:tc>
          <w:tcPr>
            <w:tcW w:w="1440" w:type="dxa"/>
          </w:tcPr>
          <w:p w:rsidR="006E6600" w:rsidRPr="00A27495" w:rsidRDefault="006E6600" w:rsidP="006E6600">
            <w:pPr>
              <w:pStyle w:val="Style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pPr>
          </w:p>
        </w:tc>
        <w:tc>
          <w:tcPr>
            <w:tcW w:w="1260" w:type="dxa"/>
          </w:tcPr>
          <w:p w:rsidR="006E6600" w:rsidRPr="00A27495" w:rsidRDefault="006E6600">
            <w:pPr>
              <w:pStyle w:val="Style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pPr>
          </w:p>
        </w:tc>
      </w:tr>
      <w:tr w:rsidR="006E6600" w:rsidTr="00A27495">
        <w:tc>
          <w:tcPr>
            <w:tcW w:w="1962" w:type="dxa"/>
            <w:hideMark/>
          </w:tcPr>
          <w:p w:rsidR="006E6600" w:rsidRPr="00A27495" w:rsidRDefault="006E6600">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Naim Jonathan Peress</w:t>
            </w:r>
          </w:p>
        </w:tc>
        <w:tc>
          <w:tcPr>
            <w:tcW w:w="8298" w:type="dxa"/>
            <w:gridSpan w:val="2"/>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27495">
              <w:rPr>
                <w:sz w:val="20"/>
              </w:rPr>
              <w:t xml:space="preserve">Air Policy Director – Natural Gas, Environmental Defense Fund, Inc. </w:t>
            </w:r>
          </w:p>
        </w:tc>
        <w:tc>
          <w:tcPr>
            <w:tcW w:w="1440" w:type="dxa"/>
          </w:tcPr>
          <w:p w:rsidR="006E6600" w:rsidRPr="00A27495" w:rsidRDefault="009767C6" w:rsidP="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c>
          <w:tcPr>
            <w:tcW w:w="1260" w:type="dxa"/>
            <w:hideMark/>
          </w:tcPr>
          <w:p w:rsidR="006E6600" w:rsidRPr="00A27495" w:rsidRDefault="006E660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A27495">
              <w:rPr>
                <w:sz w:val="20"/>
              </w:rPr>
              <w:t>Support</w:t>
            </w:r>
          </w:p>
        </w:tc>
      </w:tr>
    </w:tbl>
    <w:p w:rsidR="0002158D" w:rsidRDefault="0002158D" w:rsidP="00A27495">
      <w:pPr>
        <w:pStyle w:val="TableText"/>
        <w:spacing w:before="60"/>
        <w:jc w:val="both"/>
        <w:rPr>
          <w:rFonts w:ascii="Times New Roman" w:hAnsi="Times New Roman"/>
          <w:sz w:val="20"/>
        </w:rPr>
        <w:sectPr w:rsidR="0002158D" w:rsidSect="001141BE">
          <w:pgSz w:w="15840" w:h="12240" w:orient="landscape"/>
          <w:pgMar w:top="1440" w:right="1440" w:bottom="1440" w:left="1440" w:header="720" w:footer="720" w:gutter="0"/>
          <w:cols w:space="720"/>
          <w:docGrid w:linePitch="360"/>
        </w:sectPr>
      </w:pPr>
    </w:p>
    <w:tbl>
      <w:tblPr>
        <w:tblW w:w="9720" w:type="dxa"/>
        <w:tblInd w:w="-72" w:type="dxa"/>
        <w:tblBorders>
          <w:bottom w:val="single" w:sz="4" w:space="0" w:color="auto"/>
        </w:tblBorders>
        <w:tblLayout w:type="fixed"/>
        <w:tblLook w:val="01E0" w:firstRow="1" w:lastRow="1" w:firstColumn="1" w:lastColumn="1" w:noHBand="0" w:noVBand="0"/>
      </w:tblPr>
      <w:tblGrid>
        <w:gridCol w:w="2700"/>
        <w:gridCol w:w="5220"/>
        <w:gridCol w:w="1800"/>
      </w:tblGrid>
      <w:tr w:rsidR="00066516">
        <w:trPr>
          <w:trHeight w:val="329"/>
          <w:tblHeader/>
        </w:trPr>
        <w:tc>
          <w:tcPr>
            <w:tcW w:w="9720" w:type="dxa"/>
            <w:gridSpan w:val="3"/>
            <w:tcBorders>
              <w:top w:val="nil"/>
              <w:left w:val="nil"/>
              <w:bottom w:val="single" w:sz="4" w:space="0" w:color="auto"/>
            </w:tcBorders>
            <w:vAlign w:val="bottom"/>
          </w:tcPr>
          <w:p w:rsidR="00066516" w:rsidRDefault="00A27495">
            <w:pPr>
              <w:spacing w:after="60"/>
              <w:jc w:val="both"/>
              <w:rPr>
                <w:b/>
              </w:rPr>
            </w:pPr>
            <w:r>
              <w:rPr>
                <w:b/>
              </w:rPr>
              <w:lastRenderedPageBreak/>
              <w:t>11</w:t>
            </w:r>
            <w:r w:rsidR="001502E7">
              <w:rPr>
                <w:b/>
              </w:rPr>
              <w:t>.       Other Attendance</w:t>
            </w:r>
          </w:p>
        </w:tc>
      </w:tr>
      <w:tr w:rsidR="00066516">
        <w:trPr>
          <w:trHeight w:val="329"/>
          <w:tblHeader/>
        </w:trPr>
        <w:tc>
          <w:tcPr>
            <w:tcW w:w="2700" w:type="dxa"/>
            <w:tcBorders>
              <w:top w:val="single" w:sz="4" w:space="0" w:color="auto"/>
              <w:bottom w:val="single" w:sz="4" w:space="0" w:color="auto"/>
            </w:tcBorders>
            <w:vAlign w:val="bottom"/>
          </w:tcPr>
          <w:p w:rsidR="00066516" w:rsidRDefault="001502E7">
            <w:pPr>
              <w:spacing w:before="60" w:after="60"/>
              <w:jc w:val="both"/>
            </w:pPr>
            <w:r>
              <w:t>Name</w:t>
            </w:r>
          </w:p>
        </w:tc>
        <w:tc>
          <w:tcPr>
            <w:tcW w:w="5220" w:type="dxa"/>
            <w:tcBorders>
              <w:top w:val="single" w:sz="4" w:space="0" w:color="auto"/>
              <w:bottom w:val="single" w:sz="4" w:space="0" w:color="auto"/>
            </w:tcBorders>
            <w:vAlign w:val="bottom"/>
          </w:tcPr>
          <w:p w:rsidR="00066516" w:rsidRDefault="001502E7">
            <w:pPr>
              <w:spacing w:before="60" w:after="60"/>
              <w:jc w:val="both"/>
            </w:pPr>
            <w:r>
              <w:t>Organization</w:t>
            </w:r>
          </w:p>
        </w:tc>
        <w:tc>
          <w:tcPr>
            <w:tcW w:w="1800" w:type="dxa"/>
            <w:tcBorders>
              <w:top w:val="single" w:sz="4" w:space="0" w:color="auto"/>
              <w:bottom w:val="single" w:sz="4" w:space="0" w:color="auto"/>
            </w:tcBorders>
            <w:vAlign w:val="bottom"/>
          </w:tcPr>
          <w:p w:rsidR="00066516" w:rsidRDefault="001502E7">
            <w:pPr>
              <w:spacing w:before="60" w:after="60"/>
              <w:jc w:val="both"/>
            </w:pPr>
            <w:r>
              <w:t>Attendance</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Jonathan Booe</w:t>
            </w:r>
          </w:p>
        </w:tc>
        <w:tc>
          <w:tcPr>
            <w:tcW w:w="5220" w:type="dxa"/>
            <w:vAlign w:val="bottom"/>
          </w:tcPr>
          <w:p w:rsidR="00236A24" w:rsidRPr="00236A24" w:rsidRDefault="00236A24" w:rsidP="007E3D90">
            <w:pPr>
              <w:spacing w:before="60" w:after="60"/>
              <w:rPr>
                <w:color w:val="000000"/>
              </w:rPr>
            </w:pPr>
            <w:r w:rsidRPr="00236A24">
              <w:rPr>
                <w:color w:val="000000"/>
              </w:rPr>
              <w:t>NAESB Office</w:t>
            </w:r>
          </w:p>
        </w:tc>
        <w:tc>
          <w:tcPr>
            <w:tcW w:w="1800" w:type="dxa"/>
          </w:tcPr>
          <w:p w:rsidR="00236A24" w:rsidRPr="007E3D90" w:rsidRDefault="009767C6" w:rsidP="007E3D90">
            <w:pPr>
              <w:spacing w:before="60" w:after="60"/>
              <w:rPr>
                <w:color w:val="000000"/>
              </w:rPr>
            </w:pPr>
            <w:r>
              <w:rPr>
                <w:color w:val="000000"/>
              </w:rPr>
              <w:t>In Person</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Kathryn Burch</w:t>
            </w:r>
          </w:p>
        </w:tc>
        <w:tc>
          <w:tcPr>
            <w:tcW w:w="5220" w:type="dxa"/>
            <w:vAlign w:val="bottom"/>
          </w:tcPr>
          <w:p w:rsidR="00236A24" w:rsidRPr="00236A24" w:rsidRDefault="00236A24" w:rsidP="007E3D90">
            <w:pPr>
              <w:spacing w:before="60" w:after="60"/>
              <w:rPr>
                <w:color w:val="000000"/>
              </w:rPr>
            </w:pPr>
            <w:r w:rsidRPr="00236A24">
              <w:rPr>
                <w:color w:val="000000"/>
              </w:rPr>
              <w:t>Spectra Energy</w:t>
            </w:r>
          </w:p>
        </w:tc>
        <w:tc>
          <w:tcPr>
            <w:tcW w:w="1800" w:type="dxa"/>
          </w:tcPr>
          <w:p w:rsidR="00236A24" w:rsidRPr="007E3D90" w:rsidRDefault="009767C6" w:rsidP="007E3D90">
            <w:pPr>
              <w:spacing w:before="60" w:after="60"/>
              <w:rPr>
                <w:color w:val="000000"/>
              </w:rPr>
            </w:pPr>
            <w:r>
              <w:rPr>
                <w:color w:val="000000"/>
              </w:rPr>
              <w:t>In Person</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Joe Casey</w:t>
            </w:r>
          </w:p>
        </w:tc>
        <w:tc>
          <w:tcPr>
            <w:tcW w:w="5220" w:type="dxa"/>
            <w:vAlign w:val="bottom"/>
          </w:tcPr>
          <w:p w:rsidR="00236A24" w:rsidRPr="00236A24" w:rsidRDefault="00236A24" w:rsidP="007E3D90">
            <w:pPr>
              <w:spacing w:before="60" w:after="60"/>
              <w:rPr>
                <w:color w:val="000000"/>
              </w:rPr>
            </w:pPr>
            <w:r w:rsidRPr="00236A24">
              <w:rPr>
                <w:color w:val="000000"/>
              </w:rPr>
              <w:t>Spectra Energy</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7E3D90" w:rsidTr="00236A24">
        <w:trPr>
          <w:trHeight w:val="329"/>
        </w:trPr>
        <w:tc>
          <w:tcPr>
            <w:tcW w:w="2700" w:type="dxa"/>
            <w:vAlign w:val="center"/>
          </w:tcPr>
          <w:p w:rsidR="007E3D90" w:rsidRPr="00236A24" w:rsidRDefault="007E3D90" w:rsidP="007E3D90">
            <w:pPr>
              <w:spacing w:before="60" w:after="60"/>
              <w:rPr>
                <w:color w:val="000000"/>
              </w:rPr>
            </w:pPr>
            <w:r>
              <w:rPr>
                <w:color w:val="000000"/>
              </w:rPr>
              <w:t>Pete Connor</w:t>
            </w:r>
          </w:p>
        </w:tc>
        <w:tc>
          <w:tcPr>
            <w:tcW w:w="5220" w:type="dxa"/>
            <w:vAlign w:val="bottom"/>
          </w:tcPr>
          <w:p w:rsidR="007E3D90" w:rsidRPr="00236A24" w:rsidRDefault="007E3D90" w:rsidP="007E3D90">
            <w:pPr>
              <w:spacing w:before="60" w:after="60"/>
              <w:rPr>
                <w:color w:val="000000"/>
              </w:rPr>
            </w:pPr>
            <w:r>
              <w:rPr>
                <w:color w:val="000000"/>
              </w:rPr>
              <w:t>Representing AGA</w:t>
            </w:r>
          </w:p>
        </w:tc>
        <w:tc>
          <w:tcPr>
            <w:tcW w:w="1800" w:type="dxa"/>
            <w:vAlign w:val="bottom"/>
          </w:tcPr>
          <w:p w:rsidR="007E3D90" w:rsidRPr="007E3D90" w:rsidRDefault="009767C6" w:rsidP="007E3D90">
            <w:pPr>
              <w:spacing w:before="60" w:after="60"/>
              <w:jc w:val="both"/>
              <w:rPr>
                <w:color w:val="000000"/>
              </w:rPr>
            </w:pPr>
            <w:r>
              <w:rPr>
                <w:color w:val="000000"/>
              </w:rPr>
              <w:t>Phone</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Rae Davis</w:t>
            </w:r>
          </w:p>
        </w:tc>
        <w:tc>
          <w:tcPr>
            <w:tcW w:w="5220" w:type="dxa"/>
            <w:vAlign w:val="bottom"/>
          </w:tcPr>
          <w:p w:rsidR="00236A24" w:rsidRPr="00236A24" w:rsidRDefault="00236A24" w:rsidP="007E3D90">
            <w:pPr>
              <w:spacing w:before="60" w:after="60"/>
              <w:rPr>
                <w:color w:val="000000"/>
              </w:rPr>
            </w:pPr>
            <w:r w:rsidRPr="00236A24">
              <w:rPr>
                <w:color w:val="000000"/>
              </w:rPr>
              <w:t>Carolina Gas Transmission</w:t>
            </w:r>
          </w:p>
        </w:tc>
        <w:tc>
          <w:tcPr>
            <w:tcW w:w="1800" w:type="dxa"/>
            <w:vAlign w:val="bottom"/>
          </w:tcPr>
          <w:p w:rsidR="00236A24" w:rsidRPr="007E3D90" w:rsidRDefault="009767C6" w:rsidP="007E3D90">
            <w:pPr>
              <w:spacing w:before="60" w:after="60"/>
              <w:jc w:val="both"/>
              <w:rPr>
                <w:color w:val="000000"/>
              </w:rPr>
            </w:pPr>
            <w:r>
              <w:rPr>
                <w:color w:val="000000"/>
              </w:rPr>
              <w:t>Phone</w:t>
            </w:r>
          </w:p>
        </w:tc>
      </w:tr>
      <w:tr w:rsidR="008B4F3B" w:rsidTr="00236A24">
        <w:trPr>
          <w:trHeight w:val="329"/>
        </w:trPr>
        <w:tc>
          <w:tcPr>
            <w:tcW w:w="2700" w:type="dxa"/>
            <w:vAlign w:val="center"/>
          </w:tcPr>
          <w:p w:rsidR="008B4F3B" w:rsidRPr="00236A24" w:rsidRDefault="008B4F3B" w:rsidP="00B12E8E">
            <w:pPr>
              <w:spacing w:before="60" w:after="60"/>
              <w:rPr>
                <w:color w:val="000000"/>
              </w:rPr>
            </w:pPr>
            <w:r>
              <w:rPr>
                <w:color w:val="000000"/>
              </w:rPr>
              <w:t>Bob Harshbarger</w:t>
            </w:r>
          </w:p>
        </w:tc>
        <w:tc>
          <w:tcPr>
            <w:tcW w:w="5220" w:type="dxa"/>
            <w:vAlign w:val="bottom"/>
          </w:tcPr>
          <w:p w:rsidR="008B4F3B" w:rsidRPr="00236A24" w:rsidRDefault="008B4F3B" w:rsidP="007E3D90">
            <w:pPr>
              <w:spacing w:before="60" w:after="60"/>
              <w:rPr>
                <w:color w:val="000000"/>
              </w:rPr>
            </w:pPr>
            <w:r>
              <w:rPr>
                <w:color w:val="000000"/>
              </w:rPr>
              <w:t>Puget Sound Energy</w:t>
            </w:r>
          </w:p>
        </w:tc>
        <w:tc>
          <w:tcPr>
            <w:tcW w:w="1800" w:type="dxa"/>
            <w:vAlign w:val="bottom"/>
          </w:tcPr>
          <w:p w:rsidR="008B4F3B" w:rsidRPr="007E3D90" w:rsidRDefault="008B4F3B" w:rsidP="007E3D90">
            <w:pPr>
              <w:spacing w:before="60" w:after="60"/>
              <w:jc w:val="both"/>
              <w:rPr>
                <w:color w:val="000000"/>
              </w:rPr>
            </w:pPr>
            <w:r>
              <w:rPr>
                <w:color w:val="000000"/>
              </w:rPr>
              <w:t>Phone</w:t>
            </w:r>
          </w:p>
        </w:tc>
      </w:tr>
      <w:tr w:rsidR="008B4F3B" w:rsidTr="00236A24">
        <w:trPr>
          <w:trHeight w:val="329"/>
        </w:trPr>
        <w:tc>
          <w:tcPr>
            <w:tcW w:w="2700" w:type="dxa"/>
            <w:vAlign w:val="center"/>
          </w:tcPr>
          <w:p w:rsidR="008B4F3B" w:rsidRDefault="008B4F3B" w:rsidP="00B12E8E">
            <w:pPr>
              <w:spacing w:before="60" w:after="60"/>
              <w:rPr>
                <w:color w:val="000000"/>
              </w:rPr>
            </w:pPr>
            <w:r>
              <w:rPr>
                <w:color w:val="000000"/>
              </w:rPr>
              <w:t>Sherry Hill</w:t>
            </w:r>
          </w:p>
        </w:tc>
        <w:tc>
          <w:tcPr>
            <w:tcW w:w="5220" w:type="dxa"/>
            <w:vAlign w:val="bottom"/>
          </w:tcPr>
          <w:p w:rsidR="008B4F3B" w:rsidRDefault="008B4F3B" w:rsidP="007E3D90">
            <w:pPr>
              <w:spacing w:before="60" w:after="60"/>
              <w:rPr>
                <w:color w:val="000000"/>
              </w:rPr>
            </w:pPr>
            <w:r>
              <w:rPr>
                <w:color w:val="000000"/>
              </w:rPr>
              <w:t>TransCanada</w:t>
            </w:r>
          </w:p>
        </w:tc>
        <w:tc>
          <w:tcPr>
            <w:tcW w:w="1800" w:type="dxa"/>
            <w:vAlign w:val="bottom"/>
          </w:tcPr>
          <w:p w:rsidR="008B4F3B" w:rsidRDefault="008B4F3B" w:rsidP="007E3D90">
            <w:pPr>
              <w:spacing w:before="60" w:after="60"/>
              <w:jc w:val="both"/>
              <w:rPr>
                <w:color w:val="000000"/>
              </w:rPr>
            </w:pPr>
            <w:r>
              <w:rPr>
                <w:color w:val="000000"/>
              </w:rPr>
              <w:t>Phone</w:t>
            </w:r>
          </w:p>
        </w:tc>
      </w:tr>
      <w:tr w:rsidR="008B4F3B" w:rsidTr="00236A24">
        <w:trPr>
          <w:trHeight w:val="329"/>
        </w:trPr>
        <w:tc>
          <w:tcPr>
            <w:tcW w:w="2700" w:type="dxa"/>
            <w:vAlign w:val="center"/>
          </w:tcPr>
          <w:p w:rsidR="008B4F3B" w:rsidRPr="00236A24" w:rsidRDefault="008B4F3B" w:rsidP="007E3D90">
            <w:pPr>
              <w:spacing w:before="60" w:after="60"/>
              <w:rPr>
                <w:color w:val="000000"/>
              </w:rPr>
            </w:pPr>
            <w:r>
              <w:rPr>
                <w:color w:val="000000"/>
              </w:rPr>
              <w:t>Rachel Hogge</w:t>
            </w:r>
          </w:p>
        </w:tc>
        <w:tc>
          <w:tcPr>
            <w:tcW w:w="5220" w:type="dxa"/>
            <w:vAlign w:val="bottom"/>
          </w:tcPr>
          <w:p w:rsidR="008B4F3B" w:rsidRPr="00236A24" w:rsidRDefault="008B4F3B" w:rsidP="007E3D90">
            <w:pPr>
              <w:spacing w:before="60" w:after="60"/>
              <w:rPr>
                <w:color w:val="000000"/>
              </w:rPr>
            </w:pPr>
            <w:r>
              <w:rPr>
                <w:color w:val="000000"/>
              </w:rPr>
              <w:t>Dominion</w:t>
            </w:r>
          </w:p>
        </w:tc>
        <w:tc>
          <w:tcPr>
            <w:tcW w:w="1800" w:type="dxa"/>
            <w:vAlign w:val="bottom"/>
          </w:tcPr>
          <w:p w:rsidR="008B4F3B" w:rsidRPr="007E3D90" w:rsidRDefault="008B4F3B"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Pr="00236A24" w:rsidRDefault="008B4F3B" w:rsidP="007E3D90">
            <w:pPr>
              <w:spacing w:before="60" w:after="60"/>
              <w:rPr>
                <w:color w:val="000000"/>
              </w:rPr>
            </w:pPr>
            <w:r>
              <w:rPr>
                <w:color w:val="000000"/>
              </w:rPr>
              <w:t>Alan Johnson</w:t>
            </w:r>
          </w:p>
        </w:tc>
        <w:tc>
          <w:tcPr>
            <w:tcW w:w="5220" w:type="dxa"/>
            <w:vAlign w:val="bottom"/>
          </w:tcPr>
          <w:p w:rsidR="008B4F3B" w:rsidRPr="00236A24" w:rsidRDefault="008B4F3B" w:rsidP="007E3D90">
            <w:pPr>
              <w:spacing w:before="60" w:after="60"/>
              <w:rPr>
                <w:color w:val="000000"/>
              </w:rPr>
            </w:pPr>
            <w:r>
              <w:rPr>
                <w:color w:val="000000"/>
              </w:rPr>
              <w:t>NRG</w:t>
            </w:r>
          </w:p>
        </w:tc>
        <w:tc>
          <w:tcPr>
            <w:tcW w:w="1800" w:type="dxa"/>
            <w:vAlign w:val="bottom"/>
          </w:tcPr>
          <w:p w:rsidR="008B4F3B" w:rsidRPr="007E3D90" w:rsidRDefault="008B4F3B" w:rsidP="007E3D90">
            <w:pPr>
              <w:spacing w:before="60" w:after="60"/>
              <w:jc w:val="both"/>
              <w:rPr>
                <w:color w:val="000000"/>
              </w:rPr>
            </w:pPr>
            <w:r>
              <w:rPr>
                <w:color w:val="000000"/>
              </w:rPr>
              <w:t>In Person</w:t>
            </w:r>
          </w:p>
        </w:tc>
      </w:tr>
      <w:tr w:rsidR="00726577" w:rsidTr="00236A24">
        <w:trPr>
          <w:trHeight w:val="329"/>
        </w:trPr>
        <w:tc>
          <w:tcPr>
            <w:tcW w:w="2700" w:type="dxa"/>
            <w:vAlign w:val="center"/>
          </w:tcPr>
          <w:p w:rsidR="00726577" w:rsidRPr="00236A24" w:rsidRDefault="00726577" w:rsidP="007E3D90">
            <w:pPr>
              <w:spacing w:before="60" w:after="60"/>
              <w:rPr>
                <w:color w:val="000000"/>
              </w:rPr>
            </w:pPr>
            <w:r>
              <w:rPr>
                <w:color w:val="000000"/>
              </w:rPr>
              <w:t>Elizabeth Mallett</w:t>
            </w:r>
          </w:p>
        </w:tc>
        <w:tc>
          <w:tcPr>
            <w:tcW w:w="5220" w:type="dxa"/>
            <w:vAlign w:val="bottom"/>
          </w:tcPr>
          <w:p w:rsidR="00726577" w:rsidRPr="00236A24" w:rsidRDefault="00726577" w:rsidP="007E3D90">
            <w:pPr>
              <w:spacing w:before="60" w:after="60"/>
              <w:rPr>
                <w:color w:val="000000"/>
              </w:rPr>
            </w:pPr>
            <w:r>
              <w:rPr>
                <w:color w:val="000000"/>
              </w:rPr>
              <w:t>NAESB Office</w:t>
            </w:r>
          </w:p>
        </w:tc>
        <w:tc>
          <w:tcPr>
            <w:tcW w:w="1800" w:type="dxa"/>
            <w:vAlign w:val="bottom"/>
          </w:tcPr>
          <w:p w:rsidR="00726577" w:rsidRPr="007E3D90" w:rsidRDefault="009767C6"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Default="008B4F3B" w:rsidP="007E3D90">
            <w:pPr>
              <w:spacing w:before="60" w:after="60"/>
              <w:rPr>
                <w:color w:val="000000"/>
              </w:rPr>
            </w:pPr>
            <w:r>
              <w:rPr>
                <w:color w:val="000000"/>
              </w:rPr>
              <w:t>James Manning</w:t>
            </w:r>
          </w:p>
        </w:tc>
        <w:tc>
          <w:tcPr>
            <w:tcW w:w="5220" w:type="dxa"/>
            <w:vAlign w:val="bottom"/>
          </w:tcPr>
          <w:p w:rsidR="008B4F3B" w:rsidRDefault="008B4F3B" w:rsidP="007E3D90">
            <w:pPr>
              <w:spacing w:before="60" w:after="60"/>
              <w:rPr>
                <w:color w:val="000000"/>
              </w:rPr>
            </w:pPr>
            <w:r>
              <w:rPr>
                <w:color w:val="000000"/>
              </w:rPr>
              <w:t>NCEMC</w:t>
            </w:r>
          </w:p>
        </w:tc>
        <w:tc>
          <w:tcPr>
            <w:tcW w:w="1800" w:type="dxa"/>
            <w:vAlign w:val="bottom"/>
          </w:tcPr>
          <w:p w:rsidR="008B4F3B" w:rsidRDefault="008B4F3B" w:rsidP="007E3D90">
            <w:pPr>
              <w:spacing w:before="60" w:after="60"/>
              <w:jc w:val="both"/>
              <w:rPr>
                <w:color w:val="000000"/>
              </w:rPr>
            </w:pPr>
            <w:r>
              <w:rPr>
                <w:color w:val="000000"/>
              </w:rPr>
              <w:t>Phone</w:t>
            </w:r>
          </w:p>
        </w:tc>
      </w:tr>
      <w:tr w:rsidR="007E3D90" w:rsidTr="00236A24">
        <w:trPr>
          <w:trHeight w:val="329"/>
        </w:trPr>
        <w:tc>
          <w:tcPr>
            <w:tcW w:w="2700" w:type="dxa"/>
            <w:vAlign w:val="center"/>
          </w:tcPr>
          <w:p w:rsidR="007E3D90" w:rsidRPr="00236A24" w:rsidRDefault="007E3D90" w:rsidP="007E3D90">
            <w:pPr>
              <w:spacing w:before="60" w:after="60"/>
              <w:rPr>
                <w:color w:val="000000"/>
              </w:rPr>
            </w:pPr>
            <w:r>
              <w:rPr>
                <w:color w:val="000000"/>
              </w:rPr>
              <w:t>Steve McCord</w:t>
            </w:r>
          </w:p>
        </w:tc>
        <w:tc>
          <w:tcPr>
            <w:tcW w:w="5220" w:type="dxa"/>
            <w:vAlign w:val="bottom"/>
          </w:tcPr>
          <w:p w:rsidR="007E3D90" w:rsidRPr="00236A24" w:rsidRDefault="007E3D90" w:rsidP="007E3D90">
            <w:pPr>
              <w:spacing w:before="60" w:after="60"/>
              <w:rPr>
                <w:color w:val="000000"/>
              </w:rPr>
            </w:pPr>
            <w:r w:rsidRPr="007E3D90">
              <w:rPr>
                <w:color w:val="000000"/>
              </w:rPr>
              <w:t>Columbia Gas Transmission Corporation</w:t>
            </w:r>
          </w:p>
        </w:tc>
        <w:tc>
          <w:tcPr>
            <w:tcW w:w="1800" w:type="dxa"/>
            <w:vAlign w:val="bottom"/>
          </w:tcPr>
          <w:p w:rsidR="007E3D90" w:rsidRPr="007E3D90" w:rsidRDefault="009767C6" w:rsidP="007E3D90">
            <w:pPr>
              <w:spacing w:before="60" w:after="60"/>
              <w:jc w:val="both"/>
              <w:rPr>
                <w:color w:val="000000"/>
              </w:rPr>
            </w:pPr>
            <w:r>
              <w:rPr>
                <w:color w:val="000000"/>
              </w:rPr>
              <w:t>In Person</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Rae McQuade</w:t>
            </w:r>
          </w:p>
        </w:tc>
        <w:tc>
          <w:tcPr>
            <w:tcW w:w="5220" w:type="dxa"/>
            <w:vAlign w:val="bottom"/>
          </w:tcPr>
          <w:p w:rsidR="00236A24" w:rsidRPr="00236A24" w:rsidRDefault="00236A24" w:rsidP="007E3D90">
            <w:pPr>
              <w:spacing w:before="60" w:after="60"/>
              <w:rPr>
                <w:color w:val="000000"/>
              </w:rPr>
            </w:pPr>
            <w:r w:rsidRPr="00236A24">
              <w:rPr>
                <w:color w:val="000000"/>
              </w:rPr>
              <w:t>NAESB Office</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Pr="00236A24" w:rsidRDefault="008B4F3B" w:rsidP="007E3D90">
            <w:pPr>
              <w:spacing w:before="60" w:after="60"/>
              <w:rPr>
                <w:color w:val="000000"/>
              </w:rPr>
            </w:pPr>
            <w:proofErr w:type="spellStart"/>
            <w:r>
              <w:rPr>
                <w:color w:val="000000"/>
              </w:rPr>
              <w:t>Shailesh</w:t>
            </w:r>
            <w:proofErr w:type="spellEnd"/>
            <w:r>
              <w:rPr>
                <w:color w:val="000000"/>
              </w:rPr>
              <w:t xml:space="preserve"> Mishra</w:t>
            </w:r>
          </w:p>
        </w:tc>
        <w:tc>
          <w:tcPr>
            <w:tcW w:w="5220" w:type="dxa"/>
            <w:vAlign w:val="bottom"/>
          </w:tcPr>
          <w:p w:rsidR="008B4F3B" w:rsidRPr="00236A24" w:rsidRDefault="008B4F3B" w:rsidP="007E3D90">
            <w:pPr>
              <w:spacing w:before="60" w:after="60"/>
              <w:rPr>
                <w:color w:val="000000"/>
              </w:rPr>
            </w:pPr>
            <w:r>
              <w:rPr>
                <w:color w:val="000000"/>
              </w:rPr>
              <w:t>Power Costs</w:t>
            </w:r>
          </w:p>
        </w:tc>
        <w:tc>
          <w:tcPr>
            <w:tcW w:w="1800" w:type="dxa"/>
            <w:vAlign w:val="bottom"/>
          </w:tcPr>
          <w:p w:rsidR="008B4F3B" w:rsidRDefault="008B4F3B"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Pr="00236A24" w:rsidRDefault="008B4F3B" w:rsidP="007E3D90">
            <w:pPr>
              <w:spacing w:before="60" w:after="60"/>
              <w:rPr>
                <w:color w:val="000000"/>
              </w:rPr>
            </w:pPr>
            <w:r>
              <w:rPr>
                <w:color w:val="000000"/>
              </w:rPr>
              <w:t xml:space="preserve">Joe </w:t>
            </w:r>
            <w:proofErr w:type="spellStart"/>
            <w:r>
              <w:rPr>
                <w:color w:val="000000"/>
              </w:rPr>
              <w:t>Nilsestuen</w:t>
            </w:r>
            <w:proofErr w:type="spellEnd"/>
          </w:p>
        </w:tc>
        <w:tc>
          <w:tcPr>
            <w:tcW w:w="5220" w:type="dxa"/>
            <w:vAlign w:val="bottom"/>
          </w:tcPr>
          <w:p w:rsidR="008B4F3B" w:rsidRPr="00236A24" w:rsidRDefault="008B4F3B" w:rsidP="007E3D90">
            <w:pPr>
              <w:spacing w:before="60" w:after="60"/>
              <w:rPr>
                <w:color w:val="000000"/>
              </w:rPr>
            </w:pPr>
            <w:r>
              <w:rPr>
                <w:color w:val="000000"/>
              </w:rPr>
              <w:t>Accenture</w:t>
            </w:r>
          </w:p>
        </w:tc>
        <w:tc>
          <w:tcPr>
            <w:tcW w:w="1800" w:type="dxa"/>
            <w:vAlign w:val="bottom"/>
          </w:tcPr>
          <w:p w:rsidR="008B4F3B" w:rsidRDefault="008B4F3B" w:rsidP="007E3D90">
            <w:pPr>
              <w:spacing w:before="60" w:after="60"/>
              <w:jc w:val="both"/>
              <w:rPr>
                <w:color w:val="000000"/>
              </w:rPr>
            </w:pPr>
            <w:r>
              <w:rPr>
                <w:color w:val="000000"/>
              </w:rPr>
              <w:t>In Person</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Phil Precht</w:t>
            </w:r>
          </w:p>
        </w:tc>
        <w:tc>
          <w:tcPr>
            <w:tcW w:w="5220" w:type="dxa"/>
            <w:vAlign w:val="bottom"/>
          </w:tcPr>
          <w:p w:rsidR="00236A24" w:rsidRPr="00236A24" w:rsidRDefault="00236A24" w:rsidP="007E3D90">
            <w:pPr>
              <w:spacing w:before="60" w:after="60"/>
              <w:rPr>
                <w:color w:val="000000"/>
              </w:rPr>
            </w:pPr>
            <w:r w:rsidRPr="00236A24">
              <w:rPr>
                <w:color w:val="000000"/>
              </w:rPr>
              <w:t>BGE</w:t>
            </w:r>
          </w:p>
        </w:tc>
        <w:tc>
          <w:tcPr>
            <w:tcW w:w="1800" w:type="dxa"/>
          </w:tcPr>
          <w:p w:rsidR="00236A24" w:rsidRPr="007E3D90" w:rsidRDefault="009767C6" w:rsidP="007E3D9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color w:val="000000"/>
                <w:sz w:val="20"/>
              </w:rPr>
            </w:pPr>
            <w:r>
              <w:rPr>
                <w:color w:val="000000"/>
                <w:sz w:val="20"/>
              </w:rPr>
              <w:t>Phone</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Denise Rager</w:t>
            </w:r>
          </w:p>
        </w:tc>
        <w:tc>
          <w:tcPr>
            <w:tcW w:w="5220" w:type="dxa"/>
            <w:vAlign w:val="bottom"/>
          </w:tcPr>
          <w:p w:rsidR="00236A24" w:rsidRPr="00236A24" w:rsidRDefault="00236A24" w:rsidP="007E3D90">
            <w:pPr>
              <w:spacing w:before="60" w:after="60"/>
              <w:rPr>
                <w:color w:val="000000"/>
              </w:rPr>
            </w:pPr>
            <w:r w:rsidRPr="00236A24">
              <w:rPr>
                <w:color w:val="000000"/>
              </w:rPr>
              <w:t>NAESB Office</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Pr="00236A24" w:rsidRDefault="008B4F3B" w:rsidP="007E3D90">
            <w:pPr>
              <w:spacing w:before="60" w:after="60"/>
              <w:rPr>
                <w:color w:val="000000"/>
              </w:rPr>
            </w:pPr>
            <w:r>
              <w:rPr>
                <w:color w:val="000000"/>
              </w:rPr>
              <w:t>Jeff Schmitt</w:t>
            </w:r>
          </w:p>
        </w:tc>
        <w:tc>
          <w:tcPr>
            <w:tcW w:w="5220" w:type="dxa"/>
            <w:vAlign w:val="bottom"/>
          </w:tcPr>
          <w:p w:rsidR="008B4F3B" w:rsidRPr="00236A24" w:rsidRDefault="008B4F3B" w:rsidP="007E3D90">
            <w:pPr>
              <w:spacing w:before="60" w:after="60"/>
              <w:rPr>
                <w:color w:val="000000"/>
              </w:rPr>
            </w:pPr>
            <w:r>
              <w:rPr>
                <w:color w:val="000000"/>
              </w:rPr>
              <w:t>PJM</w:t>
            </w:r>
          </w:p>
        </w:tc>
        <w:tc>
          <w:tcPr>
            <w:tcW w:w="1800" w:type="dxa"/>
            <w:vAlign w:val="bottom"/>
          </w:tcPr>
          <w:p w:rsidR="008B4F3B" w:rsidRDefault="008B4F3B" w:rsidP="007E3D90">
            <w:pPr>
              <w:spacing w:before="60" w:after="60"/>
              <w:jc w:val="both"/>
              <w:rPr>
                <w:color w:val="000000"/>
              </w:rPr>
            </w:pPr>
            <w:r>
              <w:rPr>
                <w:color w:val="000000"/>
              </w:rPr>
              <w:t>Phone</w:t>
            </w:r>
          </w:p>
        </w:tc>
      </w:tr>
      <w:tr w:rsidR="00726577" w:rsidTr="00236A24">
        <w:trPr>
          <w:trHeight w:val="329"/>
        </w:trPr>
        <w:tc>
          <w:tcPr>
            <w:tcW w:w="2700" w:type="dxa"/>
            <w:vAlign w:val="center"/>
          </w:tcPr>
          <w:p w:rsidR="00726577" w:rsidRPr="00236A24" w:rsidRDefault="00726577" w:rsidP="007E3D90">
            <w:pPr>
              <w:spacing w:before="60" w:after="60"/>
              <w:rPr>
                <w:color w:val="000000"/>
              </w:rPr>
            </w:pPr>
            <w:r>
              <w:rPr>
                <w:color w:val="000000"/>
              </w:rPr>
              <w:t>Micki Schmitz</w:t>
            </w:r>
          </w:p>
        </w:tc>
        <w:tc>
          <w:tcPr>
            <w:tcW w:w="5220" w:type="dxa"/>
            <w:vAlign w:val="bottom"/>
          </w:tcPr>
          <w:p w:rsidR="00726577" w:rsidRPr="00236A24" w:rsidRDefault="00726577" w:rsidP="007E3D90">
            <w:pPr>
              <w:spacing w:before="60" w:after="60"/>
              <w:rPr>
                <w:color w:val="000000"/>
              </w:rPr>
            </w:pPr>
            <w:r>
              <w:rPr>
                <w:color w:val="000000"/>
              </w:rPr>
              <w:t>Northern Natural Gas</w:t>
            </w:r>
          </w:p>
        </w:tc>
        <w:tc>
          <w:tcPr>
            <w:tcW w:w="1800" w:type="dxa"/>
            <w:vAlign w:val="bottom"/>
          </w:tcPr>
          <w:p w:rsidR="00726577" w:rsidRPr="007E3D90" w:rsidRDefault="009767C6" w:rsidP="007E3D90">
            <w:pPr>
              <w:spacing w:before="60" w:after="60"/>
              <w:jc w:val="both"/>
              <w:rPr>
                <w:color w:val="000000"/>
              </w:rPr>
            </w:pPr>
            <w:r>
              <w:rPr>
                <w:color w:val="000000"/>
              </w:rPr>
              <w:t>Phone</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Timothy Simon</w:t>
            </w:r>
          </w:p>
        </w:tc>
        <w:tc>
          <w:tcPr>
            <w:tcW w:w="5220" w:type="dxa"/>
            <w:vAlign w:val="bottom"/>
          </w:tcPr>
          <w:p w:rsidR="00236A24" w:rsidRPr="00236A24" w:rsidRDefault="00236A24" w:rsidP="007E3D90">
            <w:pPr>
              <w:spacing w:before="60" w:after="60"/>
              <w:rPr>
                <w:color w:val="000000"/>
              </w:rPr>
            </w:pPr>
            <w:r w:rsidRPr="00236A24">
              <w:rPr>
                <w:color w:val="000000"/>
              </w:rPr>
              <w:t>TAS Strategies</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8B4F3B" w:rsidTr="00236A24">
        <w:trPr>
          <w:trHeight w:val="329"/>
        </w:trPr>
        <w:tc>
          <w:tcPr>
            <w:tcW w:w="2700" w:type="dxa"/>
            <w:vAlign w:val="center"/>
          </w:tcPr>
          <w:p w:rsidR="008B4F3B" w:rsidRPr="00236A24" w:rsidRDefault="008B4F3B" w:rsidP="007E3D90">
            <w:pPr>
              <w:spacing w:before="60" w:after="60"/>
              <w:rPr>
                <w:color w:val="000000"/>
              </w:rPr>
            </w:pPr>
            <w:r>
              <w:rPr>
                <w:color w:val="000000"/>
              </w:rPr>
              <w:t>Lisa Simpkins</w:t>
            </w:r>
          </w:p>
        </w:tc>
        <w:tc>
          <w:tcPr>
            <w:tcW w:w="5220" w:type="dxa"/>
            <w:vAlign w:val="bottom"/>
          </w:tcPr>
          <w:p w:rsidR="008B4F3B" w:rsidRPr="00236A24" w:rsidRDefault="008B4F3B" w:rsidP="007E3D90">
            <w:pPr>
              <w:spacing w:before="60" w:after="60"/>
              <w:rPr>
                <w:color w:val="000000"/>
              </w:rPr>
            </w:pPr>
            <w:r>
              <w:rPr>
                <w:color w:val="000000"/>
              </w:rPr>
              <w:t>Exelon</w:t>
            </w:r>
          </w:p>
        </w:tc>
        <w:tc>
          <w:tcPr>
            <w:tcW w:w="1800" w:type="dxa"/>
            <w:vAlign w:val="bottom"/>
          </w:tcPr>
          <w:p w:rsidR="008B4F3B" w:rsidRDefault="008B4F3B" w:rsidP="007E3D90">
            <w:pPr>
              <w:spacing w:before="60" w:after="60"/>
              <w:jc w:val="both"/>
              <w:rPr>
                <w:color w:val="000000"/>
              </w:rPr>
            </w:pPr>
            <w:r>
              <w:rPr>
                <w:color w:val="000000"/>
              </w:rPr>
              <w:t>Phone</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Ed Skiba</w:t>
            </w:r>
          </w:p>
        </w:tc>
        <w:tc>
          <w:tcPr>
            <w:tcW w:w="5220" w:type="dxa"/>
            <w:vAlign w:val="bottom"/>
          </w:tcPr>
          <w:p w:rsidR="00236A24" w:rsidRPr="00236A24" w:rsidRDefault="00236A24" w:rsidP="007E3D90">
            <w:pPr>
              <w:spacing w:before="60" w:after="60"/>
              <w:rPr>
                <w:color w:val="000000"/>
              </w:rPr>
            </w:pPr>
            <w:r w:rsidRPr="00236A24">
              <w:rPr>
                <w:color w:val="000000"/>
              </w:rPr>
              <w:t>MISO</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236A24" w:rsidTr="00236A24">
        <w:trPr>
          <w:trHeight w:val="329"/>
        </w:trPr>
        <w:tc>
          <w:tcPr>
            <w:tcW w:w="2700" w:type="dxa"/>
            <w:vAlign w:val="center"/>
          </w:tcPr>
          <w:p w:rsidR="00236A24" w:rsidRPr="00236A24" w:rsidRDefault="00236A24" w:rsidP="007E3D90">
            <w:pPr>
              <w:spacing w:before="60" w:after="60"/>
              <w:rPr>
                <w:color w:val="000000"/>
              </w:rPr>
            </w:pPr>
            <w:r w:rsidRPr="00236A24">
              <w:rPr>
                <w:color w:val="000000"/>
              </w:rPr>
              <w:t>Veronica Thomason</w:t>
            </w:r>
          </w:p>
        </w:tc>
        <w:tc>
          <w:tcPr>
            <w:tcW w:w="5220" w:type="dxa"/>
            <w:vAlign w:val="bottom"/>
          </w:tcPr>
          <w:p w:rsidR="00236A24" w:rsidRPr="00236A24" w:rsidRDefault="00236A24" w:rsidP="007E3D90">
            <w:pPr>
              <w:spacing w:before="60" w:after="60"/>
              <w:rPr>
                <w:color w:val="000000"/>
              </w:rPr>
            </w:pPr>
            <w:r w:rsidRPr="00236A24">
              <w:rPr>
                <w:color w:val="000000"/>
              </w:rPr>
              <w:t>NAESB Office</w:t>
            </w:r>
          </w:p>
        </w:tc>
        <w:tc>
          <w:tcPr>
            <w:tcW w:w="1800" w:type="dxa"/>
            <w:vAlign w:val="bottom"/>
          </w:tcPr>
          <w:p w:rsidR="00236A24" w:rsidRPr="007E3D90" w:rsidRDefault="009767C6" w:rsidP="007E3D90">
            <w:pPr>
              <w:spacing w:before="60" w:after="60"/>
              <w:jc w:val="both"/>
              <w:rPr>
                <w:color w:val="000000"/>
              </w:rPr>
            </w:pPr>
            <w:r>
              <w:rPr>
                <w:color w:val="000000"/>
              </w:rPr>
              <w:t>In Person</w:t>
            </w:r>
          </w:p>
        </w:tc>
      </w:tr>
      <w:tr w:rsidR="00726577" w:rsidTr="00236A24">
        <w:trPr>
          <w:trHeight w:val="329"/>
        </w:trPr>
        <w:tc>
          <w:tcPr>
            <w:tcW w:w="2700" w:type="dxa"/>
            <w:vAlign w:val="center"/>
          </w:tcPr>
          <w:p w:rsidR="00726577" w:rsidRPr="00236A24" w:rsidRDefault="00726577" w:rsidP="007E3D90">
            <w:pPr>
              <w:spacing w:before="60" w:after="60"/>
              <w:rPr>
                <w:color w:val="000000"/>
              </w:rPr>
            </w:pPr>
            <w:r>
              <w:rPr>
                <w:color w:val="000000"/>
              </w:rPr>
              <w:t>Terry Thorn</w:t>
            </w:r>
          </w:p>
        </w:tc>
        <w:tc>
          <w:tcPr>
            <w:tcW w:w="5220" w:type="dxa"/>
            <w:vAlign w:val="bottom"/>
          </w:tcPr>
          <w:p w:rsidR="00726577" w:rsidRPr="00236A24" w:rsidRDefault="00726577" w:rsidP="007E3D90">
            <w:pPr>
              <w:spacing w:before="60" w:after="60"/>
              <w:rPr>
                <w:color w:val="000000"/>
              </w:rPr>
            </w:pPr>
            <w:r>
              <w:rPr>
                <w:color w:val="000000"/>
              </w:rPr>
              <w:t>KEMA Gas Consulting Services</w:t>
            </w:r>
          </w:p>
        </w:tc>
        <w:tc>
          <w:tcPr>
            <w:tcW w:w="1800" w:type="dxa"/>
            <w:vAlign w:val="bottom"/>
          </w:tcPr>
          <w:p w:rsidR="00726577" w:rsidRPr="007E3D90" w:rsidRDefault="009767C6" w:rsidP="007E3D90">
            <w:pPr>
              <w:spacing w:before="60" w:after="60"/>
              <w:jc w:val="both"/>
              <w:rPr>
                <w:color w:val="000000"/>
              </w:rPr>
            </w:pPr>
            <w:r>
              <w:rPr>
                <w:color w:val="000000"/>
              </w:rPr>
              <w:t>In Person</w:t>
            </w:r>
          </w:p>
        </w:tc>
      </w:tr>
      <w:tr w:rsidR="008B4F3B" w:rsidTr="00134ADC">
        <w:trPr>
          <w:trHeight w:val="329"/>
        </w:trPr>
        <w:tc>
          <w:tcPr>
            <w:tcW w:w="2700" w:type="dxa"/>
            <w:vAlign w:val="center"/>
          </w:tcPr>
          <w:p w:rsidR="008B4F3B" w:rsidRPr="00236A24" w:rsidRDefault="008B4F3B" w:rsidP="007E3D90">
            <w:pPr>
              <w:spacing w:before="60" w:after="60"/>
              <w:rPr>
                <w:color w:val="000000"/>
              </w:rPr>
            </w:pPr>
            <w:r>
              <w:rPr>
                <w:color w:val="000000"/>
              </w:rPr>
              <w:t xml:space="preserve">Andy </w:t>
            </w:r>
            <w:proofErr w:type="spellStart"/>
            <w:r>
              <w:rPr>
                <w:color w:val="000000"/>
              </w:rPr>
              <w:t>Tritch</w:t>
            </w:r>
            <w:proofErr w:type="spellEnd"/>
          </w:p>
        </w:tc>
        <w:tc>
          <w:tcPr>
            <w:tcW w:w="5220" w:type="dxa"/>
            <w:vAlign w:val="bottom"/>
          </w:tcPr>
          <w:p w:rsidR="008B4F3B" w:rsidRPr="00236A24" w:rsidRDefault="008B4F3B" w:rsidP="007E3D90">
            <w:pPr>
              <w:spacing w:before="60" w:after="60"/>
              <w:rPr>
                <w:color w:val="000000"/>
              </w:rPr>
            </w:pPr>
            <w:r>
              <w:rPr>
                <w:color w:val="000000"/>
              </w:rPr>
              <w:t>SunGard</w:t>
            </w:r>
          </w:p>
        </w:tc>
        <w:tc>
          <w:tcPr>
            <w:tcW w:w="1800" w:type="dxa"/>
          </w:tcPr>
          <w:p w:rsidR="008B4F3B" w:rsidRPr="007E3D90" w:rsidRDefault="008B4F3B" w:rsidP="007E3D90">
            <w:pPr>
              <w:spacing w:before="60" w:after="60"/>
              <w:jc w:val="both"/>
              <w:rPr>
                <w:color w:val="000000"/>
              </w:rPr>
            </w:pPr>
            <w:r>
              <w:rPr>
                <w:color w:val="000000"/>
              </w:rPr>
              <w:t>Phone</w:t>
            </w:r>
          </w:p>
        </w:tc>
      </w:tr>
      <w:tr w:rsidR="007E3D90" w:rsidTr="00134ADC">
        <w:trPr>
          <w:trHeight w:val="329"/>
        </w:trPr>
        <w:tc>
          <w:tcPr>
            <w:tcW w:w="2700" w:type="dxa"/>
            <w:vAlign w:val="center"/>
          </w:tcPr>
          <w:p w:rsidR="007E3D90" w:rsidRPr="00236A24" w:rsidRDefault="007E3D90" w:rsidP="007E3D90">
            <w:pPr>
              <w:spacing w:before="60" w:after="60"/>
              <w:rPr>
                <w:color w:val="000000"/>
              </w:rPr>
            </w:pPr>
            <w:r w:rsidRPr="00236A24">
              <w:rPr>
                <w:color w:val="000000"/>
              </w:rPr>
              <w:t>Caroline Trum</w:t>
            </w:r>
          </w:p>
        </w:tc>
        <w:tc>
          <w:tcPr>
            <w:tcW w:w="5220" w:type="dxa"/>
            <w:vAlign w:val="bottom"/>
          </w:tcPr>
          <w:p w:rsidR="007E3D90" w:rsidRPr="00236A24" w:rsidRDefault="007E3D90" w:rsidP="007E3D90">
            <w:pPr>
              <w:spacing w:before="60" w:after="60"/>
              <w:rPr>
                <w:color w:val="000000"/>
              </w:rPr>
            </w:pPr>
            <w:r w:rsidRPr="00236A24">
              <w:rPr>
                <w:color w:val="000000"/>
              </w:rPr>
              <w:t>NAESB Office</w:t>
            </w:r>
          </w:p>
        </w:tc>
        <w:tc>
          <w:tcPr>
            <w:tcW w:w="1800" w:type="dxa"/>
          </w:tcPr>
          <w:p w:rsidR="007E3D90" w:rsidRPr="007E3D90" w:rsidRDefault="009767C6" w:rsidP="007E3D90">
            <w:pPr>
              <w:spacing w:before="60" w:after="60"/>
              <w:jc w:val="both"/>
              <w:rPr>
                <w:color w:val="000000"/>
              </w:rPr>
            </w:pPr>
            <w:r>
              <w:rPr>
                <w:color w:val="000000"/>
              </w:rPr>
              <w:t>In Person</w:t>
            </w:r>
          </w:p>
        </w:tc>
      </w:tr>
      <w:tr w:rsidR="007E3D90" w:rsidTr="00134ADC">
        <w:trPr>
          <w:trHeight w:val="329"/>
        </w:trPr>
        <w:tc>
          <w:tcPr>
            <w:tcW w:w="2700" w:type="dxa"/>
            <w:vAlign w:val="center"/>
          </w:tcPr>
          <w:p w:rsidR="007E3D90" w:rsidRPr="00236A24" w:rsidRDefault="007E3D90" w:rsidP="007E3D90">
            <w:pPr>
              <w:spacing w:before="60" w:after="60"/>
              <w:rPr>
                <w:color w:val="000000"/>
              </w:rPr>
            </w:pPr>
            <w:r w:rsidRPr="00236A24">
              <w:rPr>
                <w:color w:val="000000"/>
              </w:rPr>
              <w:t>Kim Van Pelt</w:t>
            </w:r>
          </w:p>
        </w:tc>
        <w:tc>
          <w:tcPr>
            <w:tcW w:w="5220" w:type="dxa"/>
            <w:vAlign w:val="bottom"/>
          </w:tcPr>
          <w:p w:rsidR="007E3D90" w:rsidRPr="00236A24" w:rsidRDefault="007E3D90" w:rsidP="007E3D90">
            <w:pPr>
              <w:spacing w:before="60" w:after="60"/>
              <w:rPr>
                <w:color w:val="000000"/>
              </w:rPr>
            </w:pPr>
            <w:r w:rsidRPr="00236A24">
              <w:rPr>
                <w:color w:val="000000"/>
              </w:rPr>
              <w:t>Boardwalk Pipeline</w:t>
            </w:r>
            <w:r w:rsidR="008D54B6">
              <w:rPr>
                <w:color w:val="000000"/>
              </w:rPr>
              <w:t xml:space="preserve"> Partners</w:t>
            </w:r>
          </w:p>
        </w:tc>
        <w:tc>
          <w:tcPr>
            <w:tcW w:w="1800" w:type="dxa"/>
          </w:tcPr>
          <w:p w:rsidR="007E3D90" w:rsidRPr="007E3D90" w:rsidRDefault="009767C6" w:rsidP="007E3D90">
            <w:pPr>
              <w:spacing w:before="60" w:after="60"/>
              <w:jc w:val="both"/>
              <w:rPr>
                <w:color w:val="000000"/>
              </w:rPr>
            </w:pPr>
            <w:r>
              <w:rPr>
                <w:color w:val="000000"/>
              </w:rPr>
              <w:t>In Person</w:t>
            </w:r>
          </w:p>
        </w:tc>
      </w:tr>
      <w:tr w:rsidR="007E3D90" w:rsidTr="00134ADC">
        <w:trPr>
          <w:trHeight w:val="329"/>
        </w:trPr>
        <w:tc>
          <w:tcPr>
            <w:tcW w:w="2700" w:type="dxa"/>
            <w:vAlign w:val="center"/>
          </w:tcPr>
          <w:p w:rsidR="007E3D90" w:rsidRPr="00236A24" w:rsidRDefault="007E3D90" w:rsidP="007E3D90">
            <w:pPr>
              <w:spacing w:before="60" w:after="60"/>
              <w:rPr>
                <w:color w:val="000000"/>
              </w:rPr>
            </w:pPr>
            <w:r w:rsidRPr="00236A24">
              <w:rPr>
                <w:color w:val="000000"/>
              </w:rPr>
              <w:t>Jill Vaughan</w:t>
            </w:r>
          </w:p>
        </w:tc>
        <w:tc>
          <w:tcPr>
            <w:tcW w:w="5220" w:type="dxa"/>
            <w:vAlign w:val="bottom"/>
          </w:tcPr>
          <w:p w:rsidR="007E3D90" w:rsidRPr="00236A24" w:rsidRDefault="007E3D90" w:rsidP="007E3D90">
            <w:pPr>
              <w:spacing w:before="60" w:after="60"/>
              <w:rPr>
                <w:color w:val="000000"/>
              </w:rPr>
            </w:pPr>
            <w:r w:rsidRPr="00236A24">
              <w:rPr>
                <w:color w:val="000000"/>
              </w:rPr>
              <w:t>Court Reporting</w:t>
            </w:r>
          </w:p>
        </w:tc>
        <w:tc>
          <w:tcPr>
            <w:tcW w:w="1800" w:type="dxa"/>
          </w:tcPr>
          <w:p w:rsidR="007E3D90" w:rsidRPr="007E3D90" w:rsidRDefault="009767C6" w:rsidP="007E3D90">
            <w:pPr>
              <w:spacing w:before="60" w:after="60"/>
              <w:jc w:val="both"/>
              <w:rPr>
                <w:color w:val="000000"/>
              </w:rPr>
            </w:pPr>
            <w:r>
              <w:rPr>
                <w:color w:val="000000"/>
              </w:rPr>
              <w:t>In Person</w:t>
            </w:r>
          </w:p>
        </w:tc>
      </w:tr>
      <w:tr w:rsidR="00726577" w:rsidTr="00236A24">
        <w:trPr>
          <w:trHeight w:val="329"/>
        </w:trPr>
        <w:tc>
          <w:tcPr>
            <w:tcW w:w="2700" w:type="dxa"/>
            <w:vAlign w:val="center"/>
          </w:tcPr>
          <w:p w:rsidR="00726577" w:rsidRPr="00236A24" w:rsidRDefault="00726577" w:rsidP="007E3D90">
            <w:pPr>
              <w:spacing w:before="60" w:after="60"/>
              <w:rPr>
                <w:color w:val="000000"/>
              </w:rPr>
            </w:pPr>
            <w:r>
              <w:rPr>
                <w:color w:val="000000"/>
              </w:rPr>
              <w:t>Tim Wickersham</w:t>
            </w:r>
          </w:p>
        </w:tc>
        <w:tc>
          <w:tcPr>
            <w:tcW w:w="5220" w:type="dxa"/>
            <w:vAlign w:val="bottom"/>
          </w:tcPr>
          <w:p w:rsidR="00726577" w:rsidRPr="00236A24" w:rsidRDefault="00726577" w:rsidP="007E3D90">
            <w:pPr>
              <w:spacing w:before="60" w:after="60"/>
              <w:rPr>
                <w:color w:val="000000"/>
              </w:rPr>
            </w:pPr>
            <w:r>
              <w:rPr>
                <w:color w:val="000000"/>
              </w:rPr>
              <w:t>Blackstone Technology Group</w:t>
            </w:r>
          </w:p>
        </w:tc>
        <w:tc>
          <w:tcPr>
            <w:tcW w:w="1800" w:type="dxa"/>
            <w:vAlign w:val="bottom"/>
          </w:tcPr>
          <w:p w:rsidR="00726577" w:rsidRDefault="008B4F3B" w:rsidP="007E3D90">
            <w:pPr>
              <w:spacing w:before="60" w:after="60"/>
              <w:jc w:val="both"/>
              <w:rPr>
                <w:color w:val="000000"/>
              </w:rPr>
            </w:pPr>
            <w:r>
              <w:rPr>
                <w:color w:val="000000"/>
              </w:rPr>
              <w:t>Phone</w:t>
            </w:r>
          </w:p>
        </w:tc>
      </w:tr>
      <w:tr w:rsidR="008B4F3B" w:rsidTr="00236A24">
        <w:trPr>
          <w:trHeight w:val="329"/>
        </w:trPr>
        <w:tc>
          <w:tcPr>
            <w:tcW w:w="2700" w:type="dxa"/>
            <w:vAlign w:val="center"/>
          </w:tcPr>
          <w:p w:rsidR="008B4F3B" w:rsidRDefault="008B4F3B" w:rsidP="007E3D90">
            <w:pPr>
              <w:spacing w:before="60" w:after="60"/>
              <w:rPr>
                <w:color w:val="000000"/>
              </w:rPr>
            </w:pPr>
            <w:r>
              <w:rPr>
                <w:color w:val="000000"/>
              </w:rPr>
              <w:t xml:space="preserve">Craig Williams </w:t>
            </w:r>
          </w:p>
        </w:tc>
        <w:tc>
          <w:tcPr>
            <w:tcW w:w="5220" w:type="dxa"/>
            <w:vAlign w:val="bottom"/>
          </w:tcPr>
          <w:p w:rsidR="008B4F3B" w:rsidRDefault="008B4F3B" w:rsidP="007E3D90">
            <w:pPr>
              <w:spacing w:before="60" w:after="60"/>
              <w:rPr>
                <w:color w:val="000000"/>
              </w:rPr>
            </w:pPr>
            <w:r>
              <w:rPr>
                <w:color w:val="000000"/>
              </w:rPr>
              <w:t>WECC</w:t>
            </w:r>
          </w:p>
        </w:tc>
        <w:tc>
          <w:tcPr>
            <w:tcW w:w="1800" w:type="dxa"/>
            <w:vAlign w:val="bottom"/>
          </w:tcPr>
          <w:p w:rsidR="008B4F3B" w:rsidRDefault="008B4F3B" w:rsidP="007E3D90">
            <w:pPr>
              <w:spacing w:before="60" w:after="60"/>
              <w:jc w:val="both"/>
              <w:rPr>
                <w:color w:val="000000"/>
              </w:rPr>
            </w:pPr>
            <w:r>
              <w:rPr>
                <w:color w:val="000000"/>
              </w:rPr>
              <w:t>Phone</w:t>
            </w:r>
          </w:p>
        </w:tc>
      </w:tr>
      <w:tr w:rsidR="007E3D90" w:rsidTr="00236A24">
        <w:trPr>
          <w:trHeight w:val="329"/>
        </w:trPr>
        <w:tc>
          <w:tcPr>
            <w:tcW w:w="2700" w:type="dxa"/>
            <w:vAlign w:val="center"/>
          </w:tcPr>
          <w:p w:rsidR="007E3D90" w:rsidRPr="00236A24" w:rsidRDefault="007E3D90" w:rsidP="007E3D90">
            <w:pPr>
              <w:spacing w:before="60" w:after="60"/>
              <w:rPr>
                <w:color w:val="000000"/>
              </w:rPr>
            </w:pPr>
            <w:r>
              <w:rPr>
                <w:color w:val="000000"/>
              </w:rPr>
              <w:t>JT Wood</w:t>
            </w:r>
          </w:p>
        </w:tc>
        <w:tc>
          <w:tcPr>
            <w:tcW w:w="5220" w:type="dxa"/>
            <w:vAlign w:val="bottom"/>
          </w:tcPr>
          <w:p w:rsidR="007E3D90" w:rsidRPr="00236A24" w:rsidRDefault="007E3D90" w:rsidP="007E3D90">
            <w:pPr>
              <w:spacing w:before="60" w:after="60"/>
              <w:rPr>
                <w:color w:val="000000"/>
              </w:rPr>
            </w:pPr>
            <w:r>
              <w:rPr>
                <w:color w:val="000000"/>
              </w:rPr>
              <w:t>Southern Company</w:t>
            </w:r>
          </w:p>
        </w:tc>
        <w:tc>
          <w:tcPr>
            <w:tcW w:w="1800" w:type="dxa"/>
            <w:vAlign w:val="bottom"/>
          </w:tcPr>
          <w:p w:rsidR="007E3D90" w:rsidRPr="007E3D90" w:rsidRDefault="008B4F3B" w:rsidP="007E3D90">
            <w:pPr>
              <w:spacing w:before="60" w:after="60"/>
              <w:jc w:val="both"/>
              <w:rPr>
                <w:color w:val="000000"/>
              </w:rPr>
            </w:pPr>
            <w:r>
              <w:rPr>
                <w:color w:val="000000"/>
              </w:rPr>
              <w:t>Phone</w:t>
            </w:r>
          </w:p>
        </w:tc>
      </w:tr>
    </w:tbl>
    <w:p w:rsidR="00066516" w:rsidRPr="00DA0ACF" w:rsidRDefault="00066516" w:rsidP="008B4F3B">
      <w:pPr>
        <w:spacing w:before="120"/>
        <w:rPr>
          <w:sz w:val="2"/>
          <w:szCs w:val="2"/>
        </w:rPr>
      </w:pPr>
    </w:p>
    <w:sectPr w:rsidR="00066516" w:rsidRPr="00DA0ACF" w:rsidSect="00021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48" w:rsidRDefault="00402E48">
      <w:r>
        <w:separator/>
      </w:r>
    </w:p>
  </w:endnote>
  <w:endnote w:type="continuationSeparator" w:id="0">
    <w:p w:rsidR="00402E48" w:rsidRDefault="0040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87" w:rsidRDefault="00577987">
    <w:pPr>
      <w:pStyle w:val="Footer"/>
      <w:pBdr>
        <w:top w:val="single" w:sz="12" w:space="1" w:color="auto"/>
      </w:pBdr>
      <w:jc w:val="right"/>
      <w:rPr>
        <w:sz w:val="18"/>
        <w:szCs w:val="18"/>
      </w:rPr>
    </w:pPr>
    <w:r>
      <w:rPr>
        <w:sz w:val="18"/>
        <w:szCs w:val="18"/>
      </w:rPr>
      <w:t>NAESB Board of Directors Meeting – December 11, 2014</w:t>
    </w:r>
  </w:p>
  <w:p w:rsidR="00577987" w:rsidRDefault="00577987">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212C9">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48" w:rsidRDefault="00402E48">
      <w:r>
        <w:separator/>
      </w:r>
    </w:p>
  </w:footnote>
  <w:footnote w:type="continuationSeparator" w:id="0">
    <w:p w:rsidR="00402E48" w:rsidRDefault="0040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987" w:rsidRDefault="00577987">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6EA9E3F7" wp14:editId="069B6728">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987" w:rsidRDefault="00577987"/>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E6600" w:rsidRDefault="006E66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577987" w:rsidRDefault="00577987">
    <w:pPr>
      <w:pStyle w:val="Header"/>
      <w:tabs>
        <w:tab w:val="left" w:pos="680"/>
        <w:tab w:val="right" w:pos="9810"/>
      </w:tabs>
      <w:spacing w:before="60"/>
      <w:ind w:left="1800"/>
      <w:jc w:val="right"/>
    </w:pPr>
    <w:r>
      <w:t>801 Travis, Suite 1675, Houston, Texas 77002</w:t>
    </w:r>
  </w:p>
  <w:p w:rsidR="00577987" w:rsidRDefault="00577987">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577987" w:rsidRDefault="0057798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577987" w:rsidRDefault="00577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2B5"/>
    <w:multiLevelType w:val="hybridMultilevel"/>
    <w:tmpl w:val="AEF6B960"/>
    <w:lvl w:ilvl="0" w:tplc="6BE81F0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7F725D"/>
    <w:multiLevelType w:val="hybridMultilevel"/>
    <w:tmpl w:val="4D24F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D26C7"/>
    <w:multiLevelType w:val="hybridMultilevel"/>
    <w:tmpl w:val="9E74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A3C3F"/>
    <w:multiLevelType w:val="hybridMultilevel"/>
    <w:tmpl w:val="A54C060C"/>
    <w:lvl w:ilvl="0" w:tplc="820C71B8">
      <w:start w:val="1"/>
      <w:numFmt w:val="decimal"/>
      <w:lvlText w:val="%1."/>
      <w:lvlJc w:val="left"/>
      <w:pPr>
        <w:tabs>
          <w:tab w:val="num" w:pos="720"/>
        </w:tabs>
        <w:ind w:left="720" w:hanging="360"/>
      </w:pPr>
      <w:rPr>
        <w:rFonts w:cs="Times New Roman"/>
        <w:b/>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211277"/>
    <w:multiLevelType w:val="hybridMultilevel"/>
    <w:tmpl w:val="6DA6D9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22841"/>
    <w:multiLevelType w:val="hybridMultilevel"/>
    <w:tmpl w:val="63D42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557052"/>
    <w:multiLevelType w:val="hybridMultilevel"/>
    <w:tmpl w:val="98D230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D54122"/>
    <w:multiLevelType w:val="hybridMultilevel"/>
    <w:tmpl w:val="3F784E7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D3B10B7"/>
    <w:multiLevelType w:val="hybridMultilevel"/>
    <w:tmpl w:val="4CC2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07A25"/>
    <w:multiLevelType w:val="hybridMultilevel"/>
    <w:tmpl w:val="4FB0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2F76FC0"/>
    <w:multiLevelType w:val="hybridMultilevel"/>
    <w:tmpl w:val="4C3C10C2"/>
    <w:lvl w:ilvl="0" w:tplc="1A50D1D4">
      <w:start w:val="8760"/>
      <w:numFmt w:val="decimal"/>
      <w:lvlText w:val="%1"/>
      <w:lvlJc w:val="left"/>
      <w:pPr>
        <w:tabs>
          <w:tab w:val="num" w:pos="1080"/>
        </w:tabs>
        <w:ind w:left="1080" w:hanging="720"/>
      </w:pPr>
      <w:rPr>
        <w:rFonts w:cs="Times New Roman" w:hint="default"/>
        <w:b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7EA4613"/>
    <w:multiLevelType w:val="hybridMultilevel"/>
    <w:tmpl w:val="FAEA72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132694"/>
    <w:multiLevelType w:val="hybridMultilevel"/>
    <w:tmpl w:val="FE2C8C5E"/>
    <w:lvl w:ilvl="0" w:tplc="637ACA54">
      <w:start w:val="1"/>
      <w:numFmt w:val="low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676D4F"/>
    <w:multiLevelType w:val="hybridMultilevel"/>
    <w:tmpl w:val="1AEC508E"/>
    <w:lvl w:ilvl="0" w:tplc="04090001">
      <w:start w:val="1"/>
      <w:numFmt w:val="bullet"/>
      <w:lvlText w:val=""/>
      <w:lvlJc w:val="left"/>
      <w:pPr>
        <w:tabs>
          <w:tab w:val="num" w:pos="720"/>
        </w:tabs>
        <w:ind w:left="720" w:hanging="360"/>
      </w:pPr>
      <w:rPr>
        <w:rFonts w:ascii="Symbol" w:hAnsi="Symbol" w:hint="default"/>
      </w:rPr>
    </w:lvl>
    <w:lvl w:ilvl="1" w:tplc="85E2C9AE">
      <w:start w:val="1"/>
      <w:numFmt w:val="bullet"/>
      <w:lvlText w:val=""/>
      <w:lvlJc w:val="left"/>
      <w:pPr>
        <w:tabs>
          <w:tab w:val="num" w:pos="1368"/>
        </w:tabs>
        <w:ind w:left="1368" w:hanging="288"/>
      </w:pPr>
      <w:rPr>
        <w:rFonts w:ascii="Symbol"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D476D4"/>
    <w:multiLevelType w:val="hybridMultilevel"/>
    <w:tmpl w:val="0624E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2"/>
  </w:num>
  <w:num w:numId="4">
    <w:abstractNumId w:val="17"/>
  </w:num>
  <w:num w:numId="5">
    <w:abstractNumId w:val="3"/>
  </w:num>
  <w:num w:numId="6">
    <w:abstractNumId w:val="0"/>
  </w:num>
  <w:num w:numId="7">
    <w:abstractNumId w:val="1"/>
  </w:num>
  <w:num w:numId="8">
    <w:abstractNumId w:val="13"/>
  </w:num>
  <w:num w:numId="9">
    <w:abstractNumId w:val="6"/>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9"/>
  </w:num>
  <w:num w:numId="13">
    <w:abstractNumId w:val="11"/>
  </w:num>
  <w:num w:numId="14">
    <w:abstractNumId w:val="15"/>
  </w:num>
  <w:num w:numId="15">
    <w:abstractNumId w:val="20"/>
  </w:num>
  <w:num w:numId="16">
    <w:abstractNumId w:val="2"/>
  </w:num>
  <w:num w:numId="17">
    <w:abstractNumId w:val="20"/>
  </w:num>
  <w:num w:numId="18">
    <w:abstractNumId w:val="8"/>
  </w:num>
  <w:num w:numId="19">
    <w:abstractNumId w:val="5"/>
  </w:num>
  <w:num w:numId="20">
    <w:abstractNumId w:val="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6"/>
    <w:rsid w:val="00005136"/>
    <w:rsid w:val="00006541"/>
    <w:rsid w:val="0002158D"/>
    <w:rsid w:val="00023801"/>
    <w:rsid w:val="00035BF6"/>
    <w:rsid w:val="00036999"/>
    <w:rsid w:val="0004286D"/>
    <w:rsid w:val="00044D46"/>
    <w:rsid w:val="00050602"/>
    <w:rsid w:val="00050DE2"/>
    <w:rsid w:val="00051F24"/>
    <w:rsid w:val="00052F5B"/>
    <w:rsid w:val="000602BB"/>
    <w:rsid w:val="0006093B"/>
    <w:rsid w:val="00066516"/>
    <w:rsid w:val="00077BE1"/>
    <w:rsid w:val="00081999"/>
    <w:rsid w:val="0008457E"/>
    <w:rsid w:val="00084F9B"/>
    <w:rsid w:val="00094CD5"/>
    <w:rsid w:val="000A19D5"/>
    <w:rsid w:val="000A1D00"/>
    <w:rsid w:val="000A354D"/>
    <w:rsid w:val="000B780B"/>
    <w:rsid w:val="000D0645"/>
    <w:rsid w:val="000D138B"/>
    <w:rsid w:val="000E2144"/>
    <w:rsid w:val="000E318F"/>
    <w:rsid w:val="000F0E61"/>
    <w:rsid w:val="00105062"/>
    <w:rsid w:val="00111EE9"/>
    <w:rsid w:val="00112799"/>
    <w:rsid w:val="001141BE"/>
    <w:rsid w:val="00117FE9"/>
    <w:rsid w:val="001258B8"/>
    <w:rsid w:val="00126D91"/>
    <w:rsid w:val="00134ADC"/>
    <w:rsid w:val="001502E7"/>
    <w:rsid w:val="001511F4"/>
    <w:rsid w:val="0015575E"/>
    <w:rsid w:val="00167C30"/>
    <w:rsid w:val="0018107B"/>
    <w:rsid w:val="0019210E"/>
    <w:rsid w:val="00193C13"/>
    <w:rsid w:val="001C6320"/>
    <w:rsid w:val="001D50B9"/>
    <w:rsid w:val="001D5268"/>
    <w:rsid w:val="001F386C"/>
    <w:rsid w:val="001F6DB4"/>
    <w:rsid w:val="001F6ED1"/>
    <w:rsid w:val="0020185E"/>
    <w:rsid w:val="002046BD"/>
    <w:rsid w:val="00204BB8"/>
    <w:rsid w:val="00204F2B"/>
    <w:rsid w:val="00213C47"/>
    <w:rsid w:val="0021550D"/>
    <w:rsid w:val="00222C9A"/>
    <w:rsid w:val="00224203"/>
    <w:rsid w:val="0022510A"/>
    <w:rsid w:val="00230AA4"/>
    <w:rsid w:val="00236805"/>
    <w:rsid w:val="00236A24"/>
    <w:rsid w:val="00245BCD"/>
    <w:rsid w:val="00254E8C"/>
    <w:rsid w:val="00260387"/>
    <w:rsid w:val="002647BD"/>
    <w:rsid w:val="00267FED"/>
    <w:rsid w:val="00275F0F"/>
    <w:rsid w:val="002822D0"/>
    <w:rsid w:val="0028778F"/>
    <w:rsid w:val="002B2519"/>
    <w:rsid w:val="002B7A6C"/>
    <w:rsid w:val="002C5E9E"/>
    <w:rsid w:val="002D2D5D"/>
    <w:rsid w:val="002F16DE"/>
    <w:rsid w:val="0030598B"/>
    <w:rsid w:val="0030678C"/>
    <w:rsid w:val="00334E69"/>
    <w:rsid w:val="00356839"/>
    <w:rsid w:val="003630E0"/>
    <w:rsid w:val="003762EE"/>
    <w:rsid w:val="003839E4"/>
    <w:rsid w:val="00386863"/>
    <w:rsid w:val="00387868"/>
    <w:rsid w:val="003A3FC3"/>
    <w:rsid w:val="003B15D7"/>
    <w:rsid w:val="003E511C"/>
    <w:rsid w:val="003E72DA"/>
    <w:rsid w:val="003F4123"/>
    <w:rsid w:val="00400678"/>
    <w:rsid w:val="004012DF"/>
    <w:rsid w:val="00402E48"/>
    <w:rsid w:val="004129B1"/>
    <w:rsid w:val="00417002"/>
    <w:rsid w:val="00417EEE"/>
    <w:rsid w:val="00420008"/>
    <w:rsid w:val="004226EF"/>
    <w:rsid w:val="00426A8D"/>
    <w:rsid w:val="0043046B"/>
    <w:rsid w:val="00446C37"/>
    <w:rsid w:val="00447006"/>
    <w:rsid w:val="004601EB"/>
    <w:rsid w:val="00463C25"/>
    <w:rsid w:val="00474E62"/>
    <w:rsid w:val="004A1EC0"/>
    <w:rsid w:val="004B34F8"/>
    <w:rsid w:val="004B56BD"/>
    <w:rsid w:val="004B5B57"/>
    <w:rsid w:val="004C1C80"/>
    <w:rsid w:val="004C2C4B"/>
    <w:rsid w:val="004C4710"/>
    <w:rsid w:val="004C6541"/>
    <w:rsid w:val="004C697A"/>
    <w:rsid w:val="004D7D0B"/>
    <w:rsid w:val="004E2EC6"/>
    <w:rsid w:val="004E4380"/>
    <w:rsid w:val="004E4985"/>
    <w:rsid w:val="004F0760"/>
    <w:rsid w:val="004F38B2"/>
    <w:rsid w:val="005009EF"/>
    <w:rsid w:val="00512363"/>
    <w:rsid w:val="00520054"/>
    <w:rsid w:val="00520F70"/>
    <w:rsid w:val="00521736"/>
    <w:rsid w:val="00533509"/>
    <w:rsid w:val="00534730"/>
    <w:rsid w:val="005347B7"/>
    <w:rsid w:val="00550124"/>
    <w:rsid w:val="005503D0"/>
    <w:rsid w:val="005568C0"/>
    <w:rsid w:val="005734DC"/>
    <w:rsid w:val="00577987"/>
    <w:rsid w:val="0058406F"/>
    <w:rsid w:val="00592D58"/>
    <w:rsid w:val="005943B8"/>
    <w:rsid w:val="005A0DA8"/>
    <w:rsid w:val="005B5208"/>
    <w:rsid w:val="005D0B68"/>
    <w:rsid w:val="005D775C"/>
    <w:rsid w:val="005E65D3"/>
    <w:rsid w:val="005F0467"/>
    <w:rsid w:val="005F2B37"/>
    <w:rsid w:val="00620C11"/>
    <w:rsid w:val="006271E7"/>
    <w:rsid w:val="0063284A"/>
    <w:rsid w:val="0063412E"/>
    <w:rsid w:val="00651BBF"/>
    <w:rsid w:val="00654C66"/>
    <w:rsid w:val="00655545"/>
    <w:rsid w:val="00665FA0"/>
    <w:rsid w:val="00673391"/>
    <w:rsid w:val="00684362"/>
    <w:rsid w:val="00685390"/>
    <w:rsid w:val="00697D31"/>
    <w:rsid w:val="006A0845"/>
    <w:rsid w:val="006C5651"/>
    <w:rsid w:val="006D34D2"/>
    <w:rsid w:val="006E113C"/>
    <w:rsid w:val="006E6600"/>
    <w:rsid w:val="006E66D7"/>
    <w:rsid w:val="006E7680"/>
    <w:rsid w:val="006F24EE"/>
    <w:rsid w:val="006F359C"/>
    <w:rsid w:val="00707352"/>
    <w:rsid w:val="0071251D"/>
    <w:rsid w:val="00714310"/>
    <w:rsid w:val="00723F43"/>
    <w:rsid w:val="00725F2B"/>
    <w:rsid w:val="00726577"/>
    <w:rsid w:val="00730319"/>
    <w:rsid w:val="0074162F"/>
    <w:rsid w:val="00743B3A"/>
    <w:rsid w:val="00745F17"/>
    <w:rsid w:val="00750DE8"/>
    <w:rsid w:val="0075145D"/>
    <w:rsid w:val="00752592"/>
    <w:rsid w:val="007626D2"/>
    <w:rsid w:val="007641F1"/>
    <w:rsid w:val="00792BC2"/>
    <w:rsid w:val="007A0676"/>
    <w:rsid w:val="007A6D6B"/>
    <w:rsid w:val="007B1ACE"/>
    <w:rsid w:val="007B6BBF"/>
    <w:rsid w:val="007B7D76"/>
    <w:rsid w:val="007D4738"/>
    <w:rsid w:val="007E3D90"/>
    <w:rsid w:val="007E7A21"/>
    <w:rsid w:val="007F1ED2"/>
    <w:rsid w:val="007F4F0A"/>
    <w:rsid w:val="007F7291"/>
    <w:rsid w:val="007F76AE"/>
    <w:rsid w:val="00800C0E"/>
    <w:rsid w:val="008046FF"/>
    <w:rsid w:val="00807747"/>
    <w:rsid w:val="00817AC4"/>
    <w:rsid w:val="008226B0"/>
    <w:rsid w:val="00830955"/>
    <w:rsid w:val="008454DA"/>
    <w:rsid w:val="0085593D"/>
    <w:rsid w:val="00857B08"/>
    <w:rsid w:val="00863B88"/>
    <w:rsid w:val="00864370"/>
    <w:rsid w:val="00871CE4"/>
    <w:rsid w:val="00872FDC"/>
    <w:rsid w:val="00885C40"/>
    <w:rsid w:val="008863A0"/>
    <w:rsid w:val="00887721"/>
    <w:rsid w:val="00890D27"/>
    <w:rsid w:val="0089658B"/>
    <w:rsid w:val="008A05CF"/>
    <w:rsid w:val="008A7CFF"/>
    <w:rsid w:val="008B150F"/>
    <w:rsid w:val="008B32ED"/>
    <w:rsid w:val="008B4F3B"/>
    <w:rsid w:val="008B7228"/>
    <w:rsid w:val="008B7911"/>
    <w:rsid w:val="008C0E38"/>
    <w:rsid w:val="008C403D"/>
    <w:rsid w:val="008C770C"/>
    <w:rsid w:val="008D2EFB"/>
    <w:rsid w:val="008D31D1"/>
    <w:rsid w:val="008D54B6"/>
    <w:rsid w:val="008E3ED8"/>
    <w:rsid w:val="008E4B8B"/>
    <w:rsid w:val="008E6A53"/>
    <w:rsid w:val="008E76EB"/>
    <w:rsid w:val="008F5768"/>
    <w:rsid w:val="00904374"/>
    <w:rsid w:val="00911DE3"/>
    <w:rsid w:val="0091499E"/>
    <w:rsid w:val="00916095"/>
    <w:rsid w:val="009212C9"/>
    <w:rsid w:val="00931DD6"/>
    <w:rsid w:val="009330EF"/>
    <w:rsid w:val="0093368D"/>
    <w:rsid w:val="009366DB"/>
    <w:rsid w:val="0094214A"/>
    <w:rsid w:val="00961023"/>
    <w:rsid w:val="00965DE5"/>
    <w:rsid w:val="00972FE8"/>
    <w:rsid w:val="009744F3"/>
    <w:rsid w:val="009755C2"/>
    <w:rsid w:val="009767C6"/>
    <w:rsid w:val="009775B0"/>
    <w:rsid w:val="00982B32"/>
    <w:rsid w:val="0098516E"/>
    <w:rsid w:val="00986E1D"/>
    <w:rsid w:val="00991436"/>
    <w:rsid w:val="0099462D"/>
    <w:rsid w:val="00996426"/>
    <w:rsid w:val="009A0EAD"/>
    <w:rsid w:val="009A2F19"/>
    <w:rsid w:val="009A5F1D"/>
    <w:rsid w:val="009B18D1"/>
    <w:rsid w:val="009B23F3"/>
    <w:rsid w:val="009B3494"/>
    <w:rsid w:val="009C78E1"/>
    <w:rsid w:val="009E597E"/>
    <w:rsid w:val="009F0432"/>
    <w:rsid w:val="009F106A"/>
    <w:rsid w:val="009F1177"/>
    <w:rsid w:val="009F28A3"/>
    <w:rsid w:val="009F6DDF"/>
    <w:rsid w:val="00A03296"/>
    <w:rsid w:val="00A060AA"/>
    <w:rsid w:val="00A11532"/>
    <w:rsid w:val="00A1448F"/>
    <w:rsid w:val="00A15575"/>
    <w:rsid w:val="00A209C3"/>
    <w:rsid w:val="00A25B11"/>
    <w:rsid w:val="00A27495"/>
    <w:rsid w:val="00A3376F"/>
    <w:rsid w:val="00A37D66"/>
    <w:rsid w:val="00A415F1"/>
    <w:rsid w:val="00A466A6"/>
    <w:rsid w:val="00A47D82"/>
    <w:rsid w:val="00A577A1"/>
    <w:rsid w:val="00A62389"/>
    <w:rsid w:val="00A72231"/>
    <w:rsid w:val="00A82E6A"/>
    <w:rsid w:val="00A83425"/>
    <w:rsid w:val="00A96FE3"/>
    <w:rsid w:val="00AB2A07"/>
    <w:rsid w:val="00AC286A"/>
    <w:rsid w:val="00AE044E"/>
    <w:rsid w:val="00AE4DFF"/>
    <w:rsid w:val="00AE508B"/>
    <w:rsid w:val="00AE75B6"/>
    <w:rsid w:val="00B025E0"/>
    <w:rsid w:val="00B03CD0"/>
    <w:rsid w:val="00B111C1"/>
    <w:rsid w:val="00B12E8E"/>
    <w:rsid w:val="00B16E35"/>
    <w:rsid w:val="00B306F8"/>
    <w:rsid w:val="00B3335B"/>
    <w:rsid w:val="00B3667A"/>
    <w:rsid w:val="00B4016C"/>
    <w:rsid w:val="00B412EB"/>
    <w:rsid w:val="00B41303"/>
    <w:rsid w:val="00B46FDB"/>
    <w:rsid w:val="00B625A4"/>
    <w:rsid w:val="00B64D33"/>
    <w:rsid w:val="00B67EEE"/>
    <w:rsid w:val="00B73F50"/>
    <w:rsid w:val="00B8062F"/>
    <w:rsid w:val="00B80C5C"/>
    <w:rsid w:val="00B82D83"/>
    <w:rsid w:val="00B92EF6"/>
    <w:rsid w:val="00BA75A3"/>
    <w:rsid w:val="00BC3B36"/>
    <w:rsid w:val="00BD6EA4"/>
    <w:rsid w:val="00BE1ADD"/>
    <w:rsid w:val="00BF1441"/>
    <w:rsid w:val="00C14692"/>
    <w:rsid w:val="00C1797C"/>
    <w:rsid w:val="00C228FB"/>
    <w:rsid w:val="00C25C17"/>
    <w:rsid w:val="00C3170F"/>
    <w:rsid w:val="00C351BA"/>
    <w:rsid w:val="00C36A04"/>
    <w:rsid w:val="00C4739D"/>
    <w:rsid w:val="00C62FDE"/>
    <w:rsid w:val="00C70408"/>
    <w:rsid w:val="00C72DF5"/>
    <w:rsid w:val="00C73EA1"/>
    <w:rsid w:val="00C81565"/>
    <w:rsid w:val="00CA3B09"/>
    <w:rsid w:val="00CA3C44"/>
    <w:rsid w:val="00CA546E"/>
    <w:rsid w:val="00CB08AD"/>
    <w:rsid w:val="00CB379C"/>
    <w:rsid w:val="00CD0B20"/>
    <w:rsid w:val="00CD7F47"/>
    <w:rsid w:val="00CE302D"/>
    <w:rsid w:val="00CE3D68"/>
    <w:rsid w:val="00CF2B02"/>
    <w:rsid w:val="00CF4C0C"/>
    <w:rsid w:val="00D0462F"/>
    <w:rsid w:val="00D06EF9"/>
    <w:rsid w:val="00D07653"/>
    <w:rsid w:val="00D22ECD"/>
    <w:rsid w:val="00D26EF0"/>
    <w:rsid w:val="00D32952"/>
    <w:rsid w:val="00D333B4"/>
    <w:rsid w:val="00D44E60"/>
    <w:rsid w:val="00D4738C"/>
    <w:rsid w:val="00D50FB2"/>
    <w:rsid w:val="00D53457"/>
    <w:rsid w:val="00D607A0"/>
    <w:rsid w:val="00D65BE5"/>
    <w:rsid w:val="00D67D6E"/>
    <w:rsid w:val="00D70371"/>
    <w:rsid w:val="00D7088E"/>
    <w:rsid w:val="00D708A6"/>
    <w:rsid w:val="00D769CC"/>
    <w:rsid w:val="00D80967"/>
    <w:rsid w:val="00D917D7"/>
    <w:rsid w:val="00D934C2"/>
    <w:rsid w:val="00D94419"/>
    <w:rsid w:val="00D95B53"/>
    <w:rsid w:val="00DA00F1"/>
    <w:rsid w:val="00DA0A7F"/>
    <w:rsid w:val="00DA0ACF"/>
    <w:rsid w:val="00DA37CC"/>
    <w:rsid w:val="00DD159F"/>
    <w:rsid w:val="00DD209C"/>
    <w:rsid w:val="00DD6442"/>
    <w:rsid w:val="00DE201B"/>
    <w:rsid w:val="00DE324D"/>
    <w:rsid w:val="00DE5A4F"/>
    <w:rsid w:val="00DE701B"/>
    <w:rsid w:val="00DF591B"/>
    <w:rsid w:val="00DF6184"/>
    <w:rsid w:val="00DF68D3"/>
    <w:rsid w:val="00E02445"/>
    <w:rsid w:val="00E12021"/>
    <w:rsid w:val="00E12536"/>
    <w:rsid w:val="00E277D8"/>
    <w:rsid w:val="00E34409"/>
    <w:rsid w:val="00E3698C"/>
    <w:rsid w:val="00E41A27"/>
    <w:rsid w:val="00E53A68"/>
    <w:rsid w:val="00E70352"/>
    <w:rsid w:val="00E84254"/>
    <w:rsid w:val="00E87283"/>
    <w:rsid w:val="00E91DA4"/>
    <w:rsid w:val="00E9668E"/>
    <w:rsid w:val="00EA3584"/>
    <w:rsid w:val="00EB2859"/>
    <w:rsid w:val="00EC4A53"/>
    <w:rsid w:val="00ED4624"/>
    <w:rsid w:val="00ED6F88"/>
    <w:rsid w:val="00EE3210"/>
    <w:rsid w:val="00EE3765"/>
    <w:rsid w:val="00EF0961"/>
    <w:rsid w:val="00F0625C"/>
    <w:rsid w:val="00F07605"/>
    <w:rsid w:val="00F21996"/>
    <w:rsid w:val="00F23C2B"/>
    <w:rsid w:val="00F2514E"/>
    <w:rsid w:val="00F26E28"/>
    <w:rsid w:val="00F31B5F"/>
    <w:rsid w:val="00F31E4B"/>
    <w:rsid w:val="00F450E1"/>
    <w:rsid w:val="00F5263A"/>
    <w:rsid w:val="00F55676"/>
    <w:rsid w:val="00F56618"/>
    <w:rsid w:val="00F57CDD"/>
    <w:rsid w:val="00F6153C"/>
    <w:rsid w:val="00F75171"/>
    <w:rsid w:val="00F82D3E"/>
    <w:rsid w:val="00F8771A"/>
    <w:rsid w:val="00F91203"/>
    <w:rsid w:val="00F92D56"/>
    <w:rsid w:val="00F94A0A"/>
    <w:rsid w:val="00F96F00"/>
    <w:rsid w:val="00FA3FB9"/>
    <w:rsid w:val="00FB3075"/>
    <w:rsid w:val="00FC1A5E"/>
    <w:rsid w:val="00FC2A22"/>
    <w:rsid w:val="00FD32B0"/>
    <w:rsid w:val="00FD6F70"/>
    <w:rsid w:val="00FD7305"/>
    <w:rsid w:val="00FD73AE"/>
    <w:rsid w:val="00FE3725"/>
    <w:rsid w:val="00FE659C"/>
    <w:rsid w:val="00FE7A72"/>
    <w:rsid w:val="00FF11CD"/>
    <w:rsid w:val="00FF3C0C"/>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10"/>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rPr>
      <w:sz w:val="24"/>
    </w:rPr>
  </w:style>
  <w:style w:type="character" w:customStyle="1" w:styleId="BodyTextChar">
    <w:name w:val="Body Text Char"/>
    <w:link w:val="BodyText"/>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99"/>
    <w:qFormat/>
    <w:rsid w:val="00F94A0A"/>
    <w:pPr>
      <w:ind w:left="720"/>
      <w:contextualSpacing/>
    </w:pPr>
  </w:style>
  <w:style w:type="paragraph" w:customStyle="1" w:styleId="Style0">
    <w:name w:val="Style #0"/>
    <w:uiPriority w:val="99"/>
    <w:rsid w:val="006E6600"/>
    <w:pPr>
      <w:widowControl w:val="0"/>
    </w:pPr>
    <w:rPr>
      <w:rFonts w:ascii="Times New" w:hAnsi="Times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10"/>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rPr>
      <w:sz w:val="24"/>
    </w:rPr>
  </w:style>
  <w:style w:type="character" w:customStyle="1" w:styleId="BodyTextChar">
    <w:name w:val="Body Text Char"/>
    <w:link w:val="BodyText"/>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99"/>
    <w:qFormat/>
    <w:rsid w:val="00F94A0A"/>
    <w:pPr>
      <w:ind w:left="720"/>
      <w:contextualSpacing/>
    </w:pPr>
  </w:style>
  <w:style w:type="paragraph" w:customStyle="1" w:styleId="Style0">
    <w:name w:val="Style #0"/>
    <w:uiPriority w:val="99"/>
    <w:rsid w:val="006E6600"/>
    <w:pPr>
      <w:widowControl w:val="0"/>
    </w:pPr>
    <w:rPr>
      <w:rFonts w:ascii="Times New" w:hAnsi="Times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48441">
      <w:bodyDiv w:val="1"/>
      <w:marLeft w:val="0"/>
      <w:marRight w:val="0"/>
      <w:marTop w:val="0"/>
      <w:marBottom w:val="0"/>
      <w:divBdr>
        <w:top w:val="none" w:sz="0" w:space="0" w:color="auto"/>
        <w:left w:val="none" w:sz="0" w:space="0" w:color="auto"/>
        <w:bottom w:val="none" w:sz="0" w:space="0" w:color="auto"/>
        <w:right w:val="none" w:sz="0" w:space="0" w:color="auto"/>
      </w:divBdr>
    </w:div>
    <w:div w:id="641426462">
      <w:marLeft w:val="0"/>
      <w:marRight w:val="0"/>
      <w:marTop w:val="0"/>
      <w:marBottom w:val="0"/>
      <w:divBdr>
        <w:top w:val="none" w:sz="0" w:space="0" w:color="auto"/>
        <w:left w:val="none" w:sz="0" w:space="0" w:color="auto"/>
        <w:bottom w:val="none" w:sz="0" w:space="0" w:color="auto"/>
        <w:right w:val="none" w:sz="0" w:space="0" w:color="auto"/>
      </w:divBdr>
    </w:div>
    <w:div w:id="641426463">
      <w:marLeft w:val="0"/>
      <w:marRight w:val="0"/>
      <w:marTop w:val="0"/>
      <w:marBottom w:val="0"/>
      <w:divBdr>
        <w:top w:val="none" w:sz="0" w:space="0" w:color="auto"/>
        <w:left w:val="none" w:sz="0" w:space="0" w:color="auto"/>
        <w:bottom w:val="none" w:sz="0" w:space="0" w:color="auto"/>
        <w:right w:val="none" w:sz="0" w:space="0" w:color="auto"/>
      </w:divBdr>
    </w:div>
    <w:div w:id="641426464">
      <w:marLeft w:val="0"/>
      <w:marRight w:val="0"/>
      <w:marTop w:val="0"/>
      <w:marBottom w:val="0"/>
      <w:divBdr>
        <w:top w:val="none" w:sz="0" w:space="0" w:color="auto"/>
        <w:left w:val="none" w:sz="0" w:space="0" w:color="auto"/>
        <w:bottom w:val="none" w:sz="0" w:space="0" w:color="auto"/>
        <w:right w:val="none" w:sz="0" w:space="0" w:color="auto"/>
      </w:divBdr>
    </w:div>
    <w:div w:id="641426465">
      <w:marLeft w:val="0"/>
      <w:marRight w:val="0"/>
      <w:marTop w:val="0"/>
      <w:marBottom w:val="0"/>
      <w:divBdr>
        <w:top w:val="none" w:sz="0" w:space="0" w:color="auto"/>
        <w:left w:val="none" w:sz="0" w:space="0" w:color="auto"/>
        <w:bottom w:val="none" w:sz="0" w:space="0" w:color="auto"/>
        <w:right w:val="none" w:sz="0" w:space="0" w:color="auto"/>
      </w:divBdr>
    </w:div>
    <w:div w:id="641426466">
      <w:marLeft w:val="0"/>
      <w:marRight w:val="0"/>
      <w:marTop w:val="0"/>
      <w:marBottom w:val="0"/>
      <w:divBdr>
        <w:top w:val="none" w:sz="0" w:space="0" w:color="auto"/>
        <w:left w:val="none" w:sz="0" w:space="0" w:color="auto"/>
        <w:bottom w:val="none" w:sz="0" w:space="0" w:color="auto"/>
        <w:right w:val="none" w:sz="0" w:space="0" w:color="auto"/>
      </w:divBdr>
    </w:div>
    <w:div w:id="641426467">
      <w:marLeft w:val="0"/>
      <w:marRight w:val="0"/>
      <w:marTop w:val="0"/>
      <w:marBottom w:val="0"/>
      <w:divBdr>
        <w:top w:val="none" w:sz="0" w:space="0" w:color="auto"/>
        <w:left w:val="none" w:sz="0" w:space="0" w:color="auto"/>
        <w:bottom w:val="none" w:sz="0" w:space="0" w:color="auto"/>
        <w:right w:val="none" w:sz="0" w:space="0" w:color="auto"/>
      </w:divBdr>
    </w:div>
    <w:div w:id="13107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esb.org/misc/membership_changes_2014_103114.docx" TargetMode="External"/><Relationship Id="rId18" Type="http://schemas.openxmlformats.org/officeDocument/2006/relationships/hyperlink" Target="https://www.naesb.org/misc/naesb_proposed_resolution_pc110714_removal_board_members.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aesb.org/pdf4/bd121114a6.docx" TargetMode="External"/><Relationship Id="rId7" Type="http://schemas.openxmlformats.org/officeDocument/2006/relationships/footnotes" Target="footnotes.xml"/><Relationship Id="rId12" Type="http://schemas.openxmlformats.org/officeDocument/2006/relationships/hyperlink" Target="https://www.naesb.org/misc/membership_financial_report_oct_2014.pdf" TargetMode="External"/><Relationship Id="rId17" Type="http://schemas.openxmlformats.org/officeDocument/2006/relationships/hyperlink" Target="https://www.naesb.org/misc/proposed_resolution_amendments_aca_process_cpc112414.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esb.org/misc/proposed_resolution_eir_fee_increase_mc112014.doc" TargetMode="External"/><Relationship Id="rId20" Type="http://schemas.openxmlformats.org/officeDocument/2006/relationships/hyperlink" Target="https://www.naesb.org//pdf4/bd121114a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wgq_ec102314a2.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naesb.org/misc/naesb_proposed_resolution_pc082814_retail_restructuring.doc" TargetMode="External"/><Relationship Id="rId23" Type="http://schemas.openxmlformats.org/officeDocument/2006/relationships/hyperlink" Target="https://www.naesb.org/pdf4/bd121114a8.docx" TargetMode="External"/><Relationship Id="rId10" Type="http://schemas.openxmlformats.org/officeDocument/2006/relationships/hyperlink" Target="https://www.naesb.org/pdf4/bd091114dm.docx" TargetMode="External"/><Relationship Id="rId19" Type="http://schemas.openxmlformats.org/officeDocument/2006/relationships/hyperlink" Target="https://www.naesb.org//pdf4/bd121114a5.docx" TargetMode="External"/><Relationship Id="rId4" Type="http://schemas.microsoft.com/office/2007/relationships/stylesWithEffects" Target="stylesWithEffects.xml"/><Relationship Id="rId9" Type="http://schemas.openxmlformats.org/officeDocument/2006/relationships/hyperlink" Target="https://www.naesb.org/pdf4/bd121114a.docx" TargetMode="External"/><Relationship Id="rId14" Type="http://schemas.openxmlformats.org/officeDocument/2006/relationships/hyperlink" Target="https://www.naesb.org/misc/naesb_draft_2015_budget.pdf" TargetMode="External"/><Relationship Id="rId22" Type="http://schemas.openxmlformats.org/officeDocument/2006/relationships/hyperlink" Target="https://www.naesb.org/pdf4/bd121114a7.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4456-E451-4CFB-A614-31617E07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4014</Words>
  <Characters>22882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2014-10-28T14:29:00Z</cp:lastPrinted>
  <dcterms:created xsi:type="dcterms:W3CDTF">2015-01-15T17:21:00Z</dcterms:created>
  <dcterms:modified xsi:type="dcterms:W3CDTF">2015-01-15T17:21:00Z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