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5E0AA" w14:textId="0D8C1817" w:rsidR="00601677" w:rsidRDefault="00601677" w:rsidP="00601677">
      <w:pPr>
        <w:rPr>
          <w:rFonts w:eastAsia="Times New Roman"/>
        </w:rPr>
      </w:pPr>
      <w:bookmarkStart w:id="0" w:name="_MailOriginal"/>
      <w:r>
        <w:rPr>
          <w:rFonts w:eastAsia="Times New Roman"/>
          <w:b/>
          <w:bCs/>
        </w:rPr>
        <w:t>From:</w:t>
      </w:r>
      <w:r>
        <w:rPr>
          <w:rFonts w:eastAsia="Times New Roman"/>
        </w:rPr>
        <w:t xml:space="preserve"> Keith Sappenfield</w:t>
      </w:r>
      <w:r>
        <w:rPr>
          <w:rFonts w:eastAsia="Times New Roman"/>
        </w:rPr>
        <w:t>, Cheniere</w:t>
      </w:r>
      <w:r>
        <w:rPr>
          <w:rFonts w:eastAsia="Times New Roman"/>
        </w:rPr>
        <w:br/>
      </w:r>
      <w:r>
        <w:rPr>
          <w:rFonts w:eastAsia="Times New Roman"/>
          <w:b/>
          <w:bCs/>
        </w:rPr>
        <w:t>Sent:</w:t>
      </w:r>
      <w:r>
        <w:rPr>
          <w:rFonts w:eastAsia="Times New Roman"/>
        </w:rPr>
        <w:t xml:space="preserve"> Friday, August 13, 2021 12:09 PM</w:t>
      </w:r>
      <w:r>
        <w:rPr>
          <w:rFonts w:eastAsia="Times New Roman"/>
        </w:rPr>
        <w:br/>
      </w:r>
      <w:r>
        <w:rPr>
          <w:rFonts w:eastAsia="Times New Roman"/>
          <w:b/>
          <w:bCs/>
        </w:rPr>
        <w:t>Subject:</w:t>
      </w:r>
      <w:r>
        <w:rPr>
          <w:rFonts w:eastAsia="Times New Roman"/>
        </w:rPr>
        <w:t xml:space="preserve"> Comments on REC Base Contract and FAQs</w:t>
      </w:r>
    </w:p>
    <w:p w14:paraId="1F98BEFD" w14:textId="77777777" w:rsidR="00601677" w:rsidRDefault="00601677" w:rsidP="00601677"/>
    <w:p w14:paraId="41E3B299" w14:textId="77777777" w:rsidR="00601677" w:rsidRDefault="00601677" w:rsidP="00601677">
      <w:r>
        <w:t>Dear Dick, Mary et al:</w:t>
      </w:r>
    </w:p>
    <w:p w14:paraId="57476462" w14:textId="77777777" w:rsidR="00601677" w:rsidRDefault="00601677" w:rsidP="00601677"/>
    <w:p w14:paraId="68E2E468" w14:textId="77777777" w:rsidR="00601677" w:rsidRDefault="00601677" w:rsidP="00601677">
      <w:r>
        <w:t>I attach the proposed REC Base Contract and FAQs with my suggested edits and comments.  My suggested edits and comments include:</w:t>
      </w:r>
    </w:p>
    <w:p w14:paraId="63615DB2" w14:textId="77777777" w:rsidR="00601677" w:rsidRDefault="00601677" w:rsidP="00601677">
      <w:pPr>
        <w:pStyle w:val="ListParagraph"/>
        <w:numPr>
          <w:ilvl w:val="0"/>
          <w:numId w:val="1"/>
        </w:numPr>
        <w:rPr>
          <w:rFonts w:eastAsia="Times New Roman"/>
        </w:rPr>
      </w:pPr>
      <w:r>
        <w:rPr>
          <w:rFonts w:eastAsia="Times New Roman"/>
        </w:rPr>
        <w:t xml:space="preserve">Renaming “Base Contract” to “REC Base Contract” </w:t>
      </w:r>
      <w:proofErr w:type="spellStart"/>
      <w:r>
        <w:rPr>
          <w:rFonts w:eastAsia="Times New Roman"/>
        </w:rPr>
        <w:t>through out</w:t>
      </w:r>
      <w:proofErr w:type="spellEnd"/>
      <w:r>
        <w:rPr>
          <w:rFonts w:eastAsia="Times New Roman"/>
        </w:rPr>
        <w:t xml:space="preserve"> the REC Base Contract to be consistent with the subcommittee’s discussion on August 3, 2021 and the FAQ updates.</w:t>
      </w:r>
    </w:p>
    <w:p w14:paraId="29544F6E" w14:textId="77777777" w:rsidR="00601677" w:rsidRDefault="00601677" w:rsidP="00601677">
      <w:pPr>
        <w:pStyle w:val="ListParagraph"/>
        <w:numPr>
          <w:ilvl w:val="0"/>
          <w:numId w:val="1"/>
        </w:numPr>
        <w:rPr>
          <w:rFonts w:eastAsia="Times New Roman"/>
        </w:rPr>
      </w:pPr>
      <w:r>
        <w:rPr>
          <w:rFonts w:eastAsia="Times New Roman"/>
        </w:rPr>
        <w:t>REC Base Contract:</w:t>
      </w:r>
    </w:p>
    <w:p w14:paraId="2277F9AB" w14:textId="77777777" w:rsidR="00601677" w:rsidRDefault="00601677" w:rsidP="00601677">
      <w:pPr>
        <w:pStyle w:val="ListParagraph"/>
        <w:numPr>
          <w:ilvl w:val="1"/>
          <w:numId w:val="1"/>
        </w:numPr>
        <w:rPr>
          <w:rFonts w:eastAsia="Times New Roman"/>
        </w:rPr>
      </w:pPr>
      <w:r>
        <w:rPr>
          <w:rFonts w:eastAsia="Times New Roman"/>
        </w:rPr>
        <w:t>Reorganization of page 2 of 15 to delete extraneous spaces;</w:t>
      </w:r>
    </w:p>
    <w:p w14:paraId="6FB1CC44" w14:textId="77777777" w:rsidR="00601677" w:rsidRDefault="00601677" w:rsidP="00601677">
      <w:pPr>
        <w:pStyle w:val="ListParagraph"/>
        <w:numPr>
          <w:ilvl w:val="1"/>
          <w:numId w:val="1"/>
        </w:numPr>
        <w:rPr>
          <w:rFonts w:eastAsia="Times New Roman"/>
        </w:rPr>
      </w:pPr>
      <w:r>
        <w:rPr>
          <w:rFonts w:eastAsia="Times New Roman"/>
        </w:rPr>
        <w:t>Section 1.1 – correct reference for definition of Contract from 2.13 to 2.14;</w:t>
      </w:r>
    </w:p>
    <w:p w14:paraId="12F640EC" w14:textId="77777777" w:rsidR="00601677" w:rsidRDefault="00601677" w:rsidP="00601677">
      <w:pPr>
        <w:pStyle w:val="ListParagraph"/>
        <w:numPr>
          <w:ilvl w:val="1"/>
          <w:numId w:val="1"/>
        </w:numPr>
        <w:rPr>
          <w:rFonts w:eastAsia="Times New Roman"/>
        </w:rPr>
      </w:pPr>
      <w:r>
        <w:rPr>
          <w:rFonts w:eastAsia="Times New Roman"/>
        </w:rPr>
        <w:t xml:space="preserve">Section 4.3 – last sentence:  appears that </w:t>
      </w:r>
      <w:r>
        <w:rPr>
          <w:rFonts w:eastAsia="Times New Roman"/>
          <w:b/>
          <w:bCs/>
          <w:u w:val="single"/>
        </w:rPr>
        <w:t>Seller</w:t>
      </w:r>
      <w:r>
        <w:rPr>
          <w:rFonts w:eastAsia="Times New Roman"/>
          <w:u w:val="single"/>
        </w:rPr>
        <w:t xml:space="preserve"> </w:t>
      </w:r>
      <w:r>
        <w:rPr>
          <w:rFonts w:eastAsia="Times New Roman"/>
        </w:rPr>
        <w:t xml:space="preserve">at end of sentence should be </w:t>
      </w:r>
      <w:r>
        <w:rPr>
          <w:rFonts w:eastAsia="Times New Roman"/>
          <w:b/>
          <w:bCs/>
          <w:u w:val="single"/>
        </w:rPr>
        <w:t>Buyer;</w:t>
      </w:r>
    </w:p>
    <w:p w14:paraId="0C2546B9" w14:textId="77777777" w:rsidR="00601677" w:rsidRDefault="00601677" w:rsidP="00601677">
      <w:pPr>
        <w:pStyle w:val="ListParagraph"/>
        <w:numPr>
          <w:ilvl w:val="1"/>
          <w:numId w:val="1"/>
        </w:numPr>
        <w:rPr>
          <w:rFonts w:eastAsia="Times New Roman"/>
        </w:rPr>
      </w:pPr>
      <w:r>
        <w:rPr>
          <w:rFonts w:eastAsia="Times New Roman"/>
        </w:rPr>
        <w:t xml:space="preserve">Section 5.0 – Second sentence should </w:t>
      </w:r>
      <w:proofErr w:type="gramStart"/>
      <w:r>
        <w:rPr>
          <w:rFonts w:eastAsia="Times New Roman"/>
        </w:rPr>
        <w:t>rewritten</w:t>
      </w:r>
      <w:proofErr w:type="gramEnd"/>
      <w:r>
        <w:rPr>
          <w:rFonts w:eastAsia="Times New Roman"/>
        </w:rPr>
        <w:t xml:space="preserve"> to eliminate possible dual responsibility for taxes at Delivery, otherwise first sentence with tax responsibly “prior to and including Delivery” e.g. at Delivery would mean dual responsibility with Buyer “at or” Delivery in second sentence;  </w:t>
      </w:r>
    </w:p>
    <w:p w14:paraId="0D16E866" w14:textId="77777777" w:rsidR="00601677" w:rsidRDefault="00601677" w:rsidP="00601677">
      <w:pPr>
        <w:pStyle w:val="ListParagraph"/>
        <w:numPr>
          <w:ilvl w:val="1"/>
          <w:numId w:val="1"/>
        </w:numPr>
        <w:rPr>
          <w:rFonts w:eastAsia="Times New Roman"/>
        </w:rPr>
      </w:pPr>
      <w:r>
        <w:rPr>
          <w:rFonts w:eastAsia="Times New Roman"/>
        </w:rPr>
        <w:t>Section 6.7 – correct reference from 6.8 to 6.7 on second line;</w:t>
      </w:r>
    </w:p>
    <w:p w14:paraId="42DE4594" w14:textId="77777777" w:rsidR="00601677" w:rsidRDefault="00601677" w:rsidP="00601677">
      <w:pPr>
        <w:pStyle w:val="ListParagraph"/>
        <w:numPr>
          <w:ilvl w:val="1"/>
          <w:numId w:val="1"/>
        </w:numPr>
        <w:rPr>
          <w:rFonts w:eastAsia="Times New Roman"/>
        </w:rPr>
      </w:pPr>
      <w:r>
        <w:rPr>
          <w:rFonts w:eastAsia="Times New Roman"/>
        </w:rPr>
        <w:t>Section 7.1 – revised 3</w:t>
      </w:r>
      <w:r>
        <w:rPr>
          <w:rFonts w:eastAsia="Times New Roman"/>
          <w:vertAlign w:val="superscript"/>
        </w:rPr>
        <w:t>rd</w:t>
      </w:r>
      <w:r>
        <w:rPr>
          <w:rFonts w:eastAsia="Times New Roman"/>
        </w:rPr>
        <w:t xml:space="preserve"> sentence to clarify when liability is transferred from Seller to Buyer.  This is similar to transfer of tax responsibilities under Section 5; </w:t>
      </w:r>
    </w:p>
    <w:p w14:paraId="64202544" w14:textId="77777777" w:rsidR="00601677" w:rsidRDefault="00601677" w:rsidP="00601677">
      <w:pPr>
        <w:pStyle w:val="ListParagraph"/>
        <w:numPr>
          <w:ilvl w:val="1"/>
          <w:numId w:val="1"/>
        </w:numPr>
        <w:rPr>
          <w:rFonts w:eastAsia="Times New Roman"/>
        </w:rPr>
      </w:pPr>
      <w:r>
        <w:rPr>
          <w:rFonts w:eastAsia="Times New Roman"/>
        </w:rPr>
        <w:t xml:space="preserve">Section 14.13 – correct punctuation for section a), b), c) and d);  </w:t>
      </w:r>
    </w:p>
    <w:p w14:paraId="40428E20" w14:textId="77777777" w:rsidR="00601677" w:rsidRDefault="00601677" w:rsidP="00601677">
      <w:pPr>
        <w:pStyle w:val="ListParagraph"/>
        <w:numPr>
          <w:ilvl w:val="1"/>
          <w:numId w:val="1"/>
        </w:numPr>
        <w:rPr>
          <w:rFonts w:eastAsia="Times New Roman"/>
        </w:rPr>
      </w:pPr>
      <w:r>
        <w:rPr>
          <w:rFonts w:eastAsia="Times New Roman"/>
        </w:rPr>
        <w:t>Exhibit B – second line remove bold of year the Transaction Confirmation Date; and</w:t>
      </w:r>
    </w:p>
    <w:p w14:paraId="54533518" w14:textId="77777777" w:rsidR="00601677" w:rsidRDefault="00601677" w:rsidP="00601677">
      <w:pPr>
        <w:pStyle w:val="ListParagraph"/>
        <w:numPr>
          <w:ilvl w:val="1"/>
          <w:numId w:val="1"/>
        </w:numPr>
        <w:rPr>
          <w:rFonts w:eastAsia="Times New Roman"/>
        </w:rPr>
      </w:pPr>
      <w:proofErr w:type="spellStart"/>
      <w:r>
        <w:rPr>
          <w:rFonts w:eastAsia="Times New Roman"/>
        </w:rPr>
        <w:t>Through out</w:t>
      </w:r>
      <w:proofErr w:type="spellEnd"/>
      <w:r>
        <w:rPr>
          <w:rFonts w:eastAsia="Times New Roman"/>
        </w:rPr>
        <w:t xml:space="preserve"> REC Base </w:t>
      </w:r>
      <w:proofErr w:type="gramStart"/>
      <w:r>
        <w:rPr>
          <w:rFonts w:eastAsia="Times New Roman"/>
        </w:rPr>
        <w:t>Contract</w:t>
      </w:r>
      <w:proofErr w:type="gramEnd"/>
      <w:r>
        <w:rPr>
          <w:rFonts w:eastAsia="Times New Roman"/>
        </w:rPr>
        <w:t xml:space="preserve"> I also performed minor editing related to insertion of commas, addition of spaces between sentences, deleted double spaces between words, and corrected tabs.</w:t>
      </w:r>
    </w:p>
    <w:p w14:paraId="1728C0E6" w14:textId="77777777" w:rsidR="00601677" w:rsidRDefault="00601677" w:rsidP="00601677">
      <w:pPr>
        <w:pStyle w:val="ListParagraph"/>
        <w:numPr>
          <w:ilvl w:val="0"/>
          <w:numId w:val="1"/>
        </w:numPr>
        <w:rPr>
          <w:rFonts w:eastAsia="Times New Roman"/>
        </w:rPr>
      </w:pPr>
      <w:r>
        <w:rPr>
          <w:rFonts w:eastAsia="Times New Roman"/>
        </w:rPr>
        <w:t>FAQs:</w:t>
      </w:r>
    </w:p>
    <w:p w14:paraId="117CEF9B" w14:textId="77777777" w:rsidR="00601677" w:rsidRDefault="00601677" w:rsidP="00601677">
      <w:pPr>
        <w:pStyle w:val="ListParagraph"/>
        <w:numPr>
          <w:ilvl w:val="1"/>
          <w:numId w:val="1"/>
        </w:numPr>
        <w:rPr>
          <w:rFonts w:eastAsia="Times New Roman"/>
        </w:rPr>
      </w:pPr>
      <w:r>
        <w:rPr>
          <w:rFonts w:eastAsia="Times New Roman"/>
        </w:rPr>
        <w:t xml:space="preserve">Q 4 and Q5 – Added phrase “General Terms and Conditions of the” to clarify that only in case where a party modifies the REC Base Contract’s General Terms and Conditions should the watermark be </w:t>
      </w:r>
      <w:proofErr w:type="gramStart"/>
      <w:r>
        <w:rPr>
          <w:rFonts w:eastAsia="Times New Roman"/>
        </w:rPr>
        <w:t>removed.</w:t>
      </w:r>
      <w:proofErr w:type="gramEnd"/>
      <w:r>
        <w:rPr>
          <w:rFonts w:eastAsia="Times New Roman"/>
        </w:rPr>
        <w:t xml:space="preserve">  A party can modify the General Terms and Conditions without removing the watermark, if, and only if, such modification is accomplished using Special Provisions to the Base Contract or Special Conditions to the Transaction Confirmation;  </w:t>
      </w:r>
    </w:p>
    <w:p w14:paraId="0100BBB2" w14:textId="77777777" w:rsidR="00601677" w:rsidRDefault="00601677" w:rsidP="00601677">
      <w:pPr>
        <w:pStyle w:val="ListParagraph"/>
        <w:numPr>
          <w:ilvl w:val="1"/>
          <w:numId w:val="1"/>
        </w:numPr>
        <w:rPr>
          <w:rFonts w:eastAsia="Times New Roman"/>
        </w:rPr>
      </w:pPr>
      <w:r>
        <w:rPr>
          <w:rFonts w:eastAsia="Times New Roman"/>
        </w:rPr>
        <w:t>Q14 – suggested clarification on Exhibit A Confirmation and Exhibit B Attestation;</w:t>
      </w:r>
    </w:p>
    <w:p w14:paraId="142D397D" w14:textId="77777777" w:rsidR="00601677" w:rsidRDefault="00601677" w:rsidP="00601677">
      <w:pPr>
        <w:pStyle w:val="ListParagraph"/>
        <w:numPr>
          <w:ilvl w:val="1"/>
          <w:numId w:val="1"/>
        </w:numPr>
        <w:rPr>
          <w:rFonts w:eastAsia="Times New Roman"/>
        </w:rPr>
      </w:pPr>
      <w:r>
        <w:rPr>
          <w:rFonts w:eastAsia="Times New Roman"/>
        </w:rPr>
        <w:t xml:space="preserve">Q15 – suggested clarifying phrase “legal or regulatory” prior to concepts; and  </w:t>
      </w:r>
    </w:p>
    <w:p w14:paraId="26032F21" w14:textId="77777777" w:rsidR="00601677" w:rsidRDefault="00601677" w:rsidP="00601677">
      <w:pPr>
        <w:pStyle w:val="ListParagraph"/>
        <w:numPr>
          <w:ilvl w:val="1"/>
          <w:numId w:val="1"/>
        </w:numPr>
        <w:rPr>
          <w:rFonts w:eastAsia="Times New Roman"/>
        </w:rPr>
      </w:pPr>
      <w:r>
        <w:rPr>
          <w:rFonts w:eastAsia="Times New Roman"/>
        </w:rPr>
        <w:t>There are several instances of minor edits related to related to insertion of commas, addition of spaces between sentences, deleted double spaces between words, and corrected tabs.</w:t>
      </w:r>
    </w:p>
    <w:p w14:paraId="6333C53D" w14:textId="77777777" w:rsidR="00601677" w:rsidRDefault="00601677" w:rsidP="00601677"/>
    <w:p w14:paraId="542298DA" w14:textId="77777777" w:rsidR="00601677" w:rsidRDefault="00601677" w:rsidP="00601677">
      <w:r>
        <w:t>I am available to discuss my suggested edits and comments at your convenience.</w:t>
      </w:r>
    </w:p>
    <w:p w14:paraId="4E4EC3B4" w14:textId="77777777" w:rsidR="00601677" w:rsidRDefault="00601677" w:rsidP="00601677"/>
    <w:p w14:paraId="3EB6A86F" w14:textId="77777777" w:rsidR="00601677" w:rsidRDefault="00601677" w:rsidP="00601677">
      <w:r>
        <w:t>Thanks</w:t>
      </w:r>
    </w:p>
    <w:p w14:paraId="00686E37" w14:textId="77777777" w:rsidR="00601677" w:rsidRDefault="00601677" w:rsidP="00601677">
      <w:r>
        <w:t>Keith</w:t>
      </w:r>
    </w:p>
    <w:p w14:paraId="4158D6D3" w14:textId="77777777" w:rsidR="00601677" w:rsidRDefault="00601677" w:rsidP="00601677"/>
    <w:p w14:paraId="083621E4" w14:textId="77777777" w:rsidR="00601677" w:rsidRDefault="00601677" w:rsidP="00601677">
      <w:pPr>
        <w:rPr>
          <w:rFonts w:ascii="Arial" w:hAnsi="Arial" w:cs="Arial"/>
          <w:b/>
          <w:bCs/>
          <w:color w:val="0070C0"/>
          <w:sz w:val="18"/>
          <w:szCs w:val="18"/>
        </w:rPr>
      </w:pPr>
      <w:r>
        <w:rPr>
          <w:rFonts w:ascii="Arial" w:hAnsi="Arial" w:cs="Arial"/>
          <w:b/>
          <w:bCs/>
          <w:color w:val="0070C0"/>
          <w:sz w:val="18"/>
          <w:szCs w:val="18"/>
        </w:rPr>
        <w:t>Keith M. Sappenfield, II</w:t>
      </w:r>
    </w:p>
    <w:p w14:paraId="1FBEE366" w14:textId="77777777" w:rsidR="00601677" w:rsidRDefault="00601677" w:rsidP="00601677">
      <w:pPr>
        <w:rPr>
          <w:rFonts w:ascii="Arial" w:hAnsi="Arial" w:cs="Arial"/>
          <w:b/>
          <w:bCs/>
          <w:color w:val="0070C0"/>
          <w:sz w:val="18"/>
          <w:szCs w:val="18"/>
        </w:rPr>
      </w:pPr>
      <w:r>
        <w:rPr>
          <w:rFonts w:ascii="Arial" w:hAnsi="Arial" w:cs="Arial"/>
          <w:b/>
          <w:bCs/>
          <w:color w:val="0070C0"/>
          <w:sz w:val="18"/>
          <w:szCs w:val="18"/>
        </w:rPr>
        <w:t>Manager, Regulatory Project Strategy</w:t>
      </w:r>
    </w:p>
    <w:p w14:paraId="557DFF4F" w14:textId="77777777" w:rsidR="00601677" w:rsidRDefault="00601677" w:rsidP="00601677">
      <w:pPr>
        <w:rPr>
          <w:rFonts w:ascii="Arial" w:hAnsi="Arial" w:cs="Arial"/>
          <w:color w:val="1F497D"/>
          <w:sz w:val="18"/>
          <w:szCs w:val="18"/>
        </w:rPr>
      </w:pPr>
      <w:r>
        <w:rPr>
          <w:rFonts w:ascii="Arial" w:hAnsi="Arial" w:cs="Arial"/>
          <w:b/>
          <w:bCs/>
          <w:color w:val="1F497D"/>
          <w:sz w:val="18"/>
          <w:szCs w:val="18"/>
        </w:rPr>
        <w:t>Cheniere Energy, Inc</w:t>
      </w:r>
      <w:r>
        <w:rPr>
          <w:rFonts w:ascii="Arial" w:hAnsi="Arial" w:cs="Arial"/>
          <w:color w:val="1F497D"/>
          <w:sz w:val="18"/>
          <w:szCs w:val="18"/>
        </w:rPr>
        <w:t>.</w:t>
      </w:r>
    </w:p>
    <w:p w14:paraId="5DB84A19" w14:textId="77777777" w:rsidR="00601677" w:rsidRDefault="00601677" w:rsidP="00601677">
      <w:pPr>
        <w:rPr>
          <w:rFonts w:ascii="Arial" w:hAnsi="Arial" w:cs="Arial"/>
          <w:color w:val="1F497D"/>
          <w:sz w:val="18"/>
          <w:szCs w:val="18"/>
        </w:rPr>
      </w:pPr>
      <w:r>
        <w:rPr>
          <w:rFonts w:ascii="Arial" w:hAnsi="Arial" w:cs="Arial"/>
          <w:color w:val="1F497D"/>
          <w:sz w:val="18"/>
          <w:szCs w:val="18"/>
        </w:rPr>
        <w:t>700 Milam, Suite 1900</w:t>
      </w:r>
    </w:p>
    <w:p w14:paraId="01FF771B" w14:textId="77777777" w:rsidR="00601677" w:rsidRDefault="00601677" w:rsidP="00601677">
      <w:pPr>
        <w:rPr>
          <w:rFonts w:ascii="Arial" w:hAnsi="Arial" w:cs="Arial"/>
          <w:color w:val="1F497D"/>
          <w:sz w:val="18"/>
          <w:szCs w:val="18"/>
        </w:rPr>
      </w:pPr>
      <w:r>
        <w:rPr>
          <w:rFonts w:ascii="Arial" w:hAnsi="Arial" w:cs="Arial"/>
          <w:color w:val="1F497D"/>
          <w:sz w:val="18"/>
          <w:szCs w:val="18"/>
        </w:rPr>
        <w:t>Houston, TX 77002</w:t>
      </w:r>
      <w:bookmarkEnd w:id="0"/>
    </w:p>
    <w:sectPr w:rsidR="00601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EA0E67"/>
    <w:multiLevelType w:val="hybridMultilevel"/>
    <w:tmpl w:val="E280E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677"/>
    <w:rsid w:val="004B4AC8"/>
    <w:rsid w:val="00601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57CB8"/>
  <w15:chartTrackingRefBased/>
  <w15:docId w15:val="{846FEA0C-2A11-4539-916A-97B014A2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67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1677"/>
    <w:rPr>
      <w:color w:val="0563C1"/>
      <w:u w:val="single"/>
    </w:rPr>
  </w:style>
  <w:style w:type="paragraph" w:styleId="ListParagraph">
    <w:name w:val="List Paragraph"/>
    <w:basedOn w:val="Normal"/>
    <w:uiPriority w:val="34"/>
    <w:qFormat/>
    <w:rsid w:val="0060167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7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1</cp:revision>
  <dcterms:created xsi:type="dcterms:W3CDTF">2021-08-16T13:57:00Z</dcterms:created>
  <dcterms:modified xsi:type="dcterms:W3CDTF">2021-08-16T13:58:00Z</dcterms:modified>
</cp:coreProperties>
</file>