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0108B6C9"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FA60A9">
              <w:rPr>
                <w:rFonts w:ascii="Times New Roman" w:hAnsi="Times New Roman"/>
                <w:b/>
                <w:sz w:val="18"/>
                <w:szCs w:val="18"/>
              </w:rPr>
              <w:t>6</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20EC2CB7"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FA60A9">
              <w:rPr>
                <w:rFonts w:ascii="Times New Roman" w:hAnsi="Times New Roman"/>
                <w:b/>
                <w:sz w:val="18"/>
                <w:szCs w:val="18"/>
              </w:rPr>
              <w:t>Proposed by the RMQ Annual Plan Subcommittee on October 8, 2025</w:t>
            </w:r>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C25440">
            <w:pPr>
              <w:pStyle w:val="TableText"/>
              <w:spacing w:before="60" w:after="60"/>
              <w:ind w:left="-18"/>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C25440">
            <w:pPr>
              <w:pStyle w:val="TableText"/>
              <w:spacing w:before="60" w:after="60"/>
              <w:ind w:left="-36"/>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7144A19A" w:rsidR="00B13449" w:rsidRDefault="00FA60A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 xml:space="preserve">Cybersecurity and </w:t>
            </w:r>
            <w:r w:rsidR="00B13449">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5164094F"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w:t>
            </w:r>
            <w:r w:rsidR="00453568">
              <w:rPr>
                <w:rFonts w:ascii="Times New Roman" w:hAnsi="Times New Roman"/>
                <w:sz w:val="18"/>
                <w:szCs w:val="18"/>
              </w:rPr>
              <w:t xml:space="preserve">and Quadrant-Specific Electronic Delivery Mechanism Model Business Practices, </w:t>
            </w:r>
            <w:r w:rsidR="00DE0CD8" w:rsidRPr="00EE7CA6">
              <w:rPr>
                <w:rFonts w:ascii="Times New Roman" w:hAnsi="Times New Roman"/>
                <w:sz w:val="18"/>
                <w:szCs w:val="18"/>
              </w:rPr>
              <w:t xml:space="preserve">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259" w:type="dxa"/>
          </w:tcPr>
          <w:p w14:paraId="676AB81E" w14:textId="4530353F" w:rsidR="00BD44BA" w:rsidRDefault="00FA60A9"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FA60A9">
              <w:rPr>
                <w:rFonts w:ascii="Times New Roman" w:hAnsi="Times New Roman"/>
                <w:sz w:val="18"/>
                <w:szCs w:val="18"/>
                <w:vertAlign w:val="superscript"/>
              </w:rPr>
              <w:t>rd</w:t>
            </w:r>
            <w:r>
              <w:rPr>
                <w:rFonts w:ascii="Times New Roman" w:hAnsi="Times New Roman"/>
                <w:sz w:val="18"/>
                <w:szCs w:val="18"/>
              </w:rPr>
              <w:t xml:space="preserve"> Q, </w:t>
            </w:r>
            <w:r w:rsidR="00A44A18">
              <w:rPr>
                <w:rFonts w:ascii="Times New Roman" w:hAnsi="Times New Roman"/>
                <w:sz w:val="18"/>
                <w:szCs w:val="18"/>
              </w:rPr>
              <w:t>202</w:t>
            </w:r>
            <w:r>
              <w:rPr>
                <w:rFonts w:ascii="Times New Roman" w:hAnsi="Times New Roman"/>
                <w:sz w:val="18"/>
                <w:szCs w:val="18"/>
              </w:rPr>
              <w:t>6</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9C0301" w14:paraId="034D366B" w14:textId="77777777" w:rsidTr="005F2C07">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3BC98B52"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a</w:t>
            </w:r>
            <w:r w:rsidR="002414FC">
              <w:rPr>
                <w:rFonts w:ascii="Times New Roman" w:hAnsi="Times New Roman"/>
                <w:sz w:val="18"/>
                <w:szCs w:val="18"/>
              </w:rPr>
              <w:t>)</w:t>
            </w:r>
          </w:p>
        </w:tc>
        <w:tc>
          <w:tcPr>
            <w:tcW w:w="5421"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3DF2A70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Started</w:t>
            </w:r>
          </w:p>
        </w:tc>
        <w:tc>
          <w:tcPr>
            <w:tcW w:w="1259" w:type="dxa"/>
          </w:tcPr>
          <w:p w14:paraId="791014EC" w14:textId="20FF6488"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5F2C07">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00C081D6"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b</w:t>
            </w:r>
            <w:r w:rsidR="002414FC">
              <w:rPr>
                <w:rFonts w:ascii="Times New Roman" w:hAnsi="Times New Roman"/>
                <w:sz w:val="18"/>
                <w:szCs w:val="18"/>
              </w:rPr>
              <w:t>)</w:t>
            </w:r>
          </w:p>
        </w:tc>
        <w:tc>
          <w:tcPr>
            <w:tcW w:w="5421"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3D3B0F16" w14:textId="7441ACB4"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5F0BC316" w14:textId="77777777"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p w14:paraId="1DBEA1FA" w14:textId="734EBBAE" w:rsidR="003442B6" w:rsidRDefault="003442B6" w:rsidP="000B1AF0">
            <w:pPr>
              <w:pStyle w:val="TableText"/>
              <w:spacing w:before="60" w:after="60"/>
              <w:jc w:val="center"/>
              <w:rPr>
                <w:rFonts w:ascii="Times New Roman" w:hAnsi="Times New Roman"/>
                <w:color w:val="auto"/>
                <w:sz w:val="18"/>
                <w:szCs w:val="18"/>
              </w:rPr>
            </w:pP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168B7DEA" w:rsidR="00BD44BA" w:rsidRDefault="00BD44BA" w:rsidP="00FF753C">
            <w:pPr>
              <w:spacing w:before="60" w:after="60"/>
              <w:ind w:left="144"/>
              <w:rPr>
                <w:sz w:val="18"/>
                <w:szCs w:val="18"/>
              </w:rPr>
            </w:pPr>
            <w:r>
              <w:rPr>
                <w:sz w:val="18"/>
                <w:szCs w:val="18"/>
              </w:rPr>
              <w:t xml:space="preserve">Consider the need for development of Model Business Practices to support the implementation of distributed </w:t>
            </w:r>
            <w:r w:rsidR="00F41B61">
              <w:rPr>
                <w:sz w:val="18"/>
                <w:szCs w:val="18"/>
              </w:rPr>
              <w:t>energy resources</w:t>
            </w:r>
            <w:r>
              <w:rPr>
                <w:sz w:val="18"/>
                <w:szCs w:val="18"/>
              </w:rPr>
              <w: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006A3714" w:rsidR="00BD44BA"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05CFAF2B"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2414FC">
              <w:rPr>
                <w:rFonts w:ascii="Times New Roman" w:hAnsi="Times New Roman"/>
                <w:color w:val="auto"/>
                <w:sz w:val="18"/>
                <w:szCs w:val="18"/>
              </w:rPr>
              <w:t>.</w:t>
            </w:r>
          </w:p>
        </w:tc>
        <w:tc>
          <w:tcPr>
            <w:tcW w:w="8640" w:type="dxa"/>
            <w:gridSpan w:val="3"/>
          </w:tcPr>
          <w:p w14:paraId="43BBCB3C" w14:textId="14081F5B" w:rsidR="002414FC" w:rsidRDefault="002414FC" w:rsidP="00FF753C">
            <w:pPr>
              <w:spacing w:before="60" w:after="60"/>
              <w:ind w:left="144"/>
              <w:rPr>
                <w:sz w:val="18"/>
                <w:szCs w:val="18"/>
              </w:rPr>
            </w:pPr>
            <w:r w:rsidRPr="002414FC">
              <w:rPr>
                <w:sz w:val="18"/>
                <w:szCs w:val="18"/>
              </w:rPr>
              <w:t xml:space="preserve">Consider and develop of business practices to support the integration of DER management </w:t>
            </w:r>
            <w:r w:rsidR="00FA60A9">
              <w:rPr>
                <w:sz w:val="18"/>
                <w:szCs w:val="18"/>
              </w:rPr>
              <w:t xml:space="preserve">systems </w:t>
            </w:r>
            <w:r w:rsidRPr="002414FC">
              <w:rPr>
                <w:sz w:val="18"/>
                <w:szCs w:val="18"/>
              </w:rPr>
              <w:t>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0B7FC13E"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2414FC">
              <w:rPr>
                <w:rFonts w:ascii="Times New Roman" w:hAnsi="Times New Roman"/>
                <w:color w:val="auto"/>
                <w:sz w:val="18"/>
                <w:szCs w:val="18"/>
              </w:rPr>
              <w:t>.</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6A21AB" w14:paraId="1794040D" w14:textId="77777777" w:rsidTr="005F2C07">
        <w:tc>
          <w:tcPr>
            <w:tcW w:w="360" w:type="dxa"/>
          </w:tcPr>
          <w:p w14:paraId="622D29CA" w14:textId="77777777" w:rsidR="006A21AB" w:rsidRDefault="006A21AB">
            <w:pPr>
              <w:pStyle w:val="TableText"/>
              <w:spacing w:before="60" w:after="60"/>
              <w:ind w:left="144"/>
              <w:rPr>
                <w:rFonts w:ascii="Times New Roman" w:hAnsi="Times New Roman"/>
                <w:color w:val="auto"/>
                <w:sz w:val="18"/>
                <w:szCs w:val="18"/>
              </w:rPr>
            </w:pPr>
          </w:p>
        </w:tc>
        <w:tc>
          <w:tcPr>
            <w:tcW w:w="450" w:type="dxa"/>
          </w:tcPr>
          <w:p w14:paraId="79A92590" w14:textId="5A8EF1F6" w:rsidR="006A21AB" w:rsidRDefault="00F41B61"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6912F6D4" w14:textId="5BE009DE" w:rsidR="006A21AB" w:rsidRDefault="00F41B61" w:rsidP="00FF753C">
            <w:pPr>
              <w:spacing w:before="60" w:after="60"/>
              <w:ind w:left="144"/>
              <w:rPr>
                <w:sz w:val="18"/>
                <w:szCs w:val="18"/>
              </w:rPr>
            </w:pPr>
            <w:r w:rsidRPr="001B65A0">
              <w:rPr>
                <w:bCs/>
                <w:sz w:val="18"/>
                <w:szCs w:val="18"/>
              </w:rPr>
              <w:t xml:space="preserve">Upon a request or as directed by NAESB Board or a relevant jurisdictional entity, </w:t>
            </w:r>
            <w:r>
              <w:rPr>
                <w:bCs/>
                <w:sz w:val="18"/>
                <w:szCs w:val="18"/>
              </w:rPr>
              <w:t xml:space="preserve">consider </w:t>
            </w:r>
            <w:r w:rsidRPr="001B65A0">
              <w:rPr>
                <w:bCs/>
                <w:sz w:val="18"/>
                <w:szCs w:val="18"/>
              </w:rPr>
              <w:t>develop</w:t>
            </w:r>
            <w:r>
              <w:rPr>
                <w:bCs/>
                <w:sz w:val="18"/>
                <w:szCs w:val="18"/>
              </w:rPr>
              <w:t>ing</w:t>
            </w:r>
            <w:r w:rsidRPr="001B65A0">
              <w:rPr>
                <w:bCs/>
                <w:sz w:val="18"/>
                <w:szCs w:val="18"/>
              </w:rPr>
              <w:t xml:space="preserve"> and/or modify</w:t>
            </w:r>
            <w:r>
              <w:rPr>
                <w:bCs/>
                <w:sz w:val="18"/>
                <w:szCs w:val="18"/>
              </w:rPr>
              <w:t>ing</w:t>
            </w:r>
            <w:r w:rsidRPr="001B65A0">
              <w:rPr>
                <w:bCs/>
                <w:sz w:val="18"/>
                <w:szCs w:val="18"/>
              </w:rPr>
              <w:t xml:space="preserve"> business practice standards that reflect best practices that will provide stronger operating reliability from production/supply/transport</w:t>
            </w:r>
            <w:r>
              <w:rPr>
                <w:bCs/>
                <w:sz w:val="18"/>
                <w:szCs w:val="18"/>
              </w:rPr>
              <w:t>, for example,</w:t>
            </w:r>
            <w:r w:rsidRPr="001B65A0">
              <w:rPr>
                <w:bCs/>
                <w:sz w:val="18"/>
                <w:szCs w:val="18"/>
              </w:rPr>
              <w:t xml:space="preserve"> during extreme weather conditions</w:t>
            </w:r>
            <w:r>
              <w:rPr>
                <w:bCs/>
                <w:sz w:val="18"/>
                <w:szCs w:val="18"/>
              </w:rPr>
              <w:t>,</w:t>
            </w:r>
            <w:r w:rsidRPr="001B65A0">
              <w:rPr>
                <w:bCs/>
                <w:sz w:val="18"/>
                <w:szCs w:val="18"/>
              </w:rPr>
              <w:t xml:space="preserve"> and more clear communications and business processes around force majeure declarations during critical operating periods.</w:t>
            </w:r>
          </w:p>
        </w:tc>
      </w:tr>
      <w:tr w:rsidR="00700630" w14:paraId="2E0095FE" w14:textId="77777777" w:rsidTr="005F2C07">
        <w:tc>
          <w:tcPr>
            <w:tcW w:w="9450" w:type="dxa"/>
            <w:gridSpan w:val="5"/>
          </w:tcPr>
          <w:p w14:paraId="20F6900A" w14:textId="5FAA20BA" w:rsidR="00700630" w:rsidRDefault="00700630" w:rsidP="00EF229B">
            <w:pPr>
              <w:pStyle w:val="TableText"/>
              <w:tabs>
                <w:tab w:val="center" w:pos="4744"/>
              </w:tabs>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r w:rsidR="00EF229B">
              <w:rPr>
                <w:rFonts w:ascii="Times New Roman" w:hAnsi="Times New Roman"/>
                <w:b/>
                <w:color w:val="auto"/>
                <w:sz w:val="18"/>
                <w:szCs w:val="18"/>
              </w:rPr>
              <w:tab/>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0EF51254" w:rsidR="00C57D9C" w:rsidRPr="00F81BFC" w:rsidRDefault="00990B31" w:rsidP="00E516C7">
      <w:pPr>
        <w:keepNext/>
        <w:keepLines/>
        <w:rPr>
          <w:b/>
          <w:bCs/>
          <w:sz w:val="18"/>
          <w:szCs w:val="18"/>
        </w:rPr>
      </w:pPr>
      <w:bookmarkStart w:id="0" w:name="_Hlk115433854"/>
      <w:r w:rsidRPr="00F81BFC">
        <w:rPr>
          <w:b/>
          <w:bCs/>
          <w:sz w:val="18"/>
          <w:szCs w:val="18"/>
        </w:rPr>
        <w:lastRenderedPageBreak/>
        <w:t xml:space="preserve">NAESB </w:t>
      </w:r>
      <w:r w:rsidR="00902B1A" w:rsidRPr="00F81BFC">
        <w:rPr>
          <w:b/>
          <w:bCs/>
          <w:sz w:val="18"/>
          <w:szCs w:val="18"/>
        </w:rPr>
        <w:t>202</w:t>
      </w:r>
      <w:r w:rsidR="00657F5C">
        <w:rPr>
          <w:b/>
          <w:bCs/>
          <w:sz w:val="18"/>
          <w:szCs w:val="18"/>
        </w:rPr>
        <w:t>6</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0"/>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2019" w14:textId="77777777" w:rsidR="00E25925" w:rsidRDefault="00E25925">
      <w:r>
        <w:separator/>
      </w:r>
    </w:p>
  </w:endnote>
  <w:endnote w:type="continuationSeparator" w:id="0">
    <w:p w14:paraId="046E3EE0" w14:textId="77777777" w:rsidR="00E25925" w:rsidRDefault="00E25925">
      <w:r>
        <w:continuationSeparator/>
      </w:r>
    </w:p>
  </w:endnote>
  <w:endnote w:id="1">
    <w:p w14:paraId="06DFA00F" w14:textId="2FC8C100"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w:t>
      </w:r>
      <w:r w:rsidR="00657F5C">
        <w:rPr>
          <w:b/>
          <w:bCs/>
          <w:sz w:val="18"/>
          <w:szCs w:val="18"/>
        </w:rPr>
        <w:t>6</w:t>
      </w:r>
      <w:r w:rsidR="003F6AF9">
        <w:rPr>
          <w:b/>
          <w:bCs/>
          <w:sz w:val="18"/>
          <w:szCs w:val="18"/>
        </w:rPr>
        <w:t xml:space="preserve">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2D92F5A2" w:rsidR="009A06A5" w:rsidRPr="00533137" w:rsidRDefault="002A5110" w:rsidP="00854A78">
    <w:pPr>
      <w:pStyle w:val="Footer"/>
      <w:pBdr>
        <w:top w:val="single" w:sz="4" w:space="1" w:color="auto"/>
      </w:pBdr>
      <w:ind w:right="-180"/>
      <w:jc w:val="right"/>
      <w:rPr>
        <w:color w:val="00B050"/>
        <w:sz w:val="18"/>
        <w:szCs w:val="18"/>
      </w:rPr>
    </w:pPr>
    <w:bookmarkStart w:id="1" w:name="_Hlk20821358"/>
    <w:r>
      <w:rPr>
        <w:sz w:val="18"/>
        <w:szCs w:val="18"/>
      </w:rPr>
      <w:t>202</w:t>
    </w:r>
    <w:r w:rsidR="00FA60A9">
      <w:rPr>
        <w:sz w:val="18"/>
        <w:szCs w:val="18"/>
      </w:rPr>
      <w:t>6</w:t>
    </w:r>
    <w:r>
      <w:rPr>
        <w:sz w:val="18"/>
        <w:szCs w:val="18"/>
      </w:rPr>
      <w:t xml:space="preserve"> RMQ Annual Plan </w:t>
    </w:r>
    <w:r w:rsidR="00FA60A9">
      <w:rPr>
        <w:sz w:val="18"/>
        <w:szCs w:val="18"/>
      </w:rPr>
      <w:t>Proposed by the RMQ Annual Plan Subcommittee on October 8, 2025</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w:t>
    </w:r>
    <w:proofErr w:type="spellStart"/>
    <w:r>
      <w:rPr>
        <w:sz w:val="18"/>
        <w:szCs w:val="18"/>
      </w:rPr>
      <w:t>RGQ</w:t>
    </w:r>
    <w:proofErr w:type="spellEnd"/>
    <w:r>
      <w:rPr>
        <w:sz w:val="18"/>
        <w:szCs w:val="18"/>
      </w:rPr>
      <w:t xml:space="preserve">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7AD4" w14:textId="77777777" w:rsidR="00E25925" w:rsidRDefault="00E25925">
      <w:r>
        <w:separator/>
      </w:r>
    </w:p>
  </w:footnote>
  <w:footnote w:type="continuationSeparator" w:id="0">
    <w:p w14:paraId="393C4103" w14:textId="77777777" w:rsidR="00E25925" w:rsidRDefault="00E25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0B97"/>
    <w:rsid w:val="00082CCA"/>
    <w:rsid w:val="00083113"/>
    <w:rsid w:val="000A3ED6"/>
    <w:rsid w:val="000A489E"/>
    <w:rsid w:val="000B1AF0"/>
    <w:rsid w:val="000B56CB"/>
    <w:rsid w:val="000B6D4B"/>
    <w:rsid w:val="000C2516"/>
    <w:rsid w:val="000D2497"/>
    <w:rsid w:val="000D3022"/>
    <w:rsid w:val="000D4AD9"/>
    <w:rsid w:val="000E1A1A"/>
    <w:rsid w:val="000E296A"/>
    <w:rsid w:val="000E2B86"/>
    <w:rsid w:val="000E3B59"/>
    <w:rsid w:val="000E762C"/>
    <w:rsid w:val="000F2FC2"/>
    <w:rsid w:val="000F4D09"/>
    <w:rsid w:val="00102803"/>
    <w:rsid w:val="0010580E"/>
    <w:rsid w:val="00105A21"/>
    <w:rsid w:val="0010655C"/>
    <w:rsid w:val="00106FE3"/>
    <w:rsid w:val="0011000F"/>
    <w:rsid w:val="00117A52"/>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42B6"/>
    <w:rsid w:val="00345FE6"/>
    <w:rsid w:val="00346164"/>
    <w:rsid w:val="003466A4"/>
    <w:rsid w:val="00347E6C"/>
    <w:rsid w:val="003507CD"/>
    <w:rsid w:val="00351FD9"/>
    <w:rsid w:val="003554B0"/>
    <w:rsid w:val="00355F55"/>
    <w:rsid w:val="0035766D"/>
    <w:rsid w:val="00360C5A"/>
    <w:rsid w:val="00361942"/>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3568"/>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57F5C"/>
    <w:rsid w:val="006737C4"/>
    <w:rsid w:val="00673F4B"/>
    <w:rsid w:val="00674E74"/>
    <w:rsid w:val="006911CF"/>
    <w:rsid w:val="0069409C"/>
    <w:rsid w:val="006966E1"/>
    <w:rsid w:val="00697F70"/>
    <w:rsid w:val="006A1EA4"/>
    <w:rsid w:val="006A1FE0"/>
    <w:rsid w:val="006A21AB"/>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27D17"/>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63266"/>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52491"/>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25440"/>
    <w:rsid w:val="00C3024B"/>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58DD"/>
    <w:rsid w:val="00D2655A"/>
    <w:rsid w:val="00D27633"/>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969EA"/>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25925"/>
    <w:rsid w:val="00E31600"/>
    <w:rsid w:val="00E320CC"/>
    <w:rsid w:val="00E356E1"/>
    <w:rsid w:val="00E3796D"/>
    <w:rsid w:val="00E37A90"/>
    <w:rsid w:val="00E40A44"/>
    <w:rsid w:val="00E42336"/>
    <w:rsid w:val="00E46E4E"/>
    <w:rsid w:val="00E516C7"/>
    <w:rsid w:val="00E53EDF"/>
    <w:rsid w:val="00E55FCF"/>
    <w:rsid w:val="00E61741"/>
    <w:rsid w:val="00E67311"/>
    <w:rsid w:val="00E679B1"/>
    <w:rsid w:val="00E708EE"/>
    <w:rsid w:val="00E74B3F"/>
    <w:rsid w:val="00E7505D"/>
    <w:rsid w:val="00E75524"/>
    <w:rsid w:val="00E908F7"/>
    <w:rsid w:val="00E936A4"/>
    <w:rsid w:val="00EA5B0D"/>
    <w:rsid w:val="00EA630E"/>
    <w:rsid w:val="00EB3D4C"/>
    <w:rsid w:val="00EB73F0"/>
    <w:rsid w:val="00EC44CC"/>
    <w:rsid w:val="00EC593F"/>
    <w:rsid w:val="00EC6986"/>
    <w:rsid w:val="00ED0985"/>
    <w:rsid w:val="00ED72FD"/>
    <w:rsid w:val="00EE24C1"/>
    <w:rsid w:val="00EE4636"/>
    <w:rsid w:val="00EE7CA6"/>
    <w:rsid w:val="00EF1947"/>
    <w:rsid w:val="00EF229B"/>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1B61"/>
    <w:rsid w:val="00F46EFE"/>
    <w:rsid w:val="00F47155"/>
    <w:rsid w:val="00F519D8"/>
    <w:rsid w:val="00F56B25"/>
    <w:rsid w:val="00F56D9B"/>
    <w:rsid w:val="00F60016"/>
    <w:rsid w:val="00F65133"/>
    <w:rsid w:val="00F72A93"/>
    <w:rsid w:val="00F7660A"/>
    <w:rsid w:val="00F76914"/>
    <w:rsid w:val="00F773A6"/>
    <w:rsid w:val="00F8007C"/>
    <w:rsid w:val="00F81BFC"/>
    <w:rsid w:val="00F869D9"/>
    <w:rsid w:val="00FA2C47"/>
    <w:rsid w:val="00FA60A9"/>
    <w:rsid w:val="00FB2C21"/>
    <w:rsid w:val="00FB317D"/>
    <w:rsid w:val="00FB381F"/>
    <w:rsid w:val="00FB49F8"/>
    <w:rsid w:val="00FB5148"/>
    <w:rsid w:val="00FB51BA"/>
    <w:rsid w:val="00FB5371"/>
    <w:rsid w:val="00FB76D0"/>
    <w:rsid w:val="00FD2736"/>
    <w:rsid w:val="00FE14E9"/>
    <w:rsid w:val="00FE48DB"/>
    <w:rsid w:val="00FE5F9E"/>
    <w:rsid w:val="00FE6D87"/>
    <w:rsid w:val="00FF2B79"/>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3</cp:revision>
  <cp:lastPrinted>2019-09-25T19:22:00Z</cp:lastPrinted>
  <dcterms:created xsi:type="dcterms:W3CDTF">2025-10-08T20:23:00Z</dcterms:created>
  <dcterms:modified xsi:type="dcterms:W3CDTF">2025-10-08T20:43:00Z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