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5A" w:rsidRDefault="00CB3285" w:rsidP="00CB3285">
      <w:pPr>
        <w:spacing w:after="0"/>
        <w:jc w:val="right"/>
        <w:rPr>
          <w:sz w:val="20"/>
          <w:szCs w:val="20"/>
        </w:rPr>
      </w:pPr>
      <w:r w:rsidRPr="00323BA0">
        <w:rPr>
          <w:sz w:val="20"/>
          <w:szCs w:val="20"/>
        </w:rPr>
        <w:t xml:space="preserve">Aug </w:t>
      </w:r>
      <w:r w:rsidR="00336D7C">
        <w:rPr>
          <w:sz w:val="20"/>
          <w:szCs w:val="20"/>
        </w:rPr>
        <w:t>5</w:t>
      </w:r>
      <w:r w:rsidRPr="00323BA0">
        <w:rPr>
          <w:sz w:val="20"/>
          <w:szCs w:val="20"/>
        </w:rPr>
        <w:t>, 2011</w:t>
      </w:r>
    </w:p>
    <w:p w:rsidR="00807459" w:rsidRPr="00323BA0" w:rsidRDefault="00807459" w:rsidP="00CB3285">
      <w:pPr>
        <w:spacing w:after="0"/>
        <w:jc w:val="right"/>
        <w:rPr>
          <w:sz w:val="20"/>
          <w:szCs w:val="20"/>
        </w:rPr>
      </w:pPr>
    </w:p>
    <w:p w:rsidR="00CB3285" w:rsidRPr="00323BA0" w:rsidRDefault="00CB3285" w:rsidP="00CB3285">
      <w:pPr>
        <w:spacing w:after="0"/>
        <w:rPr>
          <w:sz w:val="20"/>
          <w:szCs w:val="20"/>
        </w:rPr>
      </w:pPr>
      <w:r w:rsidRPr="00323BA0">
        <w:rPr>
          <w:sz w:val="20"/>
          <w:szCs w:val="20"/>
        </w:rPr>
        <w:t>Jonath</w:t>
      </w:r>
      <w:r w:rsidR="00323BA0">
        <w:rPr>
          <w:sz w:val="20"/>
          <w:szCs w:val="20"/>
        </w:rPr>
        <w:t>a</w:t>
      </w:r>
      <w:r w:rsidRPr="00323BA0">
        <w:rPr>
          <w:sz w:val="20"/>
          <w:szCs w:val="20"/>
        </w:rPr>
        <w:t xml:space="preserve">n </w:t>
      </w:r>
      <w:proofErr w:type="spellStart"/>
      <w:r w:rsidRPr="00323BA0">
        <w:rPr>
          <w:sz w:val="20"/>
          <w:szCs w:val="20"/>
        </w:rPr>
        <w:t>Booe</w:t>
      </w:r>
      <w:proofErr w:type="spellEnd"/>
    </w:p>
    <w:p w:rsidR="00CB3285" w:rsidRPr="00323BA0" w:rsidRDefault="00CB3285" w:rsidP="00CB3285">
      <w:pPr>
        <w:spacing w:after="0"/>
        <w:rPr>
          <w:sz w:val="20"/>
          <w:szCs w:val="20"/>
        </w:rPr>
      </w:pPr>
      <w:r w:rsidRPr="00323BA0">
        <w:rPr>
          <w:sz w:val="20"/>
          <w:szCs w:val="20"/>
        </w:rPr>
        <w:t>NAESB Deputy Director</w:t>
      </w:r>
    </w:p>
    <w:p w:rsidR="00CB3285" w:rsidRPr="00323BA0" w:rsidRDefault="00CB3285" w:rsidP="00CB3285">
      <w:pPr>
        <w:spacing w:after="0"/>
        <w:rPr>
          <w:sz w:val="20"/>
          <w:szCs w:val="20"/>
        </w:rPr>
      </w:pPr>
    </w:p>
    <w:p w:rsidR="00CB3285" w:rsidRPr="00323BA0" w:rsidRDefault="00CB3285" w:rsidP="00CB3285">
      <w:pPr>
        <w:spacing w:after="0"/>
        <w:rPr>
          <w:sz w:val="20"/>
          <w:szCs w:val="20"/>
        </w:rPr>
      </w:pPr>
      <w:r w:rsidRPr="00323BA0">
        <w:rPr>
          <w:sz w:val="20"/>
          <w:szCs w:val="20"/>
        </w:rPr>
        <w:tab/>
        <w:t>Re: DTE Comments on NAESB REQ 21 Draft Dated Jul 6, 2011</w:t>
      </w:r>
    </w:p>
    <w:p w:rsidR="00CB3285" w:rsidRPr="00323BA0" w:rsidRDefault="00CB3285" w:rsidP="00CB3285">
      <w:pPr>
        <w:spacing w:after="0"/>
        <w:rPr>
          <w:sz w:val="20"/>
          <w:szCs w:val="20"/>
        </w:rPr>
      </w:pPr>
    </w:p>
    <w:p w:rsidR="00CB3285" w:rsidRPr="00323BA0" w:rsidRDefault="00CB3285" w:rsidP="00CB3285">
      <w:pPr>
        <w:spacing w:after="0"/>
        <w:rPr>
          <w:sz w:val="20"/>
          <w:szCs w:val="20"/>
        </w:rPr>
      </w:pPr>
      <w:r w:rsidRPr="00323BA0">
        <w:rPr>
          <w:sz w:val="20"/>
          <w:szCs w:val="20"/>
        </w:rPr>
        <w:t xml:space="preserve">Dear Mr. </w:t>
      </w:r>
      <w:proofErr w:type="spellStart"/>
      <w:r w:rsidRPr="00323BA0">
        <w:rPr>
          <w:sz w:val="20"/>
          <w:szCs w:val="20"/>
        </w:rPr>
        <w:t>Booe</w:t>
      </w:r>
      <w:proofErr w:type="spellEnd"/>
      <w:r w:rsidRPr="00323BA0">
        <w:rPr>
          <w:sz w:val="20"/>
          <w:szCs w:val="20"/>
        </w:rPr>
        <w:t>,</w:t>
      </w:r>
    </w:p>
    <w:p w:rsidR="00CB3285" w:rsidRPr="00323BA0" w:rsidRDefault="00CB3285" w:rsidP="00CB3285">
      <w:pPr>
        <w:spacing w:after="0"/>
        <w:rPr>
          <w:sz w:val="20"/>
          <w:szCs w:val="20"/>
        </w:rPr>
      </w:pPr>
    </w:p>
    <w:p w:rsidR="00B413E7" w:rsidRPr="00323BA0" w:rsidRDefault="00CB3285" w:rsidP="00CB3285">
      <w:pPr>
        <w:spacing w:after="0"/>
        <w:rPr>
          <w:sz w:val="20"/>
          <w:szCs w:val="20"/>
        </w:rPr>
      </w:pPr>
      <w:r w:rsidRPr="00323BA0">
        <w:rPr>
          <w:sz w:val="20"/>
          <w:szCs w:val="20"/>
        </w:rPr>
        <w:t xml:space="preserve">DTE </w:t>
      </w:r>
      <w:r w:rsidR="00B413E7" w:rsidRPr="00323BA0">
        <w:rPr>
          <w:sz w:val="20"/>
          <w:szCs w:val="20"/>
        </w:rPr>
        <w:t>Energy appreciates the opportunity to submit comments on the proposed NAESB REQ.21, “Energy Services Provider Interface” (ESPI) standard.  Our comments are made on the draft dated July 6, 2011.</w:t>
      </w:r>
    </w:p>
    <w:p w:rsidR="00B413E7" w:rsidRPr="00323BA0" w:rsidRDefault="00B413E7" w:rsidP="00CB3285">
      <w:pPr>
        <w:spacing w:after="0"/>
        <w:rPr>
          <w:sz w:val="20"/>
          <w:szCs w:val="20"/>
        </w:rPr>
      </w:pPr>
    </w:p>
    <w:p w:rsidR="00B413E7" w:rsidRPr="00323BA0" w:rsidRDefault="00B413E7" w:rsidP="00CB3285">
      <w:pPr>
        <w:spacing w:after="0"/>
        <w:rPr>
          <w:b/>
          <w:sz w:val="20"/>
          <w:szCs w:val="20"/>
          <w:u w:val="single"/>
        </w:rPr>
      </w:pPr>
      <w:r w:rsidRPr="00323BA0">
        <w:rPr>
          <w:b/>
          <w:sz w:val="20"/>
          <w:szCs w:val="20"/>
          <w:u w:val="single"/>
        </w:rPr>
        <w:t>REQ.21.3.1.27</w:t>
      </w:r>
    </w:p>
    <w:p w:rsidR="00B413E7" w:rsidRPr="00323BA0" w:rsidRDefault="00B413E7" w:rsidP="00CB3285">
      <w:pPr>
        <w:spacing w:after="0"/>
        <w:rPr>
          <w:sz w:val="20"/>
          <w:szCs w:val="20"/>
        </w:rPr>
      </w:pPr>
      <w:r w:rsidRPr="00323BA0">
        <w:rPr>
          <w:sz w:val="20"/>
          <w:szCs w:val="20"/>
        </w:rPr>
        <w:t>REQ.21.3.1.27 references NAESB REQ.22, “Third Party Access to Smart-Meter-based Information.”  Our concern is that there are significant gaps and inconsistencies betwee</w:t>
      </w:r>
      <w:r w:rsidR="00AF1908">
        <w:rPr>
          <w:sz w:val="20"/>
          <w:szCs w:val="20"/>
        </w:rPr>
        <w:t>n REQ.21 and REQ.22.</w:t>
      </w:r>
    </w:p>
    <w:p w:rsidR="00B413E7" w:rsidRDefault="00B413E7" w:rsidP="00CB3285">
      <w:pPr>
        <w:spacing w:after="0"/>
        <w:rPr>
          <w:sz w:val="20"/>
          <w:szCs w:val="20"/>
        </w:rPr>
      </w:pPr>
    </w:p>
    <w:p w:rsidR="00AF1908" w:rsidRPr="00323BA0" w:rsidRDefault="00AF1908" w:rsidP="00AF1908">
      <w:pPr>
        <w:spacing w:after="0"/>
        <w:rPr>
          <w:b/>
          <w:sz w:val="20"/>
          <w:szCs w:val="20"/>
          <w:u w:val="single"/>
        </w:rPr>
      </w:pPr>
      <w:r w:rsidRPr="00323BA0">
        <w:rPr>
          <w:b/>
          <w:sz w:val="20"/>
          <w:szCs w:val="20"/>
          <w:u w:val="single"/>
        </w:rPr>
        <w:t>REQ.21.</w:t>
      </w:r>
      <w:r>
        <w:rPr>
          <w:b/>
          <w:sz w:val="20"/>
          <w:szCs w:val="20"/>
          <w:u w:val="single"/>
        </w:rPr>
        <w:t>2</w:t>
      </w:r>
    </w:p>
    <w:p w:rsidR="00B413E7" w:rsidRPr="00323BA0" w:rsidRDefault="00B413E7" w:rsidP="00CB3285">
      <w:pPr>
        <w:spacing w:after="0"/>
        <w:rPr>
          <w:sz w:val="20"/>
          <w:szCs w:val="20"/>
        </w:rPr>
      </w:pPr>
      <w:r w:rsidRPr="00323BA0">
        <w:rPr>
          <w:sz w:val="20"/>
          <w:szCs w:val="20"/>
        </w:rPr>
        <w:t>The two documents differ greatly as far as what terms they define and, in the single instance in which they both define the same term, their definitions for that term are different.  Please refer to the following table to note the differences at a glance:</w:t>
      </w:r>
    </w:p>
    <w:p w:rsidR="00B413E7" w:rsidRPr="00323BA0" w:rsidRDefault="00B413E7" w:rsidP="00CB3285">
      <w:pPr>
        <w:spacing w:after="0"/>
        <w:rPr>
          <w:sz w:val="20"/>
          <w:szCs w:val="20"/>
        </w:rPr>
      </w:pPr>
    </w:p>
    <w:tbl>
      <w:tblPr>
        <w:tblStyle w:val="TableGrid"/>
        <w:tblW w:w="0" w:type="auto"/>
        <w:tblLook w:val="04A0"/>
      </w:tblPr>
      <w:tblGrid>
        <w:gridCol w:w="4788"/>
        <w:gridCol w:w="4788"/>
      </w:tblGrid>
      <w:tr w:rsidR="00A615B6" w:rsidRPr="00323BA0" w:rsidTr="00A615B6">
        <w:tc>
          <w:tcPr>
            <w:tcW w:w="4788" w:type="dxa"/>
          </w:tcPr>
          <w:p w:rsidR="00A615B6" w:rsidRPr="00323BA0" w:rsidRDefault="00A615B6" w:rsidP="00CB3285">
            <w:pPr>
              <w:rPr>
                <w:b/>
                <w:sz w:val="20"/>
                <w:szCs w:val="20"/>
                <w:u w:val="single"/>
              </w:rPr>
            </w:pPr>
            <w:r w:rsidRPr="00323BA0">
              <w:rPr>
                <w:b/>
                <w:sz w:val="20"/>
                <w:szCs w:val="20"/>
                <w:u w:val="single"/>
              </w:rPr>
              <w:t>Terms Defined in REQ.21</w:t>
            </w:r>
            <w:r w:rsidR="00AF1908">
              <w:rPr>
                <w:b/>
                <w:sz w:val="20"/>
                <w:szCs w:val="20"/>
                <w:u w:val="single"/>
              </w:rPr>
              <w:t>.2</w:t>
            </w:r>
          </w:p>
        </w:tc>
        <w:tc>
          <w:tcPr>
            <w:tcW w:w="4788" w:type="dxa"/>
          </w:tcPr>
          <w:p w:rsidR="00A615B6" w:rsidRPr="00323BA0" w:rsidRDefault="00A615B6" w:rsidP="00A615B6">
            <w:pPr>
              <w:rPr>
                <w:b/>
                <w:sz w:val="20"/>
                <w:szCs w:val="20"/>
                <w:u w:val="single"/>
              </w:rPr>
            </w:pPr>
            <w:r w:rsidRPr="00323BA0">
              <w:rPr>
                <w:b/>
                <w:sz w:val="20"/>
                <w:szCs w:val="20"/>
                <w:u w:val="single"/>
              </w:rPr>
              <w:t>Terms Defined in REQ.22</w:t>
            </w:r>
            <w:r w:rsidR="00AF1908">
              <w:rPr>
                <w:b/>
                <w:sz w:val="20"/>
                <w:szCs w:val="20"/>
                <w:u w:val="single"/>
              </w:rPr>
              <w:t>.2</w:t>
            </w:r>
          </w:p>
        </w:tc>
      </w:tr>
      <w:tr w:rsidR="00A615B6" w:rsidRPr="00323BA0" w:rsidTr="00A615B6">
        <w:tc>
          <w:tcPr>
            <w:tcW w:w="4788" w:type="dxa"/>
          </w:tcPr>
          <w:p w:rsidR="00A615B6" w:rsidRPr="00323BA0" w:rsidRDefault="00A615B6" w:rsidP="00CB3285">
            <w:pPr>
              <w:rPr>
                <w:sz w:val="20"/>
                <w:szCs w:val="20"/>
              </w:rPr>
            </w:pPr>
            <w:r w:rsidRPr="00323BA0">
              <w:rPr>
                <w:sz w:val="20"/>
                <w:szCs w:val="20"/>
              </w:rPr>
              <w:t>Authorizing Entity</w:t>
            </w:r>
          </w:p>
        </w:tc>
        <w:tc>
          <w:tcPr>
            <w:tcW w:w="4788" w:type="dxa"/>
          </w:tcPr>
          <w:p w:rsidR="00A615B6" w:rsidRPr="00323BA0" w:rsidRDefault="00A615B6" w:rsidP="00CB3285">
            <w:pPr>
              <w:rPr>
                <w:sz w:val="20"/>
                <w:szCs w:val="20"/>
              </w:rPr>
            </w:pPr>
            <w:r w:rsidRPr="00323BA0">
              <w:rPr>
                <w:sz w:val="20"/>
                <w:szCs w:val="20"/>
              </w:rPr>
              <w:t>Applicable Regulatory Authority</w:t>
            </w:r>
          </w:p>
        </w:tc>
      </w:tr>
      <w:tr w:rsidR="00A615B6" w:rsidRPr="00323BA0" w:rsidTr="00A615B6">
        <w:tc>
          <w:tcPr>
            <w:tcW w:w="4788" w:type="dxa"/>
          </w:tcPr>
          <w:p w:rsidR="00A615B6" w:rsidRPr="00323BA0" w:rsidRDefault="00A615B6" w:rsidP="00CB3285">
            <w:pPr>
              <w:rPr>
                <w:sz w:val="20"/>
                <w:szCs w:val="20"/>
              </w:rPr>
            </w:pPr>
            <w:r w:rsidRPr="00323BA0">
              <w:rPr>
                <w:sz w:val="20"/>
                <w:szCs w:val="20"/>
              </w:rPr>
              <w:t>Third Party</w:t>
            </w:r>
          </w:p>
        </w:tc>
        <w:tc>
          <w:tcPr>
            <w:tcW w:w="4788" w:type="dxa"/>
          </w:tcPr>
          <w:p w:rsidR="00A615B6" w:rsidRPr="00323BA0" w:rsidRDefault="00A615B6" w:rsidP="00A615B6">
            <w:pPr>
              <w:rPr>
                <w:sz w:val="20"/>
                <w:szCs w:val="20"/>
              </w:rPr>
            </w:pPr>
            <w:r w:rsidRPr="00323BA0">
              <w:rPr>
                <w:sz w:val="20"/>
                <w:szCs w:val="20"/>
              </w:rPr>
              <w:t>Distribution Company</w:t>
            </w:r>
          </w:p>
        </w:tc>
      </w:tr>
      <w:tr w:rsidR="00A615B6" w:rsidRPr="00323BA0" w:rsidTr="00A615B6">
        <w:tc>
          <w:tcPr>
            <w:tcW w:w="4788" w:type="dxa"/>
          </w:tcPr>
          <w:p w:rsidR="00A615B6" w:rsidRPr="00323BA0" w:rsidRDefault="00A615B6" w:rsidP="00CB3285">
            <w:pPr>
              <w:rPr>
                <w:sz w:val="20"/>
                <w:szCs w:val="20"/>
              </w:rPr>
            </w:pPr>
            <w:r w:rsidRPr="00323BA0">
              <w:rPr>
                <w:sz w:val="20"/>
                <w:szCs w:val="20"/>
              </w:rPr>
              <w:t>Authorized Third Party</w:t>
            </w:r>
          </w:p>
        </w:tc>
        <w:tc>
          <w:tcPr>
            <w:tcW w:w="4788" w:type="dxa"/>
          </w:tcPr>
          <w:p w:rsidR="00A615B6" w:rsidRPr="00323BA0" w:rsidRDefault="00A615B6" w:rsidP="00CB3285">
            <w:pPr>
              <w:rPr>
                <w:sz w:val="20"/>
                <w:szCs w:val="20"/>
              </w:rPr>
            </w:pPr>
            <w:r w:rsidRPr="00323BA0">
              <w:rPr>
                <w:sz w:val="20"/>
                <w:szCs w:val="20"/>
              </w:rPr>
              <w:t>Entity</w:t>
            </w:r>
          </w:p>
        </w:tc>
      </w:tr>
      <w:tr w:rsidR="00A615B6" w:rsidRPr="00323BA0" w:rsidTr="00A615B6">
        <w:tc>
          <w:tcPr>
            <w:tcW w:w="4788" w:type="dxa"/>
          </w:tcPr>
          <w:p w:rsidR="00A615B6" w:rsidRPr="00323BA0" w:rsidRDefault="00A615B6" w:rsidP="00CB3285">
            <w:pPr>
              <w:rPr>
                <w:sz w:val="20"/>
                <w:szCs w:val="20"/>
              </w:rPr>
            </w:pPr>
            <w:r w:rsidRPr="00323BA0">
              <w:rPr>
                <w:sz w:val="20"/>
                <w:szCs w:val="20"/>
              </w:rPr>
              <w:t>Energy Services Provider Interface</w:t>
            </w:r>
          </w:p>
        </w:tc>
        <w:tc>
          <w:tcPr>
            <w:tcW w:w="4788" w:type="dxa"/>
          </w:tcPr>
          <w:p w:rsidR="00A615B6" w:rsidRPr="00323BA0" w:rsidRDefault="00A615B6" w:rsidP="00CB3285">
            <w:pPr>
              <w:rPr>
                <w:sz w:val="20"/>
                <w:szCs w:val="20"/>
              </w:rPr>
            </w:pPr>
            <w:r w:rsidRPr="00323BA0">
              <w:rPr>
                <w:sz w:val="20"/>
                <w:szCs w:val="20"/>
              </w:rPr>
              <w:t>Governing Documents</w:t>
            </w:r>
          </w:p>
        </w:tc>
      </w:tr>
      <w:tr w:rsidR="00A615B6" w:rsidRPr="00323BA0" w:rsidTr="00A615B6">
        <w:tc>
          <w:tcPr>
            <w:tcW w:w="4788" w:type="dxa"/>
          </w:tcPr>
          <w:p w:rsidR="00A615B6" w:rsidRPr="00323BA0" w:rsidRDefault="00A615B6" w:rsidP="00CB3285">
            <w:pPr>
              <w:rPr>
                <w:sz w:val="20"/>
                <w:szCs w:val="20"/>
              </w:rPr>
            </w:pPr>
            <w:r w:rsidRPr="00323BA0">
              <w:rPr>
                <w:sz w:val="20"/>
                <w:szCs w:val="20"/>
              </w:rPr>
              <w:t>Personally Identifiable Information</w:t>
            </w:r>
          </w:p>
        </w:tc>
        <w:tc>
          <w:tcPr>
            <w:tcW w:w="4788" w:type="dxa"/>
          </w:tcPr>
          <w:p w:rsidR="00A615B6" w:rsidRPr="00323BA0" w:rsidRDefault="00A615B6" w:rsidP="00CB3285">
            <w:pPr>
              <w:rPr>
                <w:sz w:val="20"/>
                <w:szCs w:val="20"/>
              </w:rPr>
            </w:pPr>
            <w:r w:rsidRPr="00323BA0">
              <w:rPr>
                <w:sz w:val="20"/>
                <w:szCs w:val="20"/>
              </w:rPr>
              <w:t>Retail Customer</w:t>
            </w:r>
          </w:p>
        </w:tc>
      </w:tr>
      <w:tr w:rsidR="00A615B6" w:rsidRPr="00323BA0" w:rsidTr="00A615B6">
        <w:tc>
          <w:tcPr>
            <w:tcW w:w="4788" w:type="dxa"/>
          </w:tcPr>
          <w:p w:rsidR="00A615B6" w:rsidRPr="00323BA0" w:rsidRDefault="00A615B6" w:rsidP="00A615B6">
            <w:pPr>
              <w:rPr>
                <w:sz w:val="20"/>
                <w:szCs w:val="20"/>
              </w:rPr>
            </w:pPr>
            <w:r w:rsidRPr="00323BA0">
              <w:rPr>
                <w:sz w:val="20"/>
                <w:szCs w:val="20"/>
              </w:rPr>
              <w:t>Data Custodian</w:t>
            </w:r>
          </w:p>
        </w:tc>
        <w:tc>
          <w:tcPr>
            <w:tcW w:w="4788" w:type="dxa"/>
          </w:tcPr>
          <w:p w:rsidR="00A615B6" w:rsidRPr="00323BA0" w:rsidRDefault="00087B2E" w:rsidP="00CB3285">
            <w:pPr>
              <w:rPr>
                <w:sz w:val="20"/>
                <w:szCs w:val="20"/>
              </w:rPr>
            </w:pPr>
            <w:r w:rsidRPr="00323BA0">
              <w:rPr>
                <w:sz w:val="20"/>
                <w:szCs w:val="20"/>
              </w:rPr>
              <w:t>Authorization</w:t>
            </w:r>
          </w:p>
        </w:tc>
      </w:tr>
      <w:tr w:rsidR="00A615B6" w:rsidRPr="00323BA0" w:rsidTr="00A615B6">
        <w:tc>
          <w:tcPr>
            <w:tcW w:w="4788" w:type="dxa"/>
          </w:tcPr>
          <w:p w:rsidR="00A615B6" w:rsidRPr="00323BA0" w:rsidRDefault="00A615B6" w:rsidP="00A615B6">
            <w:pPr>
              <w:rPr>
                <w:sz w:val="20"/>
                <w:szCs w:val="20"/>
              </w:rPr>
            </w:pPr>
            <w:r w:rsidRPr="00323BA0">
              <w:rPr>
                <w:sz w:val="20"/>
                <w:szCs w:val="20"/>
              </w:rPr>
              <w:t>Energy Usage Information</w:t>
            </w:r>
          </w:p>
        </w:tc>
        <w:tc>
          <w:tcPr>
            <w:tcW w:w="4788" w:type="dxa"/>
          </w:tcPr>
          <w:p w:rsidR="00A615B6" w:rsidRPr="00323BA0" w:rsidRDefault="00087B2E" w:rsidP="00CB3285">
            <w:pPr>
              <w:rPr>
                <w:sz w:val="20"/>
                <w:szCs w:val="20"/>
              </w:rPr>
            </w:pPr>
            <w:r w:rsidRPr="00323BA0">
              <w:rPr>
                <w:sz w:val="20"/>
                <w:szCs w:val="20"/>
              </w:rPr>
              <w:t>Privacy Use Case</w:t>
            </w:r>
          </w:p>
        </w:tc>
      </w:tr>
      <w:tr w:rsidR="00087B2E" w:rsidRPr="00323BA0" w:rsidTr="00A615B6">
        <w:tc>
          <w:tcPr>
            <w:tcW w:w="4788" w:type="dxa"/>
          </w:tcPr>
          <w:p w:rsidR="00087B2E" w:rsidRPr="00323BA0" w:rsidRDefault="00087B2E" w:rsidP="00A615B6">
            <w:pPr>
              <w:rPr>
                <w:sz w:val="20"/>
                <w:szCs w:val="20"/>
              </w:rPr>
            </w:pPr>
          </w:p>
        </w:tc>
        <w:tc>
          <w:tcPr>
            <w:tcW w:w="4788" w:type="dxa"/>
          </w:tcPr>
          <w:p w:rsidR="00087B2E" w:rsidRPr="00323BA0" w:rsidRDefault="00087B2E" w:rsidP="00CB3285">
            <w:pPr>
              <w:rPr>
                <w:sz w:val="20"/>
                <w:szCs w:val="20"/>
              </w:rPr>
            </w:pPr>
            <w:r w:rsidRPr="00323BA0">
              <w:rPr>
                <w:sz w:val="20"/>
                <w:szCs w:val="20"/>
              </w:rPr>
              <w:t>Smart Meter-Based Information</w:t>
            </w:r>
          </w:p>
        </w:tc>
      </w:tr>
      <w:tr w:rsidR="00087B2E" w:rsidRPr="00323BA0" w:rsidTr="00A615B6">
        <w:tc>
          <w:tcPr>
            <w:tcW w:w="4788" w:type="dxa"/>
          </w:tcPr>
          <w:p w:rsidR="00087B2E" w:rsidRPr="00323BA0" w:rsidRDefault="00087B2E" w:rsidP="00A615B6">
            <w:pPr>
              <w:rPr>
                <w:sz w:val="20"/>
                <w:szCs w:val="20"/>
              </w:rPr>
            </w:pPr>
          </w:p>
        </w:tc>
        <w:tc>
          <w:tcPr>
            <w:tcW w:w="4788" w:type="dxa"/>
          </w:tcPr>
          <w:p w:rsidR="00087B2E" w:rsidRPr="00323BA0" w:rsidRDefault="00087B2E" w:rsidP="00CB3285">
            <w:pPr>
              <w:rPr>
                <w:sz w:val="20"/>
                <w:szCs w:val="20"/>
              </w:rPr>
            </w:pPr>
            <w:r w:rsidRPr="00323BA0">
              <w:rPr>
                <w:sz w:val="20"/>
                <w:szCs w:val="20"/>
              </w:rPr>
              <w:t>Third Party</w:t>
            </w:r>
          </w:p>
        </w:tc>
      </w:tr>
    </w:tbl>
    <w:p w:rsidR="00B413E7" w:rsidRPr="00323BA0" w:rsidRDefault="00B413E7" w:rsidP="00CB3285">
      <w:pPr>
        <w:spacing w:after="0"/>
        <w:rPr>
          <w:sz w:val="20"/>
          <w:szCs w:val="20"/>
        </w:rPr>
      </w:pPr>
    </w:p>
    <w:p w:rsidR="00B413E7" w:rsidRPr="00323BA0" w:rsidRDefault="00087B2E" w:rsidP="00CB3285">
      <w:pPr>
        <w:spacing w:after="0"/>
        <w:rPr>
          <w:sz w:val="20"/>
          <w:szCs w:val="20"/>
        </w:rPr>
      </w:pPr>
      <w:r w:rsidRPr="00323BA0">
        <w:rPr>
          <w:sz w:val="20"/>
          <w:szCs w:val="20"/>
        </w:rPr>
        <w:t xml:space="preserve">As can be seen, the only term defined in both documents is “Third Party.”  Unfortunately, the two standards define “Third Party” differently.  </w:t>
      </w:r>
    </w:p>
    <w:p w:rsidR="00421C08" w:rsidRPr="00323BA0" w:rsidRDefault="00421C08" w:rsidP="00CB3285">
      <w:pPr>
        <w:spacing w:after="0"/>
        <w:rPr>
          <w:sz w:val="20"/>
          <w:szCs w:val="20"/>
        </w:rPr>
      </w:pPr>
    </w:p>
    <w:p w:rsidR="00421C08" w:rsidRPr="00323BA0" w:rsidRDefault="00421C08" w:rsidP="00CB3285">
      <w:pPr>
        <w:spacing w:after="0"/>
        <w:rPr>
          <w:sz w:val="20"/>
          <w:szCs w:val="20"/>
        </w:rPr>
      </w:pPr>
      <w:r w:rsidRPr="00323BA0">
        <w:rPr>
          <w:sz w:val="20"/>
          <w:szCs w:val="20"/>
        </w:rPr>
        <w:t>We are concerned that businesses that are trying to enact business practices based on these two standards would be presented with difficulties arising from the need to reconcile</w:t>
      </w:r>
      <w:r w:rsidR="006776E3" w:rsidRPr="00323BA0">
        <w:rPr>
          <w:sz w:val="20"/>
          <w:szCs w:val="20"/>
        </w:rPr>
        <w:t xml:space="preserve"> the differing terminological concepts.</w:t>
      </w:r>
    </w:p>
    <w:p w:rsidR="006776E3" w:rsidRPr="00323BA0" w:rsidRDefault="006776E3" w:rsidP="00CB3285">
      <w:pPr>
        <w:spacing w:after="0"/>
        <w:rPr>
          <w:sz w:val="20"/>
          <w:szCs w:val="20"/>
        </w:rPr>
      </w:pPr>
    </w:p>
    <w:p w:rsidR="006776E3" w:rsidRDefault="00E4294C" w:rsidP="00CB3285">
      <w:pPr>
        <w:spacing w:after="0"/>
        <w:rPr>
          <w:sz w:val="20"/>
          <w:szCs w:val="20"/>
        </w:rPr>
      </w:pPr>
      <w:r w:rsidRPr="00323BA0">
        <w:rPr>
          <w:sz w:val="20"/>
          <w:szCs w:val="20"/>
        </w:rPr>
        <w:t>We believe that the terms and definitions between REQ.21 and REQ.22 should be harmonized to facilitate usage of both standards together.</w:t>
      </w:r>
    </w:p>
    <w:p w:rsidR="00AF1908" w:rsidRDefault="00AF1908" w:rsidP="00CB3285">
      <w:pPr>
        <w:spacing w:after="0"/>
        <w:rPr>
          <w:sz w:val="20"/>
          <w:szCs w:val="20"/>
        </w:rPr>
      </w:pPr>
    </w:p>
    <w:p w:rsidR="00AF1908" w:rsidRPr="00323BA0" w:rsidRDefault="00AF1908" w:rsidP="00AF1908">
      <w:pPr>
        <w:spacing w:after="0"/>
        <w:rPr>
          <w:b/>
          <w:sz w:val="20"/>
          <w:szCs w:val="20"/>
          <w:u w:val="single"/>
        </w:rPr>
      </w:pPr>
      <w:r w:rsidRPr="00323BA0">
        <w:rPr>
          <w:b/>
          <w:sz w:val="20"/>
          <w:szCs w:val="20"/>
          <w:u w:val="single"/>
        </w:rPr>
        <w:t>REQ.21.3</w:t>
      </w:r>
    </w:p>
    <w:p w:rsidR="00AF1908" w:rsidRPr="00323BA0" w:rsidRDefault="00AF1908" w:rsidP="00AF1908">
      <w:pPr>
        <w:spacing w:after="0"/>
        <w:rPr>
          <w:sz w:val="20"/>
          <w:szCs w:val="20"/>
        </w:rPr>
      </w:pPr>
      <w:r w:rsidRPr="00323BA0">
        <w:rPr>
          <w:sz w:val="20"/>
          <w:szCs w:val="20"/>
        </w:rPr>
        <w:t>In general, a specific effort should be undertaken to review and ascertain the state of harmony between REQ.21.3 and REQ.22.3 and to assure consistency between them.</w:t>
      </w:r>
    </w:p>
    <w:p w:rsidR="00AF1908" w:rsidRDefault="00AF1908" w:rsidP="00AF1908">
      <w:pPr>
        <w:spacing w:after="0"/>
        <w:rPr>
          <w:sz w:val="20"/>
          <w:szCs w:val="20"/>
        </w:rPr>
      </w:pPr>
    </w:p>
    <w:p w:rsidR="00AF1908" w:rsidRPr="00323BA0" w:rsidRDefault="00AF1908" w:rsidP="00AF1908">
      <w:pPr>
        <w:spacing w:after="0"/>
        <w:rPr>
          <w:sz w:val="20"/>
          <w:szCs w:val="20"/>
        </w:rPr>
      </w:pPr>
      <w:r>
        <w:rPr>
          <w:sz w:val="20"/>
          <w:szCs w:val="20"/>
        </w:rPr>
        <w:lastRenderedPageBreak/>
        <w:t>For example,</w:t>
      </w:r>
      <w:r w:rsidRPr="00323BA0">
        <w:rPr>
          <w:sz w:val="20"/>
          <w:szCs w:val="20"/>
        </w:rPr>
        <w:t xml:space="preserve"> </w:t>
      </w:r>
      <w:r>
        <w:rPr>
          <w:sz w:val="20"/>
          <w:szCs w:val="20"/>
        </w:rPr>
        <w:t>REQ.21.3.1.23</w:t>
      </w:r>
      <w:r w:rsidRPr="00323BA0">
        <w:rPr>
          <w:sz w:val="20"/>
          <w:szCs w:val="20"/>
        </w:rPr>
        <w:t xml:space="preserve"> appears to be inconsistent with REQ.22.3.3.1.6 regarding notifications in the event of changed relationships.</w:t>
      </w:r>
      <w:r>
        <w:rPr>
          <w:sz w:val="20"/>
          <w:szCs w:val="20"/>
        </w:rPr>
        <w:t xml:space="preserve">  REQ.21 says all parties should be notified in the event of changed relationships while REQ.22 specifically says notification is not required where Third Party ownership changes.</w:t>
      </w:r>
    </w:p>
    <w:p w:rsidR="00AF1908" w:rsidRPr="00323BA0" w:rsidRDefault="00AF1908" w:rsidP="00CB3285">
      <w:pPr>
        <w:spacing w:after="0"/>
        <w:rPr>
          <w:sz w:val="20"/>
          <w:szCs w:val="20"/>
        </w:rPr>
      </w:pPr>
    </w:p>
    <w:p w:rsidR="00E4294C" w:rsidRPr="00323BA0" w:rsidRDefault="00E4294C" w:rsidP="00CB3285">
      <w:pPr>
        <w:spacing w:after="0"/>
        <w:rPr>
          <w:b/>
          <w:sz w:val="20"/>
          <w:szCs w:val="20"/>
          <w:u w:val="single"/>
        </w:rPr>
      </w:pPr>
      <w:r w:rsidRPr="00323BA0">
        <w:rPr>
          <w:b/>
          <w:sz w:val="20"/>
          <w:szCs w:val="20"/>
          <w:u w:val="single"/>
        </w:rPr>
        <w:t>REQ.21.3.1.1</w:t>
      </w:r>
    </w:p>
    <w:p w:rsidR="00E4294C" w:rsidRPr="00323BA0" w:rsidRDefault="00E4294C" w:rsidP="00CB3285">
      <w:pPr>
        <w:spacing w:after="0"/>
        <w:rPr>
          <w:sz w:val="20"/>
          <w:szCs w:val="20"/>
        </w:rPr>
      </w:pPr>
      <w:r w:rsidRPr="00323BA0">
        <w:rPr>
          <w:sz w:val="20"/>
          <w:szCs w:val="20"/>
        </w:rPr>
        <w:t xml:space="preserve">This paragraph reads, “To the extent required by the Applicable Regulatory Authority, or as otherwise agreed by Data Custodian consistent with Applicable Regulatory Authority, Authorized Third Parties and Data Custodians should exchange Retail Customer’s EUI at the Retail Customer’s request pursuant to the requirements as set forth in NAESB REQ.21, subject to the Governing Documents.”  </w:t>
      </w:r>
    </w:p>
    <w:p w:rsidR="00E4294C" w:rsidRPr="00323BA0" w:rsidRDefault="00E4294C" w:rsidP="00CB3285">
      <w:pPr>
        <w:spacing w:after="0"/>
        <w:rPr>
          <w:sz w:val="20"/>
          <w:szCs w:val="20"/>
        </w:rPr>
      </w:pPr>
    </w:p>
    <w:p w:rsidR="00A75591" w:rsidRPr="00323BA0" w:rsidRDefault="00E4294C" w:rsidP="00CB3285">
      <w:pPr>
        <w:spacing w:after="0"/>
        <w:rPr>
          <w:sz w:val="20"/>
          <w:szCs w:val="20"/>
        </w:rPr>
      </w:pPr>
      <w:r w:rsidRPr="00323BA0">
        <w:rPr>
          <w:sz w:val="20"/>
          <w:szCs w:val="20"/>
        </w:rPr>
        <w:t xml:space="preserve">Our concern is that this document blurs the line between business policy and the technical aspects of the energy services provider interface.  It can be construed that to be “ESPI-compliant” a provider would have to provide all of the energy usage data this standard </w:t>
      </w:r>
      <w:r w:rsidR="00A75591" w:rsidRPr="00323BA0">
        <w:rPr>
          <w:sz w:val="20"/>
          <w:szCs w:val="20"/>
        </w:rPr>
        <w:t>identifies.</w:t>
      </w:r>
    </w:p>
    <w:p w:rsidR="00E4294C" w:rsidRPr="00323BA0" w:rsidRDefault="00E4294C" w:rsidP="00CB3285">
      <w:pPr>
        <w:spacing w:after="0"/>
        <w:rPr>
          <w:sz w:val="20"/>
          <w:szCs w:val="20"/>
        </w:rPr>
      </w:pPr>
    </w:p>
    <w:p w:rsidR="00E4294C" w:rsidRPr="00323BA0" w:rsidRDefault="00E4294C" w:rsidP="00CB3285">
      <w:pPr>
        <w:spacing w:after="0"/>
        <w:rPr>
          <w:sz w:val="20"/>
          <w:szCs w:val="20"/>
        </w:rPr>
      </w:pPr>
      <w:r w:rsidRPr="00323BA0">
        <w:rPr>
          <w:sz w:val="20"/>
          <w:szCs w:val="20"/>
        </w:rPr>
        <w:t xml:space="preserve">We believe that a clarifying statement should be </w:t>
      </w:r>
      <w:r w:rsidR="006476DA" w:rsidRPr="00323BA0">
        <w:rPr>
          <w:sz w:val="20"/>
          <w:szCs w:val="20"/>
        </w:rPr>
        <w:t>made that ESPI compliance will entail utilization</w:t>
      </w:r>
      <w:r w:rsidR="00947924" w:rsidRPr="00323BA0">
        <w:rPr>
          <w:sz w:val="20"/>
          <w:szCs w:val="20"/>
        </w:rPr>
        <w:t xml:space="preserve"> of the models,</w:t>
      </w:r>
      <w:r w:rsidR="006476DA" w:rsidRPr="00323BA0">
        <w:rPr>
          <w:sz w:val="20"/>
          <w:szCs w:val="20"/>
        </w:rPr>
        <w:t xml:space="preserve"> formats, </w:t>
      </w:r>
      <w:r w:rsidR="00947924" w:rsidRPr="00323BA0">
        <w:rPr>
          <w:sz w:val="20"/>
          <w:szCs w:val="20"/>
        </w:rPr>
        <w:t>etc. contained in this standard</w:t>
      </w:r>
      <w:r w:rsidR="006476DA" w:rsidRPr="00323BA0">
        <w:rPr>
          <w:sz w:val="20"/>
          <w:szCs w:val="20"/>
        </w:rPr>
        <w:t xml:space="preserve"> for </w:t>
      </w:r>
      <w:r w:rsidR="00AA0F3D" w:rsidRPr="00323BA0">
        <w:rPr>
          <w:sz w:val="20"/>
          <w:szCs w:val="20"/>
        </w:rPr>
        <w:t xml:space="preserve">whatever agreed upon </w:t>
      </w:r>
      <w:r w:rsidR="006476DA" w:rsidRPr="00323BA0">
        <w:rPr>
          <w:sz w:val="20"/>
          <w:szCs w:val="20"/>
        </w:rPr>
        <w:t xml:space="preserve">data is to be shared as opposed to compliance meaning that all the described data points </w:t>
      </w:r>
      <w:r w:rsidR="00AA0F3D" w:rsidRPr="00323BA0">
        <w:rPr>
          <w:sz w:val="20"/>
          <w:szCs w:val="20"/>
        </w:rPr>
        <w:t>are to be</w:t>
      </w:r>
      <w:r w:rsidR="006476DA" w:rsidRPr="00323BA0">
        <w:rPr>
          <w:sz w:val="20"/>
          <w:szCs w:val="20"/>
        </w:rPr>
        <w:t xml:space="preserve"> included in the data sharing.</w:t>
      </w:r>
    </w:p>
    <w:p w:rsidR="00947924" w:rsidRPr="00323BA0" w:rsidRDefault="00947924" w:rsidP="00CB3285">
      <w:pPr>
        <w:spacing w:after="0"/>
        <w:rPr>
          <w:sz w:val="20"/>
          <w:szCs w:val="20"/>
        </w:rPr>
      </w:pPr>
    </w:p>
    <w:p w:rsidR="00947924" w:rsidRPr="00323BA0" w:rsidRDefault="00947924" w:rsidP="00CB3285">
      <w:pPr>
        <w:spacing w:after="0"/>
        <w:rPr>
          <w:sz w:val="20"/>
          <w:szCs w:val="20"/>
        </w:rPr>
      </w:pPr>
      <w:r w:rsidRPr="00323BA0">
        <w:rPr>
          <w:sz w:val="20"/>
          <w:szCs w:val="20"/>
        </w:rPr>
        <w:t>As an example, the “</w:t>
      </w:r>
      <w:proofErr w:type="spellStart"/>
      <w:r w:rsidRPr="00323BA0">
        <w:rPr>
          <w:sz w:val="20"/>
          <w:szCs w:val="20"/>
        </w:rPr>
        <w:t>ElectricPowerQualitySummary</w:t>
      </w:r>
      <w:proofErr w:type="spellEnd"/>
      <w:r w:rsidRPr="00323BA0">
        <w:rPr>
          <w:sz w:val="20"/>
          <w:szCs w:val="20"/>
        </w:rPr>
        <w:t xml:space="preserve">” on page 17 includes data points related to voltage flicker, harmonics, frequency and others that are not technically feasible for measuring at this time.  The AMI meters that are currently being built are not capable of making these measurements nor are there any other technologies currently available for measuring these quantities on mass scale at customer premises.  </w:t>
      </w:r>
      <w:r w:rsidR="00AA0F3D" w:rsidRPr="00323BA0">
        <w:rPr>
          <w:sz w:val="20"/>
          <w:szCs w:val="20"/>
        </w:rPr>
        <w:t>Furthermore, t</w:t>
      </w:r>
      <w:r w:rsidRPr="00323BA0">
        <w:rPr>
          <w:sz w:val="20"/>
          <w:szCs w:val="20"/>
        </w:rPr>
        <w:t xml:space="preserve">here may be business reasons for not providing some of the data points described in the summaries.  </w:t>
      </w:r>
    </w:p>
    <w:p w:rsidR="00B413E7" w:rsidRPr="00323BA0" w:rsidRDefault="00B413E7" w:rsidP="00CB3285">
      <w:pPr>
        <w:spacing w:after="0"/>
        <w:rPr>
          <w:sz w:val="20"/>
          <w:szCs w:val="20"/>
        </w:rPr>
      </w:pPr>
    </w:p>
    <w:p w:rsidR="00963A2D" w:rsidRPr="00323BA0" w:rsidRDefault="006E71D7" w:rsidP="00963A2D">
      <w:pPr>
        <w:spacing w:after="0"/>
        <w:rPr>
          <w:b/>
          <w:sz w:val="20"/>
          <w:szCs w:val="20"/>
          <w:u w:val="single"/>
        </w:rPr>
      </w:pPr>
      <w:r w:rsidRPr="00323BA0">
        <w:rPr>
          <w:b/>
          <w:sz w:val="20"/>
          <w:szCs w:val="20"/>
          <w:u w:val="single"/>
        </w:rPr>
        <w:t>REQ.21.6.5</w:t>
      </w:r>
    </w:p>
    <w:p w:rsidR="00963A2D" w:rsidRPr="00323BA0" w:rsidRDefault="006E71D7" w:rsidP="00963A2D">
      <w:pPr>
        <w:spacing w:after="0"/>
        <w:rPr>
          <w:rFonts w:cs="Courier New"/>
          <w:bCs/>
          <w:sz w:val="20"/>
          <w:szCs w:val="20"/>
        </w:rPr>
      </w:pPr>
      <w:r w:rsidRPr="00323BA0">
        <w:rPr>
          <w:sz w:val="20"/>
          <w:szCs w:val="20"/>
        </w:rPr>
        <w:t xml:space="preserve">In the XML Schema section, we would like to make note of one technical point.  On page 45, </w:t>
      </w:r>
      <w:r w:rsidR="00963A2D" w:rsidRPr="00323BA0">
        <w:rPr>
          <w:sz w:val="20"/>
          <w:szCs w:val="20"/>
        </w:rPr>
        <w:t>there is a line that reads, “</w:t>
      </w:r>
      <w:r w:rsidR="00963A2D" w:rsidRPr="00323BA0">
        <w:rPr>
          <w:rFonts w:cs="Courier New"/>
          <w:sz w:val="20"/>
          <w:szCs w:val="20"/>
        </w:rPr>
        <w:t>&lt;</w:t>
      </w:r>
      <w:proofErr w:type="spellStart"/>
      <w:r w:rsidR="00963A2D" w:rsidRPr="00323BA0">
        <w:rPr>
          <w:rFonts w:cs="Courier New"/>
          <w:sz w:val="20"/>
          <w:szCs w:val="20"/>
        </w:rPr>
        <w:t>xs</w:t>
      </w:r>
      <w:proofErr w:type="gramStart"/>
      <w:r w:rsidR="00963A2D" w:rsidRPr="00323BA0">
        <w:rPr>
          <w:rFonts w:cs="Courier New"/>
          <w:sz w:val="20"/>
          <w:szCs w:val="20"/>
        </w:rPr>
        <w:t>:element</w:t>
      </w:r>
      <w:proofErr w:type="spellEnd"/>
      <w:proofErr w:type="gramEnd"/>
      <w:r w:rsidR="00963A2D" w:rsidRPr="00323BA0">
        <w:rPr>
          <w:rFonts w:cs="Courier New"/>
          <w:sz w:val="20"/>
          <w:szCs w:val="20"/>
        </w:rPr>
        <w:t xml:space="preserve"> name="start" type="</w:t>
      </w:r>
      <w:proofErr w:type="spellStart"/>
      <w:r w:rsidR="00963A2D" w:rsidRPr="00323BA0">
        <w:rPr>
          <w:rFonts w:cs="Courier New"/>
          <w:sz w:val="20"/>
          <w:szCs w:val="20"/>
        </w:rPr>
        <w:t>TimeType</w:t>
      </w:r>
      <w:proofErr w:type="spellEnd"/>
      <w:r w:rsidR="00963A2D" w:rsidRPr="00323BA0">
        <w:rPr>
          <w:rFonts w:cs="Courier New"/>
          <w:sz w:val="20"/>
          <w:szCs w:val="20"/>
        </w:rPr>
        <w:t xml:space="preserve">" </w:t>
      </w:r>
      <w:proofErr w:type="spellStart"/>
      <w:r w:rsidR="00963A2D" w:rsidRPr="00323BA0">
        <w:rPr>
          <w:rFonts w:cs="Courier New"/>
          <w:sz w:val="20"/>
          <w:szCs w:val="20"/>
        </w:rPr>
        <w:t>minOccurs</w:t>
      </w:r>
      <w:proofErr w:type="spellEnd"/>
      <w:r w:rsidR="00963A2D" w:rsidRPr="00323BA0">
        <w:rPr>
          <w:rFonts w:cs="Courier New"/>
          <w:sz w:val="20"/>
          <w:szCs w:val="20"/>
        </w:rPr>
        <w:t xml:space="preserve">="1" </w:t>
      </w:r>
      <w:proofErr w:type="spellStart"/>
      <w:r w:rsidR="00963A2D" w:rsidRPr="00323BA0">
        <w:rPr>
          <w:rFonts w:cs="Courier New"/>
          <w:sz w:val="20"/>
          <w:szCs w:val="20"/>
        </w:rPr>
        <w:t>maxOccurs</w:t>
      </w:r>
      <w:proofErr w:type="spellEnd"/>
      <w:r w:rsidR="00963A2D" w:rsidRPr="00323BA0">
        <w:rPr>
          <w:rFonts w:cs="Courier New"/>
          <w:sz w:val="20"/>
          <w:szCs w:val="20"/>
        </w:rPr>
        <w:t>="1"&gt;</w:t>
      </w:r>
      <w:r w:rsidR="00DE2FBE">
        <w:rPr>
          <w:rFonts w:cs="Courier New"/>
          <w:sz w:val="20"/>
          <w:szCs w:val="20"/>
        </w:rPr>
        <w:t>”</w:t>
      </w:r>
      <w:r w:rsidR="00963A2D" w:rsidRPr="00323BA0">
        <w:rPr>
          <w:rFonts w:cs="Courier New"/>
          <w:bCs/>
          <w:sz w:val="20"/>
          <w:szCs w:val="20"/>
        </w:rPr>
        <w:t>.  This line appears to be utilizing a separate, unique time structure rather than a standards XML time structure.  This technical point should be reviewed.</w:t>
      </w:r>
    </w:p>
    <w:p w:rsidR="00963A2D" w:rsidRPr="00323BA0" w:rsidRDefault="00963A2D" w:rsidP="00963A2D">
      <w:pPr>
        <w:spacing w:after="0"/>
        <w:rPr>
          <w:rFonts w:cs="Courier New"/>
          <w:bCs/>
          <w:sz w:val="20"/>
          <w:szCs w:val="20"/>
        </w:rPr>
      </w:pPr>
    </w:p>
    <w:p w:rsidR="00963A2D" w:rsidRPr="00323BA0" w:rsidRDefault="00963A2D" w:rsidP="00963A2D">
      <w:pPr>
        <w:spacing w:after="0"/>
        <w:rPr>
          <w:b/>
          <w:sz w:val="20"/>
          <w:szCs w:val="20"/>
          <w:u w:val="single"/>
        </w:rPr>
      </w:pPr>
      <w:r w:rsidRPr="00323BA0">
        <w:rPr>
          <w:b/>
          <w:sz w:val="20"/>
          <w:szCs w:val="20"/>
          <w:u w:val="single"/>
        </w:rPr>
        <w:t>Appendix D</w:t>
      </w:r>
    </w:p>
    <w:p w:rsidR="00963A2D" w:rsidRPr="00323BA0" w:rsidRDefault="00963A2D" w:rsidP="00963A2D">
      <w:pPr>
        <w:spacing w:after="0"/>
        <w:rPr>
          <w:sz w:val="20"/>
          <w:szCs w:val="20"/>
        </w:rPr>
      </w:pPr>
      <w:r w:rsidRPr="00323BA0">
        <w:rPr>
          <w:sz w:val="20"/>
          <w:szCs w:val="20"/>
        </w:rPr>
        <w:t>In the table in Appendix D, Model Conformance Information, the CIM note for the “</w:t>
      </w:r>
      <w:proofErr w:type="spellStart"/>
      <w:r w:rsidRPr="00323BA0">
        <w:rPr>
          <w:sz w:val="20"/>
          <w:szCs w:val="20"/>
        </w:rPr>
        <w:t>DataTimeInterval.duration</w:t>
      </w:r>
      <w:proofErr w:type="spellEnd"/>
      <w:r w:rsidRPr="00323BA0">
        <w:rPr>
          <w:sz w:val="20"/>
          <w:szCs w:val="20"/>
        </w:rPr>
        <w:t>” element states, “Uses ‘end’ instead of duration.”</w:t>
      </w:r>
      <w:r w:rsidR="00EF0101" w:rsidRPr="00323BA0">
        <w:rPr>
          <w:sz w:val="20"/>
          <w:szCs w:val="20"/>
        </w:rPr>
        <w:t xml:space="preserve">  We question the technical voracity of this deviation from typical CIM usage practice.</w:t>
      </w:r>
    </w:p>
    <w:p w:rsidR="00323BA0" w:rsidRPr="00323BA0" w:rsidRDefault="00323BA0" w:rsidP="00CB3285">
      <w:pPr>
        <w:spacing w:after="0"/>
        <w:rPr>
          <w:sz w:val="20"/>
          <w:szCs w:val="20"/>
        </w:rPr>
      </w:pPr>
    </w:p>
    <w:p w:rsidR="006E71D7" w:rsidRPr="00323BA0" w:rsidRDefault="00EF0101" w:rsidP="00CB3285">
      <w:pPr>
        <w:spacing w:after="0"/>
        <w:rPr>
          <w:sz w:val="20"/>
          <w:szCs w:val="20"/>
        </w:rPr>
      </w:pPr>
      <w:r w:rsidRPr="00323BA0">
        <w:rPr>
          <w:sz w:val="20"/>
          <w:szCs w:val="20"/>
        </w:rPr>
        <w:t>DTE Energy wishe</w:t>
      </w:r>
      <w:r w:rsidR="0008612E" w:rsidRPr="00323BA0">
        <w:rPr>
          <w:sz w:val="20"/>
          <w:szCs w:val="20"/>
        </w:rPr>
        <w:t>s</w:t>
      </w:r>
      <w:r w:rsidRPr="00323BA0">
        <w:rPr>
          <w:sz w:val="20"/>
          <w:szCs w:val="20"/>
        </w:rPr>
        <w:t xml:space="preserve"> to thank NAES</w:t>
      </w:r>
      <w:r w:rsidR="0008612E" w:rsidRPr="00323BA0">
        <w:rPr>
          <w:sz w:val="20"/>
          <w:szCs w:val="20"/>
        </w:rPr>
        <w:t>B for its work on this standard</w:t>
      </w:r>
      <w:r w:rsidR="00CD071E" w:rsidRPr="00323BA0">
        <w:rPr>
          <w:sz w:val="20"/>
          <w:szCs w:val="20"/>
        </w:rPr>
        <w:t xml:space="preserve"> and its consideration of </w:t>
      </w:r>
      <w:r w:rsidR="009927EC">
        <w:rPr>
          <w:sz w:val="20"/>
          <w:szCs w:val="20"/>
        </w:rPr>
        <w:t>these</w:t>
      </w:r>
      <w:r w:rsidR="00CD071E" w:rsidRPr="00323BA0">
        <w:rPr>
          <w:sz w:val="20"/>
          <w:szCs w:val="20"/>
        </w:rPr>
        <w:t xml:space="preserve"> comments.</w:t>
      </w:r>
    </w:p>
    <w:p w:rsidR="0008612E" w:rsidRPr="00323BA0" w:rsidRDefault="0008612E" w:rsidP="00CB3285">
      <w:pPr>
        <w:spacing w:after="0"/>
        <w:rPr>
          <w:sz w:val="20"/>
          <w:szCs w:val="20"/>
        </w:rPr>
      </w:pPr>
    </w:p>
    <w:p w:rsidR="006E71D7" w:rsidRPr="00323BA0" w:rsidRDefault="000A6307" w:rsidP="00CB3285">
      <w:pPr>
        <w:spacing w:after="0"/>
        <w:rPr>
          <w:sz w:val="20"/>
          <w:szCs w:val="20"/>
        </w:rPr>
      </w:pPr>
      <w:r w:rsidRPr="00323BA0">
        <w:rPr>
          <w:sz w:val="20"/>
          <w:szCs w:val="20"/>
        </w:rPr>
        <w:t xml:space="preserve">Ronald W Vader </w:t>
      </w:r>
      <w:r w:rsidR="00B30CFA">
        <w:rPr>
          <w:sz w:val="20"/>
          <w:szCs w:val="20"/>
        </w:rPr>
        <w:t>/s/</w:t>
      </w:r>
    </w:p>
    <w:p w:rsidR="000A6307" w:rsidRPr="00323BA0" w:rsidRDefault="000A6307" w:rsidP="00CB3285">
      <w:pPr>
        <w:spacing w:after="0"/>
        <w:rPr>
          <w:sz w:val="20"/>
          <w:szCs w:val="20"/>
        </w:rPr>
      </w:pPr>
      <w:r w:rsidRPr="00323BA0">
        <w:rPr>
          <w:sz w:val="20"/>
          <w:szCs w:val="20"/>
        </w:rPr>
        <w:t>Senior Engineer,</w:t>
      </w:r>
    </w:p>
    <w:p w:rsidR="000A6307" w:rsidRPr="00323BA0" w:rsidRDefault="000A6307" w:rsidP="00CB3285">
      <w:pPr>
        <w:spacing w:after="0"/>
        <w:rPr>
          <w:sz w:val="20"/>
          <w:szCs w:val="20"/>
        </w:rPr>
      </w:pPr>
      <w:r w:rsidRPr="00323BA0">
        <w:rPr>
          <w:sz w:val="20"/>
          <w:szCs w:val="20"/>
        </w:rPr>
        <w:t xml:space="preserve">Distribution Operations </w:t>
      </w:r>
      <w:proofErr w:type="spellStart"/>
      <w:r w:rsidRPr="00323BA0">
        <w:rPr>
          <w:sz w:val="20"/>
          <w:szCs w:val="20"/>
        </w:rPr>
        <w:t>SmartCurrents</w:t>
      </w:r>
      <w:proofErr w:type="spellEnd"/>
      <w:r w:rsidRPr="00323BA0">
        <w:rPr>
          <w:sz w:val="20"/>
          <w:szCs w:val="20"/>
        </w:rPr>
        <w:t xml:space="preserve"> Standards</w:t>
      </w:r>
    </w:p>
    <w:p w:rsidR="000A6307" w:rsidRPr="00323BA0" w:rsidRDefault="000A6307" w:rsidP="00CB3285">
      <w:pPr>
        <w:spacing w:after="0"/>
        <w:rPr>
          <w:sz w:val="20"/>
          <w:szCs w:val="20"/>
        </w:rPr>
      </w:pPr>
      <w:r w:rsidRPr="00323BA0">
        <w:rPr>
          <w:sz w:val="20"/>
          <w:szCs w:val="20"/>
        </w:rPr>
        <w:t>DTE Energy</w:t>
      </w:r>
    </w:p>
    <w:sectPr w:rsidR="000A6307" w:rsidRPr="00323BA0" w:rsidSect="007524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B3285"/>
    <w:rsid w:val="0008612E"/>
    <w:rsid w:val="00087B2E"/>
    <w:rsid w:val="000A6307"/>
    <w:rsid w:val="000D10AB"/>
    <w:rsid w:val="001542A0"/>
    <w:rsid w:val="00323BA0"/>
    <w:rsid w:val="00336D7C"/>
    <w:rsid w:val="00421C08"/>
    <w:rsid w:val="006476DA"/>
    <w:rsid w:val="006776E3"/>
    <w:rsid w:val="006E71D7"/>
    <w:rsid w:val="0075245A"/>
    <w:rsid w:val="00807459"/>
    <w:rsid w:val="00947924"/>
    <w:rsid w:val="00963A2D"/>
    <w:rsid w:val="009927EC"/>
    <w:rsid w:val="00A615B6"/>
    <w:rsid w:val="00A75591"/>
    <w:rsid w:val="00AA0F3D"/>
    <w:rsid w:val="00AF1908"/>
    <w:rsid w:val="00B30CFA"/>
    <w:rsid w:val="00B413E7"/>
    <w:rsid w:val="00B708C3"/>
    <w:rsid w:val="00CB3285"/>
    <w:rsid w:val="00CD071E"/>
    <w:rsid w:val="00DE2FBE"/>
    <w:rsid w:val="00E4294C"/>
    <w:rsid w:val="00EF0101"/>
    <w:rsid w:val="00F45F9E"/>
    <w:rsid w:val="00F86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45A"/>
  </w:style>
  <w:style w:type="paragraph" w:styleId="Heading4">
    <w:name w:val="heading 4"/>
    <w:basedOn w:val="Normal"/>
    <w:next w:val="Normal"/>
    <w:link w:val="Heading4Char"/>
    <w:uiPriority w:val="99"/>
    <w:qFormat/>
    <w:rsid w:val="00963A2D"/>
    <w:pPr>
      <w:keepNext/>
      <w:autoSpaceDE w:val="0"/>
      <w:autoSpaceDN w:val="0"/>
      <w:adjustRightInd w:val="0"/>
      <w:spacing w:after="0" w:line="240" w:lineRule="auto"/>
      <w:ind w:left="1440"/>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9"/>
    <w:rsid w:val="00963A2D"/>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DTE Energy</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e48462</dc:creator>
  <cp:keywords/>
  <dc:description/>
  <cp:lastModifiedBy>e48462</cp:lastModifiedBy>
  <cp:revision>19</cp:revision>
  <dcterms:created xsi:type="dcterms:W3CDTF">2011-08-03T16:26:00Z</dcterms:created>
  <dcterms:modified xsi:type="dcterms:W3CDTF">2011-08-05T15:15:00Z</dcterms:modified>
</cp:coreProperties>
</file>