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0B428" w14:textId="77777777"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B377A2">
        <w:rPr>
          <w:rFonts w:ascii="News Gothic" w:hAnsi="News Gothic"/>
          <w:b/>
          <w:sz w:val="22"/>
        </w:rPr>
        <w:t>North American Energy Standards Board</w:t>
      </w:r>
    </w:p>
    <w:p w14:paraId="5E3C58EB"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4C2C08E9"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505EAEC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14:paraId="5B64FEB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4C8C58D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14:paraId="3F39304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0FFF186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856CDE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14:paraId="4525E52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59D4883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4979B22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14:paraId="5CB3EFF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E0984E2"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14:paraId="4E3BCE1B"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75ED35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14:paraId="3BDDF81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14:paraId="4D8425A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14:paraId="61A595EA" w14:textId="77777777"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D9749B">
        <w:rPr>
          <w:rFonts w:ascii="News Gothic" w:hAnsi="News Gothic"/>
          <w:b/>
          <w:sz w:val="22"/>
        </w:rPr>
        <w:t>1415 Louisiana</w:t>
      </w:r>
      <w:r w:rsidR="00E3245B">
        <w:rPr>
          <w:rFonts w:ascii="News Gothic" w:hAnsi="News Gothic"/>
          <w:b/>
          <w:sz w:val="22"/>
        </w:rPr>
        <w:t xml:space="preserve">, Suite </w:t>
      </w:r>
      <w:r w:rsidR="00D9749B">
        <w:rPr>
          <w:rFonts w:ascii="News Gothic" w:hAnsi="News Gothic"/>
          <w:b/>
          <w:sz w:val="22"/>
        </w:rPr>
        <w:t>3460</w:t>
      </w:r>
    </w:p>
    <w:p w14:paraId="287523D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14:paraId="30EC2C1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F656C4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14:paraId="20F73FB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14:paraId="48547FF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CBCEAF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 xml:space="preserve">by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14:paraId="268EB1D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B4A44A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14:paraId="7B396F12"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566F7A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3A37B416" w14:textId="77777777"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14:paraId="73824C14"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68AD97A5"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669F82DC"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106C1DAC"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1EBB0A9B"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08929BD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7B71AEDE" w14:textId="40518917" w:rsidR="00D360B8" w:rsidRDefault="00D360B8" w:rsidP="3A2B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szCs w:val="22"/>
        </w:rPr>
      </w:pPr>
      <w:r w:rsidRPr="3A2B57C8">
        <w:rPr>
          <w:rFonts w:ascii="News Gothic" w:hAnsi="News Gothic"/>
          <w:sz w:val="22"/>
          <w:szCs w:val="22"/>
        </w:rPr>
        <w:t xml:space="preserve">   Date of Request:   </w:t>
      </w:r>
      <w:r w:rsidR="0E216780" w:rsidRPr="002E5AC6">
        <w:rPr>
          <w:rFonts w:ascii="News Gothic" w:hAnsi="News Gothic"/>
          <w:sz w:val="22"/>
          <w:szCs w:val="22"/>
        </w:rPr>
        <w:t>January</w:t>
      </w:r>
      <w:r w:rsidR="00A41BB8" w:rsidRPr="002E5AC6">
        <w:rPr>
          <w:rFonts w:ascii="News Gothic" w:hAnsi="News Gothic"/>
          <w:sz w:val="22"/>
          <w:szCs w:val="22"/>
        </w:rPr>
        <w:t xml:space="preserve"> </w:t>
      </w:r>
      <w:r w:rsidR="002E5AC6" w:rsidRPr="002E5AC6">
        <w:rPr>
          <w:rFonts w:ascii="News Gothic" w:hAnsi="News Gothic"/>
          <w:sz w:val="22"/>
          <w:szCs w:val="22"/>
        </w:rPr>
        <w:t>9</w:t>
      </w:r>
      <w:r w:rsidR="00A41BB8" w:rsidRPr="002E5AC6">
        <w:rPr>
          <w:rFonts w:ascii="News Gothic" w:hAnsi="News Gothic"/>
          <w:sz w:val="22"/>
          <w:szCs w:val="22"/>
        </w:rPr>
        <w:t>, 202</w:t>
      </w:r>
      <w:r w:rsidR="0C36879B" w:rsidRPr="002E5AC6">
        <w:rPr>
          <w:rFonts w:ascii="News Gothic" w:hAnsi="News Gothic"/>
          <w:sz w:val="22"/>
          <w:szCs w:val="22"/>
        </w:rPr>
        <w:t>4</w:t>
      </w:r>
    </w:p>
    <w:p w14:paraId="534E6F1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308835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8A2C2F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14:paraId="171D95CF" w14:textId="77777777" w:rsidR="00A41BB8" w:rsidRDefault="00D360B8" w:rsidP="00593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A41BB8">
        <w:rPr>
          <w:rFonts w:ascii="News Gothic" w:hAnsi="News Gothic"/>
          <w:sz w:val="22"/>
        </w:rPr>
        <w:t>ICF Consulting, Reston, VA</w:t>
      </w:r>
    </w:p>
    <w:p w14:paraId="6508F326" w14:textId="77777777" w:rsidR="00D360B8" w:rsidRDefault="00D360B8" w:rsidP="00A41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sidR="00A41BB8">
        <w:rPr>
          <w:rFonts w:ascii="News Gothic" w:hAnsi="News Gothic"/>
          <w:sz w:val="22"/>
        </w:rPr>
        <w:t xml:space="preserve">             U.S. Department of Energy, Washington, DC </w:t>
      </w:r>
    </w:p>
    <w:p w14:paraId="2364E78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
    <w:p w14:paraId="205A28E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DE0A96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14:paraId="49F15254" w14:textId="77777777" w:rsidR="007D31FB"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
    <w:p w14:paraId="4A415E62" w14:textId="54181366" w:rsidR="007D31FB" w:rsidRDefault="007D31FB" w:rsidP="007D3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CC382F">
        <w:rPr>
          <w:rFonts w:ascii="News Gothic" w:hAnsi="News Gothic"/>
          <w:sz w:val="22"/>
        </w:rPr>
        <w:t xml:space="preserve">Joseph Paladino </w:t>
      </w:r>
    </w:p>
    <w:p w14:paraId="48CEAF4A" w14:textId="17702444" w:rsidR="007D31FB" w:rsidRDefault="007D31FB" w:rsidP="007D3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635239" w:rsidRPr="00635239">
        <w:rPr>
          <w:rFonts w:ascii="News Gothic" w:hAnsi="News Gothic"/>
          <w:sz w:val="22"/>
        </w:rPr>
        <w:t>Senior Advisor, Office of Electricity, US Department of Energy</w:t>
      </w:r>
    </w:p>
    <w:p w14:paraId="3C2793FB" w14:textId="67D52357" w:rsidR="007D31FB" w:rsidRDefault="007D31FB" w:rsidP="007D3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Pr="00593CD9">
        <w:rPr>
          <w:rFonts w:ascii="News Gothic" w:hAnsi="News Gothic"/>
          <w:sz w:val="22"/>
        </w:rPr>
        <w:t xml:space="preserve">Phone </w:t>
      </w:r>
      <w:r w:rsidR="00754849">
        <w:rPr>
          <w:rFonts w:ascii="News Gothic" w:hAnsi="News Gothic"/>
          <w:sz w:val="22"/>
        </w:rPr>
        <w:t xml:space="preserve"> </w:t>
      </w:r>
      <w:r w:rsidRPr="00593CD9">
        <w:rPr>
          <w:rFonts w:ascii="News Gothic" w:hAnsi="News Gothic"/>
          <w:sz w:val="22"/>
        </w:rPr>
        <w:t xml:space="preserve">:  </w:t>
      </w:r>
      <w:r w:rsidRPr="00593CD9">
        <w:rPr>
          <w:rFonts w:ascii="News Gothic" w:hAnsi="News Gothic"/>
          <w:sz w:val="22"/>
        </w:rPr>
        <w:tab/>
      </w:r>
      <w:r w:rsidR="00A8708A" w:rsidRPr="00A8708A">
        <w:rPr>
          <w:rFonts w:ascii="News Gothic" w:hAnsi="News Gothic"/>
          <w:sz w:val="22"/>
        </w:rPr>
        <w:t>202-251-0373</w:t>
      </w:r>
    </w:p>
    <w:p w14:paraId="5564E5D0" w14:textId="4C53458A" w:rsidR="007D31FB" w:rsidRDefault="007D31FB" w:rsidP="007D3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hyperlink r:id="rId11" w:history="1">
        <w:r w:rsidR="00EB6902" w:rsidRPr="00EB6902">
          <w:rPr>
            <w:rStyle w:val="Hyperlink"/>
            <w:rFonts w:ascii="News Gothic" w:hAnsi="News Gothic"/>
            <w:sz w:val="22"/>
          </w:rPr>
          <w:t>joseph.paladino@hq.doe.gov</w:t>
        </w:r>
      </w:hyperlink>
    </w:p>
    <w:p w14:paraId="0234C19E" w14:textId="77777777" w:rsidR="007D31FB" w:rsidRDefault="007D3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ECF625A" w14:textId="7D35A467" w:rsidR="00D360B8" w:rsidRDefault="007D3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00D360B8">
        <w:rPr>
          <w:rFonts w:ascii="News Gothic" w:hAnsi="News Gothic"/>
          <w:sz w:val="22"/>
        </w:rPr>
        <w:t xml:space="preserve">Name </w:t>
      </w:r>
      <w:r w:rsidR="00D360B8">
        <w:rPr>
          <w:rFonts w:ascii="News Gothic" w:hAnsi="News Gothic"/>
          <w:sz w:val="22"/>
        </w:rPr>
        <w:tab/>
        <w:t xml:space="preserve">:     </w:t>
      </w:r>
      <w:r w:rsidR="00D360B8">
        <w:rPr>
          <w:rFonts w:ascii="News Gothic" w:hAnsi="News Gothic"/>
          <w:sz w:val="22"/>
        </w:rPr>
        <w:tab/>
      </w:r>
      <w:r w:rsidR="00A41BB8">
        <w:rPr>
          <w:rFonts w:ascii="News Gothic" w:hAnsi="News Gothic"/>
          <w:sz w:val="22"/>
        </w:rPr>
        <w:t>Saumil Patel</w:t>
      </w:r>
    </w:p>
    <w:p w14:paraId="24FD0EA8" w14:textId="067A0DA0"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A41BB8">
        <w:rPr>
          <w:rFonts w:ascii="News Gothic" w:hAnsi="News Gothic"/>
          <w:sz w:val="22"/>
        </w:rPr>
        <w:t>Technical Consultant</w:t>
      </w:r>
      <w:r w:rsidR="00083111">
        <w:rPr>
          <w:rFonts w:ascii="News Gothic" w:hAnsi="News Gothic"/>
          <w:sz w:val="22"/>
        </w:rPr>
        <w:t>, IC</w:t>
      </w:r>
      <w:r w:rsidR="00AA1A37">
        <w:rPr>
          <w:rFonts w:ascii="News Gothic" w:hAnsi="News Gothic"/>
          <w:sz w:val="22"/>
        </w:rPr>
        <w:t>F International</w:t>
      </w:r>
    </w:p>
    <w:p w14:paraId="1B281588" w14:textId="76B9A887" w:rsidR="00D360B8" w:rsidRDefault="00D360B8" w:rsidP="00593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Pr="00593CD9">
        <w:rPr>
          <w:rFonts w:ascii="News Gothic" w:hAnsi="News Gothic"/>
          <w:sz w:val="22"/>
        </w:rPr>
        <w:t xml:space="preserve">Phone </w:t>
      </w:r>
      <w:r w:rsidR="00754849">
        <w:rPr>
          <w:rFonts w:ascii="News Gothic" w:hAnsi="News Gothic"/>
          <w:sz w:val="22"/>
        </w:rPr>
        <w:t xml:space="preserve"> </w:t>
      </w:r>
      <w:r w:rsidRPr="00593CD9">
        <w:rPr>
          <w:rFonts w:ascii="News Gothic" w:hAnsi="News Gothic"/>
          <w:sz w:val="22"/>
        </w:rPr>
        <w:t xml:space="preserve">:  </w:t>
      </w:r>
      <w:r w:rsidRPr="00593CD9">
        <w:rPr>
          <w:rFonts w:ascii="News Gothic" w:hAnsi="News Gothic"/>
          <w:sz w:val="22"/>
        </w:rPr>
        <w:tab/>
      </w:r>
      <w:r w:rsidR="00593CD9" w:rsidRPr="00593CD9">
        <w:rPr>
          <w:rFonts w:ascii="News Gothic" w:hAnsi="News Gothic"/>
          <w:sz w:val="22"/>
        </w:rPr>
        <w:t>248-550-7605</w:t>
      </w:r>
    </w:p>
    <w:p w14:paraId="6BCEB55B" w14:textId="35351DF0"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hyperlink r:id="rId12" w:history="1">
        <w:r w:rsidR="00EB6902" w:rsidRPr="00570BA7">
          <w:rPr>
            <w:rStyle w:val="Hyperlink"/>
            <w:rFonts w:ascii="News Gothic" w:hAnsi="News Gothic"/>
            <w:sz w:val="22"/>
          </w:rPr>
          <w:t>saumil.patel@icf.com</w:t>
        </w:r>
      </w:hyperlink>
      <w:r w:rsidR="00EB6902">
        <w:rPr>
          <w:rFonts w:ascii="News Gothic" w:hAnsi="News Gothic"/>
          <w:sz w:val="22"/>
        </w:rPr>
        <w:t xml:space="preserve"> </w:t>
      </w:r>
    </w:p>
    <w:p w14:paraId="741051A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11A502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982078A" w14:textId="77777777" w:rsidR="00D360B8" w:rsidRDefault="004D2CC4"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Title and </w:t>
      </w:r>
      <w:r w:rsidR="00D360B8">
        <w:rPr>
          <w:rFonts w:ascii="News Gothic" w:hAnsi="News Gothic"/>
          <w:sz w:val="22"/>
        </w:rPr>
        <w:t>Description of Proposed Standard or Enhancement:</w:t>
      </w:r>
    </w:p>
    <w:p w14:paraId="6C682062"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71AF34FA" w14:textId="13052115" w:rsidR="00D360B8" w:rsidRPr="00B34607" w:rsidRDefault="0053143D" w:rsidP="00464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Title:</w:t>
      </w:r>
      <w:r w:rsidR="00A41BB8" w:rsidRPr="00B34607">
        <w:rPr>
          <w:rFonts w:ascii="Arial" w:hAnsi="Arial" w:cs="Arial"/>
          <w:sz w:val="22"/>
        </w:rPr>
        <w:t xml:space="preserve"> </w:t>
      </w:r>
      <w:r w:rsidR="00BB2F3A" w:rsidRPr="00B34607">
        <w:rPr>
          <w:rFonts w:ascii="Arial" w:hAnsi="Arial" w:cs="Arial"/>
          <w:sz w:val="22"/>
        </w:rPr>
        <w:t xml:space="preserve">A proposal for a standardized pro forma </w:t>
      </w:r>
      <w:r w:rsidR="005B5EBE" w:rsidRPr="00B34607">
        <w:rPr>
          <w:rFonts w:ascii="Arial" w:hAnsi="Arial" w:cs="Arial"/>
          <w:sz w:val="22"/>
        </w:rPr>
        <w:t xml:space="preserve">distribution service </w:t>
      </w:r>
      <w:r w:rsidR="00BB2F3A" w:rsidRPr="00B34607">
        <w:rPr>
          <w:rFonts w:ascii="Arial" w:hAnsi="Arial" w:cs="Arial"/>
          <w:sz w:val="22"/>
        </w:rPr>
        <w:t xml:space="preserve">contract for DER </w:t>
      </w:r>
      <w:r w:rsidR="005B5EBE" w:rsidRPr="00B34607">
        <w:rPr>
          <w:rFonts w:ascii="Arial" w:hAnsi="Arial" w:cs="Arial"/>
          <w:sz w:val="22"/>
        </w:rPr>
        <w:t xml:space="preserve">aggregations </w:t>
      </w:r>
    </w:p>
    <w:p w14:paraId="699051E1" w14:textId="77777777"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60A216B4" w14:textId="77777777" w:rsidR="0053143D" w:rsidRPr="00B34607"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Description:</w:t>
      </w:r>
    </w:p>
    <w:p w14:paraId="454DDBCB" w14:textId="16AA3CEA" w:rsidR="005B5EBE" w:rsidRPr="00B34607" w:rsidRDefault="005B7BA0" w:rsidP="3A2B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34607">
        <w:rPr>
          <w:rFonts w:ascii="Arial" w:hAnsi="Arial" w:cs="Arial"/>
          <w:sz w:val="22"/>
          <w:szCs w:val="22"/>
        </w:rPr>
        <w:t>The aim of this proposal is for the North American Energy Standards Board (NAESB) to develop a standardized pro forma contract for Distributed Energy Resources (DER) services</w:t>
      </w:r>
      <w:r w:rsidR="00593CD9" w:rsidRPr="00B34607">
        <w:rPr>
          <w:rFonts w:ascii="Arial" w:hAnsi="Arial" w:cs="Arial"/>
          <w:sz w:val="22"/>
          <w:szCs w:val="22"/>
        </w:rPr>
        <w:t xml:space="preserve"> for the distribution grid</w:t>
      </w:r>
      <w:r w:rsidRPr="00B34607">
        <w:rPr>
          <w:rFonts w:ascii="Arial" w:hAnsi="Arial" w:cs="Arial"/>
          <w:sz w:val="22"/>
          <w:szCs w:val="22"/>
        </w:rPr>
        <w:t>.</w:t>
      </w:r>
      <w:r w:rsidR="005B5EBE" w:rsidRPr="00B34607">
        <w:rPr>
          <w:rFonts w:ascii="Arial" w:hAnsi="Arial" w:cs="Arial"/>
          <w:sz w:val="22"/>
          <w:szCs w:val="22"/>
        </w:rPr>
        <w:t xml:space="preserve"> The</w:t>
      </w:r>
      <w:r w:rsidRPr="00B34607">
        <w:rPr>
          <w:rFonts w:ascii="Arial" w:hAnsi="Arial" w:cs="Arial"/>
          <w:sz w:val="22"/>
          <w:szCs w:val="22"/>
        </w:rPr>
        <w:t xml:space="preserve"> </w:t>
      </w:r>
      <w:r w:rsidR="005B5EBE" w:rsidRPr="00B34607">
        <w:rPr>
          <w:rFonts w:ascii="Arial" w:hAnsi="Arial" w:cs="Arial"/>
          <w:sz w:val="22"/>
          <w:szCs w:val="22"/>
        </w:rPr>
        <w:t>use of</w:t>
      </w:r>
      <w:r w:rsidRPr="00B34607">
        <w:rPr>
          <w:rFonts w:ascii="Arial" w:hAnsi="Arial" w:cs="Arial"/>
          <w:sz w:val="22"/>
          <w:szCs w:val="22"/>
        </w:rPr>
        <w:t xml:space="preserve"> DER </w:t>
      </w:r>
      <w:r w:rsidR="005B5EBE" w:rsidRPr="00B34607">
        <w:rPr>
          <w:rFonts w:ascii="Arial" w:hAnsi="Arial" w:cs="Arial"/>
          <w:sz w:val="22"/>
          <w:szCs w:val="22"/>
        </w:rPr>
        <w:t xml:space="preserve">services for distribution grids </w:t>
      </w:r>
      <w:r w:rsidR="00593CD9" w:rsidRPr="00B34607">
        <w:rPr>
          <w:rFonts w:ascii="Arial" w:hAnsi="Arial" w:cs="Arial"/>
          <w:sz w:val="22"/>
          <w:szCs w:val="22"/>
        </w:rPr>
        <w:t xml:space="preserve">and </w:t>
      </w:r>
      <w:r w:rsidR="005B5EBE" w:rsidRPr="00B34607">
        <w:rPr>
          <w:rFonts w:ascii="Arial" w:hAnsi="Arial" w:cs="Arial"/>
          <w:sz w:val="22"/>
          <w:szCs w:val="22"/>
        </w:rPr>
        <w:t xml:space="preserve">wholesale markets is anticipated to grow by upwards of 300% over this decade and the need for </w:t>
      </w:r>
      <w:r w:rsidR="00593CD9" w:rsidRPr="00B34607">
        <w:rPr>
          <w:rFonts w:ascii="Arial" w:hAnsi="Arial" w:cs="Arial"/>
          <w:sz w:val="22"/>
          <w:szCs w:val="22"/>
        </w:rPr>
        <w:t xml:space="preserve">FERC </w:t>
      </w:r>
      <w:r w:rsidR="005B5EBE" w:rsidRPr="00B34607">
        <w:rPr>
          <w:rFonts w:ascii="Arial" w:hAnsi="Arial" w:cs="Arial"/>
          <w:sz w:val="22"/>
          <w:szCs w:val="22"/>
        </w:rPr>
        <w:t xml:space="preserve">Order </w:t>
      </w:r>
      <w:r w:rsidR="00593CD9" w:rsidRPr="00B34607">
        <w:rPr>
          <w:rFonts w:ascii="Arial" w:hAnsi="Arial" w:cs="Arial"/>
          <w:sz w:val="22"/>
          <w:szCs w:val="22"/>
        </w:rPr>
        <w:t xml:space="preserve">2222 </w:t>
      </w:r>
      <w:r w:rsidR="005B5EBE" w:rsidRPr="00B34607">
        <w:rPr>
          <w:rFonts w:ascii="Arial" w:hAnsi="Arial" w:cs="Arial"/>
          <w:sz w:val="22"/>
          <w:szCs w:val="22"/>
        </w:rPr>
        <w:t xml:space="preserve">alignment. However, there are two key issues that need to be addressed. One, </w:t>
      </w:r>
      <w:r w:rsidRPr="00B34607">
        <w:rPr>
          <w:rFonts w:ascii="Arial" w:hAnsi="Arial" w:cs="Arial"/>
          <w:sz w:val="22"/>
          <w:szCs w:val="22"/>
        </w:rPr>
        <w:t>the</w:t>
      </w:r>
      <w:r w:rsidR="005B5EBE" w:rsidRPr="00B34607">
        <w:rPr>
          <w:rFonts w:ascii="Arial" w:hAnsi="Arial" w:cs="Arial"/>
          <w:sz w:val="22"/>
          <w:szCs w:val="22"/>
        </w:rPr>
        <w:t>re is significant</w:t>
      </w:r>
      <w:r w:rsidRPr="00B34607">
        <w:rPr>
          <w:rFonts w:ascii="Arial" w:hAnsi="Arial" w:cs="Arial"/>
          <w:sz w:val="22"/>
          <w:szCs w:val="22"/>
        </w:rPr>
        <w:t xml:space="preserve"> variation and inconsistency in </w:t>
      </w:r>
      <w:r w:rsidR="005B5EBE" w:rsidRPr="00B34607">
        <w:rPr>
          <w:rFonts w:ascii="Arial" w:hAnsi="Arial" w:cs="Arial"/>
          <w:sz w:val="22"/>
          <w:szCs w:val="22"/>
        </w:rPr>
        <w:t xml:space="preserve">utility </w:t>
      </w:r>
      <w:r w:rsidRPr="00B34607">
        <w:rPr>
          <w:rFonts w:ascii="Arial" w:hAnsi="Arial" w:cs="Arial"/>
          <w:sz w:val="22"/>
          <w:szCs w:val="22"/>
        </w:rPr>
        <w:t>distribution service contracts across different utilities, states, and types of DER</w:t>
      </w:r>
      <w:r w:rsidR="005B5EBE" w:rsidRPr="00B34607">
        <w:rPr>
          <w:rFonts w:ascii="Arial" w:hAnsi="Arial" w:cs="Arial"/>
          <w:sz w:val="22"/>
          <w:szCs w:val="22"/>
        </w:rPr>
        <w:t xml:space="preserve"> that create significant market barriers for DER aggregators as noted by DOE</w:t>
      </w:r>
      <w:r w:rsidRPr="00B34607">
        <w:rPr>
          <w:rFonts w:ascii="Arial" w:hAnsi="Arial" w:cs="Arial"/>
          <w:sz w:val="22"/>
          <w:szCs w:val="22"/>
        </w:rPr>
        <w:t xml:space="preserve">. </w:t>
      </w:r>
      <w:r w:rsidR="005B5EBE" w:rsidRPr="00B34607">
        <w:rPr>
          <w:rFonts w:ascii="Arial" w:hAnsi="Arial" w:cs="Arial"/>
          <w:sz w:val="22"/>
          <w:szCs w:val="22"/>
        </w:rPr>
        <w:t>Second, there is a need to conform utility DER services contracts to FERC Order 2222 requirements that flow down to distribution utilities in ISO/RTO markets to ensure market and operational coordination for DER aggregations that participate in both distribution and wholesale opportunities.</w:t>
      </w:r>
      <w:r w:rsidR="003F246A" w:rsidRPr="00B34607">
        <w:rPr>
          <w:rFonts w:ascii="Arial" w:hAnsi="Arial" w:cs="Arial"/>
          <w:sz w:val="22"/>
          <w:szCs w:val="22"/>
        </w:rPr>
        <w:t xml:space="preserve"> The DOE emphasized the growing importance of Virtual Power Plants and their crucial role in the energy landscape in a report titled “Pathways to Commercial </w:t>
      </w:r>
      <w:r w:rsidR="003F246A" w:rsidRPr="00B34607">
        <w:rPr>
          <w:rFonts w:ascii="Arial" w:hAnsi="Arial" w:cs="Arial"/>
          <w:sz w:val="22"/>
          <w:szCs w:val="22"/>
        </w:rPr>
        <w:lastRenderedPageBreak/>
        <w:t>Liftoff for Virtual Power Plants.</w:t>
      </w:r>
      <w:r w:rsidR="003F246A" w:rsidRPr="00B34607">
        <w:rPr>
          <w:rStyle w:val="FootnoteReference"/>
          <w:rFonts w:ascii="Arial" w:hAnsi="Arial" w:cs="Arial"/>
          <w:sz w:val="22"/>
        </w:rPr>
        <w:footnoteReference w:id="2"/>
      </w:r>
      <w:r w:rsidR="003F246A" w:rsidRPr="00B34607">
        <w:rPr>
          <w:rFonts w:ascii="Arial" w:hAnsi="Arial" w:cs="Arial"/>
          <w:sz w:val="22"/>
          <w:szCs w:val="22"/>
        </w:rPr>
        <w:t>” One of the key imperatives of the report is the need for improved standardization in VPP operations within distribution systems. In this context, standardized service agreement contracts will play a pivotal role by ensuring consistency in terms and conditions, providing clarity, and enhancing scalability.</w:t>
      </w:r>
    </w:p>
    <w:p w14:paraId="56F5E3DF" w14:textId="7E6FA99D" w:rsidR="005B5EBE" w:rsidRPr="00B34607" w:rsidRDefault="005B5EBE" w:rsidP="005B7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3233B5C8" w14:textId="5C38B4EB" w:rsidR="005B7BA0" w:rsidRPr="00B34607" w:rsidRDefault="005B7BA0" w:rsidP="005B7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The Department of Energy’s (DOE) Office of Electricity</w:t>
      </w:r>
      <w:r w:rsidR="005B5EBE" w:rsidRPr="00B34607">
        <w:rPr>
          <w:rFonts w:ascii="Arial" w:hAnsi="Arial" w:cs="Arial"/>
          <w:sz w:val="22"/>
        </w:rPr>
        <w:t>, therefore, requests</w:t>
      </w:r>
      <w:r w:rsidR="00FD1CED" w:rsidRPr="00B34607">
        <w:rPr>
          <w:rFonts w:ascii="Arial" w:hAnsi="Arial" w:cs="Arial"/>
          <w:sz w:val="22"/>
        </w:rPr>
        <w:t xml:space="preserve"> </w:t>
      </w:r>
      <w:r w:rsidRPr="00B34607">
        <w:rPr>
          <w:rFonts w:ascii="Arial" w:hAnsi="Arial" w:cs="Arial"/>
          <w:sz w:val="22"/>
        </w:rPr>
        <w:t xml:space="preserve">NAESB to develop a standardized pro forma contract. This contract </w:t>
      </w:r>
      <w:r w:rsidR="005B5EBE" w:rsidRPr="00B34607">
        <w:rPr>
          <w:rFonts w:ascii="Arial" w:hAnsi="Arial" w:cs="Arial"/>
          <w:sz w:val="22"/>
        </w:rPr>
        <w:t xml:space="preserve">would be </w:t>
      </w:r>
      <w:r w:rsidRPr="00B34607">
        <w:rPr>
          <w:rFonts w:ascii="Arial" w:hAnsi="Arial" w:cs="Arial"/>
          <w:sz w:val="22"/>
        </w:rPr>
        <w:t xml:space="preserve">designed to facilitate the implementation and operation of DER aggregation by establishing consistent contracting </w:t>
      </w:r>
      <w:r w:rsidR="005B5EBE" w:rsidRPr="00B34607">
        <w:rPr>
          <w:rFonts w:ascii="Arial" w:hAnsi="Arial" w:cs="Arial"/>
          <w:sz w:val="22"/>
        </w:rPr>
        <w:t xml:space="preserve">terms </w:t>
      </w:r>
      <w:r w:rsidRPr="00B34607">
        <w:rPr>
          <w:rFonts w:ascii="Arial" w:hAnsi="Arial" w:cs="Arial"/>
          <w:sz w:val="22"/>
        </w:rPr>
        <w:t xml:space="preserve">for distribution grid services. </w:t>
      </w:r>
      <w:r w:rsidR="005B5EBE" w:rsidRPr="00B34607">
        <w:rPr>
          <w:rFonts w:ascii="Arial" w:hAnsi="Arial" w:cs="Arial"/>
          <w:sz w:val="22"/>
        </w:rPr>
        <w:t>This</w:t>
      </w:r>
      <w:r w:rsidRPr="00B34607">
        <w:rPr>
          <w:rFonts w:ascii="Arial" w:hAnsi="Arial" w:cs="Arial"/>
          <w:sz w:val="22"/>
        </w:rPr>
        <w:t xml:space="preserve"> standard DER services contract is expected to undergo a comprehensive </w:t>
      </w:r>
      <w:r w:rsidR="005B5EBE" w:rsidRPr="00B34607">
        <w:rPr>
          <w:rFonts w:ascii="Arial" w:hAnsi="Arial" w:cs="Arial"/>
          <w:sz w:val="22"/>
        </w:rPr>
        <w:t xml:space="preserve">development and </w:t>
      </w:r>
      <w:r w:rsidRPr="00B34607">
        <w:rPr>
          <w:rFonts w:ascii="Arial" w:hAnsi="Arial" w:cs="Arial"/>
          <w:sz w:val="22"/>
        </w:rPr>
        <w:t xml:space="preserve">review process involving NAESB’s members to ensure its relevance and applicability. Once finalized, the contract will be </w:t>
      </w:r>
      <w:r w:rsidR="00593CD9" w:rsidRPr="00B34607">
        <w:rPr>
          <w:rFonts w:ascii="Arial" w:hAnsi="Arial" w:cs="Arial"/>
          <w:sz w:val="22"/>
        </w:rPr>
        <w:t>available on</w:t>
      </w:r>
      <w:r w:rsidRPr="00B34607">
        <w:rPr>
          <w:rFonts w:ascii="Arial" w:hAnsi="Arial" w:cs="Arial"/>
          <w:sz w:val="22"/>
        </w:rPr>
        <w:t xml:space="preserve"> the NAESB website.</w:t>
      </w:r>
    </w:p>
    <w:p w14:paraId="04D19659" w14:textId="77777777" w:rsidR="005B7BA0" w:rsidRDefault="005B7BA0" w:rsidP="005B7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7817BE4" w14:textId="77777777" w:rsidR="00D360B8" w:rsidRDefault="00D360B8" w:rsidP="005B7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14:paraId="3D7AD66F" w14:textId="77777777" w:rsidR="00D360B8" w:rsidRDefault="00D360B8" w:rsidP="00E23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C813CDD" w14:textId="7982BA07" w:rsidR="005B5EBE" w:rsidRPr="00B34607" w:rsidRDefault="005B5EBE" w:rsidP="00E23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The proposed pro forma contract, to be developed using NAESB’s standard process, will serve as the reference agreement for DER provided distribution services between DER aggregators and distribution utilities.</w:t>
      </w:r>
      <w:r w:rsidR="00FD1CED" w:rsidRPr="00B34607">
        <w:rPr>
          <w:rFonts w:ascii="Arial" w:hAnsi="Arial" w:cs="Arial"/>
          <w:sz w:val="22"/>
        </w:rPr>
        <w:t xml:space="preserve"> </w:t>
      </w:r>
      <w:r w:rsidR="00387EC5" w:rsidRPr="00B34607">
        <w:rPr>
          <w:rFonts w:ascii="Arial" w:hAnsi="Arial" w:cs="Arial"/>
          <w:sz w:val="22"/>
        </w:rPr>
        <w:t>The proposed pro forma contract</w:t>
      </w:r>
      <w:r w:rsidR="00324CB8" w:rsidRPr="00B34607">
        <w:rPr>
          <w:rFonts w:ascii="Arial" w:hAnsi="Arial" w:cs="Arial"/>
          <w:sz w:val="22"/>
        </w:rPr>
        <w:t xml:space="preserve">, set to be accessible </w:t>
      </w:r>
      <w:r w:rsidRPr="00B34607">
        <w:rPr>
          <w:rFonts w:ascii="Arial" w:hAnsi="Arial" w:cs="Arial"/>
          <w:sz w:val="22"/>
        </w:rPr>
        <w:t>on the</w:t>
      </w:r>
      <w:r w:rsidR="00324CB8" w:rsidRPr="00B34607">
        <w:rPr>
          <w:rFonts w:ascii="Arial" w:hAnsi="Arial" w:cs="Arial"/>
          <w:sz w:val="22"/>
        </w:rPr>
        <w:t xml:space="preserve"> NAESB websites,</w:t>
      </w:r>
      <w:r w:rsidR="00387EC5" w:rsidRPr="00B34607">
        <w:rPr>
          <w:rFonts w:ascii="Arial" w:hAnsi="Arial" w:cs="Arial"/>
          <w:sz w:val="22"/>
        </w:rPr>
        <w:t xml:space="preserve"> is designed to serve as </w:t>
      </w:r>
      <w:r w:rsidRPr="00B34607">
        <w:rPr>
          <w:rFonts w:ascii="Arial" w:hAnsi="Arial" w:cs="Arial"/>
          <w:sz w:val="22"/>
        </w:rPr>
        <w:t>the reference contract for formal adoption by state regulators and/or by US distribution utilities</w:t>
      </w:r>
      <w:r w:rsidR="00387EC5" w:rsidRPr="00B34607">
        <w:rPr>
          <w:rFonts w:ascii="Arial" w:hAnsi="Arial" w:cs="Arial"/>
          <w:sz w:val="22"/>
        </w:rPr>
        <w:t xml:space="preserve"> for DER services for the distribution network. </w:t>
      </w:r>
    </w:p>
    <w:p w14:paraId="7508AA45" w14:textId="77777777" w:rsidR="005B5EBE" w:rsidRPr="00B34607" w:rsidRDefault="005B5EBE" w:rsidP="00E23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68791DEA" w14:textId="333D1D31" w:rsidR="00E2352F" w:rsidRPr="00B34607" w:rsidRDefault="005B5EBE" w:rsidP="00E23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 xml:space="preserve">A general outline of a pro forma </w:t>
      </w:r>
      <w:r w:rsidR="00FD1CED" w:rsidRPr="00B34607">
        <w:rPr>
          <w:rFonts w:ascii="Arial" w:hAnsi="Arial" w:cs="Arial"/>
          <w:sz w:val="22"/>
        </w:rPr>
        <w:t>agreement</w:t>
      </w:r>
      <w:r w:rsidRPr="00B34607">
        <w:rPr>
          <w:rFonts w:ascii="Arial" w:hAnsi="Arial" w:cs="Arial"/>
          <w:sz w:val="22"/>
        </w:rPr>
        <w:t xml:space="preserve"> is provided by reference in the attached DOE paper, “Standard Distribution Services Contract”. This reference paper identifies and discusses key terms and supporting documents that may form a </w:t>
      </w:r>
      <w:r w:rsidR="00FD1CED" w:rsidRPr="00B34607">
        <w:rPr>
          <w:rFonts w:ascii="Arial" w:hAnsi="Arial" w:cs="Arial"/>
          <w:sz w:val="22"/>
        </w:rPr>
        <w:t>pro forma</w:t>
      </w:r>
      <w:r w:rsidRPr="00B34607">
        <w:rPr>
          <w:rFonts w:ascii="Arial" w:hAnsi="Arial" w:cs="Arial"/>
          <w:sz w:val="22"/>
        </w:rPr>
        <w:t xml:space="preserve"> agreement, including elements that align with FERC Order 2222 compliance plans.</w:t>
      </w:r>
      <w:r w:rsidR="00761971" w:rsidRPr="00B34607">
        <w:rPr>
          <w:rFonts w:ascii="Arial" w:hAnsi="Arial" w:cs="Arial"/>
          <w:sz w:val="22"/>
        </w:rPr>
        <w:t xml:space="preserve"> </w:t>
      </w:r>
    </w:p>
    <w:p w14:paraId="097D75CC" w14:textId="77777777" w:rsidR="00E2352F" w:rsidRDefault="00E2352F" w:rsidP="00E23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D1CDA2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46E97869" w14:textId="77777777" w:rsidR="00D360B8" w:rsidRDefault="00387EC5" w:rsidP="00387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sidRPr="00387EC5">
        <w:rPr>
          <w:rFonts w:ascii="News Gothic" w:hAnsi="News Gothic"/>
          <w:sz w:val="22"/>
        </w:rPr>
        <w:t>5.</w:t>
      </w:r>
      <w:r>
        <w:rPr>
          <w:rFonts w:ascii="News Gothic" w:hAnsi="News Gothic"/>
          <w:sz w:val="22"/>
        </w:rPr>
        <w:t xml:space="preserve">  </w:t>
      </w:r>
      <w:r w:rsidR="00D360B8">
        <w:rPr>
          <w:rFonts w:ascii="News Gothic" w:hAnsi="News Gothic"/>
          <w:sz w:val="22"/>
        </w:rPr>
        <w:t>Description of Any Tangible or Intangible Benefits to the Use of the Proposed Standard or Enhancement:</w:t>
      </w:r>
    </w:p>
    <w:p w14:paraId="05BD2C1D" w14:textId="77777777" w:rsidR="00387EC5" w:rsidRDefault="00387EC5" w:rsidP="00387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45521174" w14:textId="0C0E1A3B" w:rsidR="00047717" w:rsidRPr="00B34607" w:rsidRDefault="005B5EBE" w:rsidP="004379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The</w:t>
      </w:r>
      <w:r w:rsidR="00761971" w:rsidRPr="00B34607">
        <w:rPr>
          <w:rFonts w:ascii="Arial" w:hAnsi="Arial" w:cs="Arial"/>
          <w:sz w:val="22"/>
        </w:rPr>
        <w:t xml:space="preserve"> utilization of DERs </w:t>
      </w:r>
      <w:r w:rsidR="00324CB8" w:rsidRPr="00B34607">
        <w:rPr>
          <w:rFonts w:ascii="Arial" w:hAnsi="Arial" w:cs="Arial"/>
          <w:sz w:val="22"/>
        </w:rPr>
        <w:t xml:space="preserve">continues to increase </w:t>
      </w:r>
      <w:r w:rsidRPr="00B34607">
        <w:rPr>
          <w:rFonts w:ascii="Arial" w:hAnsi="Arial" w:cs="Arial"/>
          <w:sz w:val="22"/>
        </w:rPr>
        <w:t>as part of climate mitigation and adaptation efforts involving greater variable renewable large-scale and distributed energy and electrification</w:t>
      </w:r>
      <w:r w:rsidR="00324CB8" w:rsidRPr="00B34607">
        <w:rPr>
          <w:rFonts w:ascii="Arial" w:hAnsi="Arial" w:cs="Arial"/>
          <w:sz w:val="22"/>
        </w:rPr>
        <w:t>.</w:t>
      </w:r>
      <w:r w:rsidRPr="00B34607">
        <w:rPr>
          <w:rFonts w:ascii="Arial" w:hAnsi="Arial" w:cs="Arial"/>
          <w:sz w:val="22"/>
        </w:rPr>
        <w:t xml:space="preserve"> Needed DER services are forecast to reach 200GW to support both wholesale and distributed grid needs. Specifically,</w:t>
      </w:r>
      <w:r w:rsidR="00B34607" w:rsidRPr="00B34607">
        <w:rPr>
          <w:rFonts w:ascii="Arial" w:hAnsi="Arial" w:cs="Arial"/>
          <w:sz w:val="22"/>
        </w:rPr>
        <w:t xml:space="preserve"> </w:t>
      </w:r>
      <w:r w:rsidRPr="00B34607">
        <w:rPr>
          <w:rFonts w:ascii="Arial" w:hAnsi="Arial" w:cs="Arial"/>
          <w:sz w:val="22"/>
        </w:rPr>
        <w:t xml:space="preserve">the provision of distribution level grid services from DER is urgently needed to offset the potential $200+ billion in distribution upgrade costs that may otherwise occur from the forecast 40% increase in electrification load. Absent, efficient sourcing of DER services distribution cost increases could cause significant customer affordability issues and delays in </w:t>
      </w:r>
      <w:r w:rsidR="00B34607" w:rsidRPr="00B34607">
        <w:rPr>
          <w:rFonts w:ascii="Arial" w:hAnsi="Arial" w:cs="Arial"/>
          <w:sz w:val="22"/>
        </w:rPr>
        <w:t>achieving</w:t>
      </w:r>
      <w:r w:rsidRPr="00B34607">
        <w:rPr>
          <w:rFonts w:ascii="Arial" w:hAnsi="Arial" w:cs="Arial"/>
          <w:sz w:val="22"/>
        </w:rPr>
        <w:t xml:space="preserve"> clean energy and electrification goals.</w:t>
      </w:r>
    </w:p>
    <w:p w14:paraId="78745C77" w14:textId="77777777" w:rsidR="0043794A" w:rsidRDefault="0043794A" w:rsidP="004379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30C2C74" w14:textId="77777777"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14:paraId="25123549" w14:textId="77777777" w:rsidR="00D360B8" w:rsidRPr="00B34607" w:rsidRDefault="00047717" w:rsidP="000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N/A</w:t>
      </w:r>
    </w:p>
    <w:p w14:paraId="4692EE8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DD4EBE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14:paraId="3C6A2434" w14:textId="77777777" w:rsidR="00047717" w:rsidRPr="00B34607" w:rsidRDefault="00047717" w:rsidP="000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N/A</w:t>
      </w:r>
    </w:p>
    <w:p w14:paraId="4EFBB655" w14:textId="77777777" w:rsidR="00047717" w:rsidRDefault="00047717" w:rsidP="000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98EB3BF" w14:textId="77777777"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lastRenderedPageBreak/>
        <w:t>8.  If This Proposed Standard or Enhancement Is Not Tested Yet, List Trading Partners Willing to Test Standard or Enhancement (Corporations and contacts):</w:t>
      </w:r>
    </w:p>
    <w:p w14:paraId="62926A32" w14:textId="77777777" w:rsidR="00047717" w:rsidRPr="00B34607" w:rsidRDefault="00047717" w:rsidP="000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N/A</w:t>
      </w:r>
    </w:p>
    <w:p w14:paraId="2600E8C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0BEE709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560F11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 :</w:t>
      </w:r>
    </w:p>
    <w:p w14:paraId="030EFD92" w14:textId="77777777" w:rsidR="00047717" w:rsidRPr="00B34607" w:rsidRDefault="00047717" w:rsidP="000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B34607">
        <w:rPr>
          <w:rFonts w:ascii="Arial" w:hAnsi="Arial" w:cs="Arial"/>
          <w:sz w:val="22"/>
        </w:rPr>
        <w:t>N/A</w:t>
      </w:r>
    </w:p>
    <w:p w14:paraId="71226C3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509E008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88617C6" w14:textId="77777777" w:rsidR="00D360B8" w:rsidRDefault="00D360B8" w:rsidP="3A2B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szCs w:val="22"/>
        </w:rPr>
      </w:pPr>
      <w:r w:rsidRPr="3A2B57C8">
        <w:rPr>
          <w:rFonts w:ascii="News Gothic" w:hAnsi="News Gothic"/>
          <w:sz w:val="22"/>
          <w:szCs w:val="22"/>
        </w:rPr>
        <w:t>10.  Attachments (such as : further detailed proposals, transaction data descriptions, information flows, implementation guides, business process descriptions, examples of ASC ANSI X12 mapped transactions):</w:t>
      </w:r>
    </w:p>
    <w:p w14:paraId="73CB89A8" w14:textId="40576CCE" w:rsidR="00F42A1D" w:rsidRDefault="005B5EBE" w:rsidP="000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B34607">
        <w:rPr>
          <w:rFonts w:ascii="Arial" w:hAnsi="Arial" w:cs="Arial"/>
          <w:sz w:val="22"/>
          <w:szCs w:val="22"/>
        </w:rPr>
        <w:t>DOE paper: S. Patel and P. De Martini, “Standard Distribution Services Contract”, DOE, 2023</w:t>
      </w:r>
      <w:r w:rsidR="008C6778">
        <w:rPr>
          <w:rFonts w:ascii="Arial" w:hAnsi="Arial" w:cs="Arial"/>
          <w:sz w:val="22"/>
          <w:szCs w:val="22"/>
        </w:rPr>
        <w:t xml:space="preserve"> (attached)</w:t>
      </w:r>
      <w:r w:rsidR="008C6778">
        <w:rPr>
          <w:rFonts w:ascii="News Gothic" w:hAnsi="News Gothic"/>
          <w:sz w:val="22"/>
        </w:rPr>
        <w:t xml:space="preserve"> </w:t>
      </w:r>
    </w:p>
    <w:p w14:paraId="626CE71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06E96CE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rsidSect="00C266B5">
      <w:headerReference w:type="default" r:id="rId13"/>
      <w:endnotePr>
        <w:numFmt w:val="decimal"/>
      </w:endnotePr>
      <w:type w:val="continuous"/>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D0E1F" w14:textId="77777777" w:rsidR="006815A1" w:rsidRDefault="006815A1">
      <w:r>
        <w:separator/>
      </w:r>
    </w:p>
  </w:endnote>
  <w:endnote w:type="continuationSeparator" w:id="0">
    <w:p w14:paraId="728CE16D" w14:textId="77777777" w:rsidR="006815A1" w:rsidRDefault="006815A1">
      <w:r>
        <w:continuationSeparator/>
      </w:r>
    </w:p>
  </w:endnote>
  <w:endnote w:type="continuationNotice" w:id="1">
    <w:p w14:paraId="1F92E696" w14:textId="77777777" w:rsidR="006815A1" w:rsidRDefault="00681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A4F45" w14:textId="77777777" w:rsidR="006815A1" w:rsidRDefault="006815A1">
      <w:r>
        <w:separator/>
      </w:r>
    </w:p>
  </w:footnote>
  <w:footnote w:type="continuationSeparator" w:id="0">
    <w:p w14:paraId="446B0B17" w14:textId="77777777" w:rsidR="006815A1" w:rsidRDefault="006815A1">
      <w:r>
        <w:continuationSeparator/>
      </w:r>
    </w:p>
  </w:footnote>
  <w:footnote w:type="continuationNotice" w:id="1">
    <w:p w14:paraId="5008081C" w14:textId="77777777" w:rsidR="006815A1" w:rsidRDefault="006815A1"/>
  </w:footnote>
  <w:footnote w:id="2">
    <w:p w14:paraId="3D928A68" w14:textId="77777777" w:rsidR="003F246A" w:rsidRDefault="003F246A">
      <w:pPr>
        <w:pStyle w:val="FootnoteText"/>
      </w:pPr>
      <w:r>
        <w:rPr>
          <w:rStyle w:val="FootnoteReference"/>
        </w:rPr>
        <w:footnoteRef/>
      </w:r>
      <w:r>
        <w:t xml:space="preserve"> </w:t>
      </w:r>
      <w:r w:rsidRPr="007D1C71">
        <w:rPr>
          <w:rFonts w:ascii="Calibri" w:hAnsi="Calibri" w:cs="Calibri"/>
          <w:sz w:val="18"/>
          <w:szCs w:val="18"/>
        </w:rPr>
        <w:t xml:space="preserve">Department of Energy. (2023). </w:t>
      </w:r>
      <w:hyperlink r:id="rId1" w:history="1">
        <w:r w:rsidRPr="007D1C71">
          <w:rPr>
            <w:rStyle w:val="Hyperlink"/>
            <w:rFonts w:ascii="Calibri" w:hAnsi="Calibri" w:cs="Calibri"/>
            <w:i/>
            <w:iCs/>
            <w:sz w:val="18"/>
            <w:szCs w:val="18"/>
          </w:rPr>
          <w:t>Pathways to Commercial Liftoff: Virtual Power Plants</w:t>
        </w:r>
      </w:hyperlink>
      <w:r w:rsidRPr="007D1C71">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063DB" w14:textId="77777777" w:rsidR="00C266B5" w:rsidRPr="00C266B5" w:rsidRDefault="00C266B5" w:rsidP="00C266B5">
    <w:pPr>
      <w:tabs>
        <w:tab w:val="center" w:pos="4680"/>
        <w:tab w:val="right" w:pos="9360"/>
      </w:tabs>
      <w:jc w:val="center"/>
      <w:rPr>
        <w:rFonts w:ascii="News Gothic" w:hAnsi="News Gothic"/>
        <w:b/>
        <w:sz w:val="36"/>
        <w:szCs w:val="36"/>
      </w:rPr>
    </w:pPr>
    <w:r w:rsidRPr="00C266B5">
      <w:rPr>
        <w:rFonts w:ascii="News Gothic" w:hAnsi="News Gothic"/>
        <w:b/>
        <w:sz w:val="36"/>
        <w:szCs w:val="36"/>
      </w:rPr>
      <w:t>R24001</w:t>
    </w:r>
  </w:p>
  <w:p w14:paraId="2D424351" w14:textId="3F6C4C85" w:rsidR="0053143D" w:rsidRDefault="0053143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14:paraId="621D51DE" w14:textId="77777777" w:rsidR="0053143D" w:rsidRDefault="0053143D">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14:paraId="19DA8A84" w14:textId="77777777" w:rsidR="0053143D" w:rsidRDefault="0053143D">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66181E">
      <w:rPr>
        <w:rFonts w:ascii="News Gothic" w:hAnsi="News Gothic"/>
        <w:b/>
        <w:noProof/>
        <w:sz w:val="22"/>
      </w:rPr>
      <w:t>5</w:t>
    </w:r>
    <w:r>
      <w:rPr>
        <w:rFonts w:ascii="News Gothic" w:hAnsi="News Gothic"/>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2A2256"/>
    <w:multiLevelType w:val="hybridMultilevel"/>
    <w:tmpl w:val="0EBEF3CA"/>
    <w:lvl w:ilvl="0" w:tplc="0EA08210">
      <w:start w:val="1"/>
      <w:numFmt w:val="bullet"/>
      <w:lvlText w:val="•"/>
      <w:lvlJc w:val="left"/>
      <w:pPr>
        <w:tabs>
          <w:tab w:val="num" w:pos="720"/>
        </w:tabs>
        <w:ind w:left="720" w:hanging="360"/>
      </w:pPr>
      <w:rPr>
        <w:rFonts w:ascii="Arial" w:hAnsi="Arial" w:hint="default"/>
      </w:rPr>
    </w:lvl>
    <w:lvl w:ilvl="1" w:tplc="034A72DC" w:tentative="1">
      <w:start w:val="1"/>
      <w:numFmt w:val="bullet"/>
      <w:lvlText w:val="•"/>
      <w:lvlJc w:val="left"/>
      <w:pPr>
        <w:tabs>
          <w:tab w:val="num" w:pos="1440"/>
        </w:tabs>
        <w:ind w:left="1440" w:hanging="360"/>
      </w:pPr>
      <w:rPr>
        <w:rFonts w:ascii="Arial" w:hAnsi="Arial" w:hint="default"/>
      </w:rPr>
    </w:lvl>
    <w:lvl w:ilvl="2" w:tplc="FD7656F8" w:tentative="1">
      <w:start w:val="1"/>
      <w:numFmt w:val="bullet"/>
      <w:lvlText w:val="•"/>
      <w:lvlJc w:val="left"/>
      <w:pPr>
        <w:tabs>
          <w:tab w:val="num" w:pos="2160"/>
        </w:tabs>
        <w:ind w:left="2160" w:hanging="360"/>
      </w:pPr>
      <w:rPr>
        <w:rFonts w:ascii="Arial" w:hAnsi="Arial" w:hint="default"/>
      </w:rPr>
    </w:lvl>
    <w:lvl w:ilvl="3" w:tplc="CE5630A0" w:tentative="1">
      <w:start w:val="1"/>
      <w:numFmt w:val="bullet"/>
      <w:lvlText w:val="•"/>
      <w:lvlJc w:val="left"/>
      <w:pPr>
        <w:tabs>
          <w:tab w:val="num" w:pos="2880"/>
        </w:tabs>
        <w:ind w:left="2880" w:hanging="360"/>
      </w:pPr>
      <w:rPr>
        <w:rFonts w:ascii="Arial" w:hAnsi="Arial" w:hint="default"/>
      </w:rPr>
    </w:lvl>
    <w:lvl w:ilvl="4" w:tplc="F1A02F84" w:tentative="1">
      <w:start w:val="1"/>
      <w:numFmt w:val="bullet"/>
      <w:lvlText w:val="•"/>
      <w:lvlJc w:val="left"/>
      <w:pPr>
        <w:tabs>
          <w:tab w:val="num" w:pos="3600"/>
        </w:tabs>
        <w:ind w:left="3600" w:hanging="360"/>
      </w:pPr>
      <w:rPr>
        <w:rFonts w:ascii="Arial" w:hAnsi="Arial" w:hint="default"/>
      </w:rPr>
    </w:lvl>
    <w:lvl w:ilvl="5" w:tplc="69043B68" w:tentative="1">
      <w:start w:val="1"/>
      <w:numFmt w:val="bullet"/>
      <w:lvlText w:val="•"/>
      <w:lvlJc w:val="left"/>
      <w:pPr>
        <w:tabs>
          <w:tab w:val="num" w:pos="4320"/>
        </w:tabs>
        <w:ind w:left="4320" w:hanging="360"/>
      </w:pPr>
      <w:rPr>
        <w:rFonts w:ascii="Arial" w:hAnsi="Arial" w:hint="default"/>
      </w:rPr>
    </w:lvl>
    <w:lvl w:ilvl="6" w:tplc="8A7C5836" w:tentative="1">
      <w:start w:val="1"/>
      <w:numFmt w:val="bullet"/>
      <w:lvlText w:val="•"/>
      <w:lvlJc w:val="left"/>
      <w:pPr>
        <w:tabs>
          <w:tab w:val="num" w:pos="5040"/>
        </w:tabs>
        <w:ind w:left="5040" w:hanging="360"/>
      </w:pPr>
      <w:rPr>
        <w:rFonts w:ascii="Arial" w:hAnsi="Arial" w:hint="default"/>
      </w:rPr>
    </w:lvl>
    <w:lvl w:ilvl="7" w:tplc="822E81EA" w:tentative="1">
      <w:start w:val="1"/>
      <w:numFmt w:val="bullet"/>
      <w:lvlText w:val="•"/>
      <w:lvlJc w:val="left"/>
      <w:pPr>
        <w:tabs>
          <w:tab w:val="num" w:pos="5760"/>
        </w:tabs>
        <w:ind w:left="5760" w:hanging="360"/>
      </w:pPr>
      <w:rPr>
        <w:rFonts w:ascii="Arial" w:hAnsi="Arial" w:hint="default"/>
      </w:rPr>
    </w:lvl>
    <w:lvl w:ilvl="8" w:tplc="53B6C9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3091B7B"/>
    <w:multiLevelType w:val="hybridMultilevel"/>
    <w:tmpl w:val="C4CC3FDA"/>
    <w:lvl w:ilvl="0" w:tplc="18FA7B34">
      <w:start w:val="1"/>
      <w:numFmt w:val="bullet"/>
      <w:lvlText w:val="•"/>
      <w:lvlJc w:val="left"/>
      <w:pPr>
        <w:tabs>
          <w:tab w:val="num" w:pos="720"/>
        </w:tabs>
        <w:ind w:left="720" w:hanging="360"/>
      </w:pPr>
      <w:rPr>
        <w:rFonts w:ascii="Arial" w:hAnsi="Arial" w:hint="default"/>
      </w:rPr>
    </w:lvl>
    <w:lvl w:ilvl="1" w:tplc="F6D27DFE" w:tentative="1">
      <w:start w:val="1"/>
      <w:numFmt w:val="bullet"/>
      <w:lvlText w:val="•"/>
      <w:lvlJc w:val="left"/>
      <w:pPr>
        <w:tabs>
          <w:tab w:val="num" w:pos="1440"/>
        </w:tabs>
        <w:ind w:left="1440" w:hanging="360"/>
      </w:pPr>
      <w:rPr>
        <w:rFonts w:ascii="Arial" w:hAnsi="Arial" w:hint="default"/>
      </w:rPr>
    </w:lvl>
    <w:lvl w:ilvl="2" w:tplc="ED6A9300" w:tentative="1">
      <w:start w:val="1"/>
      <w:numFmt w:val="bullet"/>
      <w:lvlText w:val="•"/>
      <w:lvlJc w:val="left"/>
      <w:pPr>
        <w:tabs>
          <w:tab w:val="num" w:pos="2160"/>
        </w:tabs>
        <w:ind w:left="2160" w:hanging="360"/>
      </w:pPr>
      <w:rPr>
        <w:rFonts w:ascii="Arial" w:hAnsi="Arial" w:hint="default"/>
      </w:rPr>
    </w:lvl>
    <w:lvl w:ilvl="3" w:tplc="137CDDA6" w:tentative="1">
      <w:start w:val="1"/>
      <w:numFmt w:val="bullet"/>
      <w:lvlText w:val="•"/>
      <w:lvlJc w:val="left"/>
      <w:pPr>
        <w:tabs>
          <w:tab w:val="num" w:pos="2880"/>
        </w:tabs>
        <w:ind w:left="2880" w:hanging="360"/>
      </w:pPr>
      <w:rPr>
        <w:rFonts w:ascii="Arial" w:hAnsi="Arial" w:hint="default"/>
      </w:rPr>
    </w:lvl>
    <w:lvl w:ilvl="4" w:tplc="DC3C735A" w:tentative="1">
      <w:start w:val="1"/>
      <w:numFmt w:val="bullet"/>
      <w:lvlText w:val="•"/>
      <w:lvlJc w:val="left"/>
      <w:pPr>
        <w:tabs>
          <w:tab w:val="num" w:pos="3600"/>
        </w:tabs>
        <w:ind w:left="3600" w:hanging="360"/>
      </w:pPr>
      <w:rPr>
        <w:rFonts w:ascii="Arial" w:hAnsi="Arial" w:hint="default"/>
      </w:rPr>
    </w:lvl>
    <w:lvl w:ilvl="5" w:tplc="A2A87F42" w:tentative="1">
      <w:start w:val="1"/>
      <w:numFmt w:val="bullet"/>
      <w:lvlText w:val="•"/>
      <w:lvlJc w:val="left"/>
      <w:pPr>
        <w:tabs>
          <w:tab w:val="num" w:pos="4320"/>
        </w:tabs>
        <w:ind w:left="4320" w:hanging="360"/>
      </w:pPr>
      <w:rPr>
        <w:rFonts w:ascii="Arial" w:hAnsi="Arial" w:hint="default"/>
      </w:rPr>
    </w:lvl>
    <w:lvl w:ilvl="6" w:tplc="83A48CE0" w:tentative="1">
      <w:start w:val="1"/>
      <w:numFmt w:val="bullet"/>
      <w:lvlText w:val="•"/>
      <w:lvlJc w:val="left"/>
      <w:pPr>
        <w:tabs>
          <w:tab w:val="num" w:pos="5040"/>
        </w:tabs>
        <w:ind w:left="5040" w:hanging="360"/>
      </w:pPr>
      <w:rPr>
        <w:rFonts w:ascii="Arial" w:hAnsi="Arial" w:hint="default"/>
      </w:rPr>
    </w:lvl>
    <w:lvl w:ilvl="7" w:tplc="EABCBEDE" w:tentative="1">
      <w:start w:val="1"/>
      <w:numFmt w:val="bullet"/>
      <w:lvlText w:val="•"/>
      <w:lvlJc w:val="left"/>
      <w:pPr>
        <w:tabs>
          <w:tab w:val="num" w:pos="5760"/>
        </w:tabs>
        <w:ind w:left="5760" w:hanging="360"/>
      </w:pPr>
      <w:rPr>
        <w:rFonts w:ascii="Arial" w:hAnsi="Arial" w:hint="default"/>
      </w:rPr>
    </w:lvl>
    <w:lvl w:ilvl="8" w:tplc="CF54819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A2"/>
    <w:rsid w:val="00047717"/>
    <w:rsid w:val="00083111"/>
    <w:rsid w:val="000D64A7"/>
    <w:rsid w:val="000F1C45"/>
    <w:rsid w:val="001424BC"/>
    <w:rsid w:val="0018365F"/>
    <w:rsid w:val="001C17CF"/>
    <w:rsid w:val="001E1607"/>
    <w:rsid w:val="00271830"/>
    <w:rsid w:val="002977FE"/>
    <w:rsid w:val="002E5AC6"/>
    <w:rsid w:val="00302453"/>
    <w:rsid w:val="00324CB8"/>
    <w:rsid w:val="00373A50"/>
    <w:rsid w:val="00387EC5"/>
    <w:rsid w:val="003F246A"/>
    <w:rsid w:val="003F7205"/>
    <w:rsid w:val="0043794A"/>
    <w:rsid w:val="0044182F"/>
    <w:rsid w:val="004646EE"/>
    <w:rsid w:val="004D1B71"/>
    <w:rsid w:val="004D2CC4"/>
    <w:rsid w:val="0053143D"/>
    <w:rsid w:val="0054335A"/>
    <w:rsid w:val="00564FF2"/>
    <w:rsid w:val="00593CD9"/>
    <w:rsid w:val="005B5EBE"/>
    <w:rsid w:val="005B7BA0"/>
    <w:rsid w:val="006147D2"/>
    <w:rsid w:val="006257BF"/>
    <w:rsid w:val="00635239"/>
    <w:rsid w:val="00660074"/>
    <w:rsid w:val="0066181E"/>
    <w:rsid w:val="006815A1"/>
    <w:rsid w:val="006B25E1"/>
    <w:rsid w:val="006C4D1D"/>
    <w:rsid w:val="00731C0D"/>
    <w:rsid w:val="00754849"/>
    <w:rsid w:val="00761971"/>
    <w:rsid w:val="007674AE"/>
    <w:rsid w:val="007D1C71"/>
    <w:rsid w:val="007D31FB"/>
    <w:rsid w:val="008C6778"/>
    <w:rsid w:val="009E7012"/>
    <w:rsid w:val="00A06E6B"/>
    <w:rsid w:val="00A41BB8"/>
    <w:rsid w:val="00A61A82"/>
    <w:rsid w:val="00A8708A"/>
    <w:rsid w:val="00AA1A37"/>
    <w:rsid w:val="00AE2D80"/>
    <w:rsid w:val="00AF5FB9"/>
    <w:rsid w:val="00B34607"/>
    <w:rsid w:val="00B35384"/>
    <w:rsid w:val="00B377A2"/>
    <w:rsid w:val="00BB2F3A"/>
    <w:rsid w:val="00C07C32"/>
    <w:rsid w:val="00C266B5"/>
    <w:rsid w:val="00C7528B"/>
    <w:rsid w:val="00CA3BBC"/>
    <w:rsid w:val="00CC382F"/>
    <w:rsid w:val="00D360B8"/>
    <w:rsid w:val="00D73739"/>
    <w:rsid w:val="00D77249"/>
    <w:rsid w:val="00D81759"/>
    <w:rsid w:val="00D9749B"/>
    <w:rsid w:val="00DA08D6"/>
    <w:rsid w:val="00DD6894"/>
    <w:rsid w:val="00E2352F"/>
    <w:rsid w:val="00E3245B"/>
    <w:rsid w:val="00E5447C"/>
    <w:rsid w:val="00E963C9"/>
    <w:rsid w:val="00E97EA5"/>
    <w:rsid w:val="00EB6902"/>
    <w:rsid w:val="00F42A1D"/>
    <w:rsid w:val="00F75C8D"/>
    <w:rsid w:val="00FC0330"/>
    <w:rsid w:val="00FD1CED"/>
    <w:rsid w:val="0C36879B"/>
    <w:rsid w:val="0E216780"/>
    <w:rsid w:val="3A2B57C8"/>
    <w:rsid w:val="493D1FAF"/>
    <w:rsid w:val="728BFE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7637573"/>
  <w15:chartTrackingRefBased/>
  <w15:docId w15:val="{F784D862-FD78-4157-B34A-84B4D36D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F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character" w:styleId="CommentReference">
    <w:name w:val="annotation reference"/>
    <w:rsid w:val="00A41BB8"/>
    <w:rPr>
      <w:sz w:val="16"/>
      <w:szCs w:val="16"/>
    </w:rPr>
  </w:style>
  <w:style w:type="paragraph" w:styleId="CommentText">
    <w:name w:val="annotation text"/>
    <w:basedOn w:val="Normal"/>
    <w:link w:val="CommentTextChar"/>
    <w:rsid w:val="00A41BB8"/>
  </w:style>
  <w:style w:type="character" w:customStyle="1" w:styleId="CommentTextChar">
    <w:name w:val="Comment Text Char"/>
    <w:basedOn w:val="DefaultParagraphFont"/>
    <w:link w:val="CommentText"/>
    <w:rsid w:val="00A41BB8"/>
  </w:style>
  <w:style w:type="paragraph" w:styleId="CommentSubject">
    <w:name w:val="annotation subject"/>
    <w:basedOn w:val="CommentText"/>
    <w:next w:val="CommentText"/>
    <w:link w:val="CommentSubjectChar"/>
    <w:rsid w:val="00A41BB8"/>
    <w:rPr>
      <w:b/>
      <w:bCs/>
    </w:rPr>
  </w:style>
  <w:style w:type="character" w:customStyle="1" w:styleId="CommentSubjectChar">
    <w:name w:val="Comment Subject Char"/>
    <w:link w:val="CommentSubject"/>
    <w:rsid w:val="00A41BB8"/>
    <w:rPr>
      <w:b/>
      <w:bCs/>
    </w:rPr>
  </w:style>
  <w:style w:type="paragraph" w:styleId="ListParagraph">
    <w:name w:val="List Paragraph"/>
    <w:basedOn w:val="Normal"/>
    <w:uiPriority w:val="34"/>
    <w:qFormat/>
    <w:rsid w:val="0043794A"/>
    <w:pPr>
      <w:ind w:left="720"/>
      <w:contextualSpacing/>
    </w:pPr>
    <w:rPr>
      <w:sz w:val="24"/>
      <w:szCs w:val="24"/>
    </w:rPr>
  </w:style>
  <w:style w:type="paragraph" w:styleId="Revision">
    <w:name w:val="Revision"/>
    <w:hidden/>
    <w:uiPriority w:val="99"/>
    <w:semiHidden/>
    <w:rsid w:val="005B5EBE"/>
    <w:rPr>
      <w:lang w:eastAsia="en-US"/>
    </w:rPr>
  </w:style>
  <w:style w:type="paragraph" w:styleId="NormalWeb">
    <w:name w:val="Normal (Web)"/>
    <w:basedOn w:val="Normal"/>
    <w:rsid w:val="003F246A"/>
    <w:rPr>
      <w:sz w:val="24"/>
      <w:szCs w:val="24"/>
    </w:rPr>
  </w:style>
  <w:style w:type="paragraph" w:styleId="FootnoteText">
    <w:name w:val="footnote text"/>
    <w:basedOn w:val="Normal"/>
    <w:link w:val="FootnoteTextChar"/>
    <w:rsid w:val="003F246A"/>
  </w:style>
  <w:style w:type="character" w:customStyle="1" w:styleId="FootnoteTextChar">
    <w:name w:val="Footnote Text Char"/>
    <w:basedOn w:val="DefaultParagraphFont"/>
    <w:link w:val="FootnoteText"/>
    <w:rsid w:val="003F246A"/>
  </w:style>
  <w:style w:type="character" w:styleId="FootnoteReference">
    <w:name w:val="footnote reference"/>
    <w:rsid w:val="003F246A"/>
    <w:rPr>
      <w:vertAlign w:val="superscript"/>
    </w:rPr>
  </w:style>
  <w:style w:type="character" w:styleId="UnresolvedMention">
    <w:name w:val="Unresolved Mention"/>
    <w:uiPriority w:val="99"/>
    <w:semiHidden/>
    <w:unhideWhenUsed/>
    <w:rsid w:val="003F246A"/>
    <w:rPr>
      <w:color w:val="605E5C"/>
      <w:shd w:val="clear" w:color="auto" w:fill="E1DFDD"/>
    </w:rPr>
  </w:style>
  <w:style w:type="paragraph" w:styleId="Footer">
    <w:name w:val="footer"/>
    <w:basedOn w:val="Normal"/>
    <w:link w:val="FooterChar"/>
    <w:rsid w:val="001C17CF"/>
    <w:pPr>
      <w:tabs>
        <w:tab w:val="center" w:pos="4680"/>
        <w:tab w:val="right" w:pos="9360"/>
      </w:tabs>
    </w:pPr>
  </w:style>
  <w:style w:type="character" w:customStyle="1" w:styleId="FooterChar">
    <w:name w:val="Footer Char"/>
    <w:basedOn w:val="DefaultParagraphFont"/>
    <w:link w:val="Footer"/>
    <w:rsid w:val="001C17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52490">
      <w:bodyDiv w:val="1"/>
      <w:marLeft w:val="0"/>
      <w:marRight w:val="0"/>
      <w:marTop w:val="0"/>
      <w:marBottom w:val="0"/>
      <w:divBdr>
        <w:top w:val="none" w:sz="0" w:space="0" w:color="auto"/>
        <w:left w:val="none" w:sz="0" w:space="0" w:color="auto"/>
        <w:bottom w:val="none" w:sz="0" w:space="0" w:color="auto"/>
        <w:right w:val="none" w:sz="0" w:space="0" w:color="auto"/>
      </w:divBdr>
      <w:divsChild>
        <w:div w:id="1647858200">
          <w:marLeft w:val="446"/>
          <w:marRight w:val="0"/>
          <w:marTop w:val="120"/>
          <w:marBottom w:val="0"/>
          <w:divBdr>
            <w:top w:val="none" w:sz="0" w:space="0" w:color="auto"/>
            <w:left w:val="none" w:sz="0" w:space="0" w:color="auto"/>
            <w:bottom w:val="none" w:sz="0" w:space="0" w:color="auto"/>
            <w:right w:val="none" w:sz="0" w:space="0" w:color="auto"/>
          </w:divBdr>
        </w:div>
      </w:divsChild>
    </w:div>
    <w:div w:id="431555391">
      <w:bodyDiv w:val="1"/>
      <w:marLeft w:val="0"/>
      <w:marRight w:val="0"/>
      <w:marTop w:val="0"/>
      <w:marBottom w:val="0"/>
      <w:divBdr>
        <w:top w:val="none" w:sz="0" w:space="0" w:color="auto"/>
        <w:left w:val="none" w:sz="0" w:space="0" w:color="auto"/>
        <w:bottom w:val="none" w:sz="0" w:space="0" w:color="auto"/>
        <w:right w:val="none" w:sz="0" w:space="0" w:color="auto"/>
      </w:divBdr>
    </w:div>
    <w:div w:id="543099151">
      <w:bodyDiv w:val="1"/>
      <w:marLeft w:val="0"/>
      <w:marRight w:val="0"/>
      <w:marTop w:val="0"/>
      <w:marBottom w:val="0"/>
      <w:divBdr>
        <w:top w:val="none" w:sz="0" w:space="0" w:color="auto"/>
        <w:left w:val="none" w:sz="0" w:space="0" w:color="auto"/>
        <w:bottom w:val="none" w:sz="0" w:space="0" w:color="auto"/>
        <w:right w:val="none" w:sz="0" w:space="0" w:color="auto"/>
      </w:divBdr>
      <w:divsChild>
        <w:div w:id="669412150">
          <w:marLeft w:val="446"/>
          <w:marRight w:val="0"/>
          <w:marTop w:val="120"/>
          <w:marBottom w:val="0"/>
          <w:divBdr>
            <w:top w:val="none" w:sz="0" w:space="0" w:color="auto"/>
            <w:left w:val="none" w:sz="0" w:space="0" w:color="auto"/>
            <w:bottom w:val="none" w:sz="0" w:space="0" w:color="auto"/>
            <w:right w:val="none" w:sz="0" w:space="0" w:color="auto"/>
          </w:divBdr>
        </w:div>
      </w:divsChild>
    </w:div>
    <w:div w:id="660547961">
      <w:bodyDiv w:val="1"/>
      <w:marLeft w:val="0"/>
      <w:marRight w:val="0"/>
      <w:marTop w:val="0"/>
      <w:marBottom w:val="0"/>
      <w:divBdr>
        <w:top w:val="none" w:sz="0" w:space="0" w:color="auto"/>
        <w:left w:val="none" w:sz="0" w:space="0" w:color="auto"/>
        <w:bottom w:val="none" w:sz="0" w:space="0" w:color="auto"/>
        <w:right w:val="none" w:sz="0" w:space="0" w:color="auto"/>
      </w:divBdr>
    </w:div>
    <w:div w:id="720862572">
      <w:bodyDiv w:val="1"/>
      <w:marLeft w:val="0"/>
      <w:marRight w:val="0"/>
      <w:marTop w:val="0"/>
      <w:marBottom w:val="0"/>
      <w:divBdr>
        <w:top w:val="none" w:sz="0" w:space="0" w:color="auto"/>
        <w:left w:val="none" w:sz="0" w:space="0" w:color="auto"/>
        <w:bottom w:val="none" w:sz="0" w:space="0" w:color="auto"/>
        <w:right w:val="none" w:sz="0" w:space="0" w:color="auto"/>
      </w:divBdr>
    </w:div>
    <w:div w:id="793249517">
      <w:bodyDiv w:val="1"/>
      <w:marLeft w:val="0"/>
      <w:marRight w:val="0"/>
      <w:marTop w:val="0"/>
      <w:marBottom w:val="0"/>
      <w:divBdr>
        <w:top w:val="none" w:sz="0" w:space="0" w:color="auto"/>
        <w:left w:val="none" w:sz="0" w:space="0" w:color="auto"/>
        <w:bottom w:val="none" w:sz="0" w:space="0" w:color="auto"/>
        <w:right w:val="none" w:sz="0" w:space="0" w:color="auto"/>
      </w:divBdr>
      <w:divsChild>
        <w:div w:id="37172285">
          <w:marLeft w:val="446"/>
          <w:marRight w:val="0"/>
          <w:marTop w:val="120"/>
          <w:marBottom w:val="0"/>
          <w:divBdr>
            <w:top w:val="none" w:sz="0" w:space="0" w:color="auto"/>
            <w:left w:val="none" w:sz="0" w:space="0" w:color="auto"/>
            <w:bottom w:val="none" w:sz="0" w:space="0" w:color="auto"/>
            <w:right w:val="none" w:sz="0" w:space="0" w:color="auto"/>
          </w:divBdr>
        </w:div>
      </w:divsChild>
    </w:div>
    <w:div w:id="1261375358">
      <w:bodyDiv w:val="1"/>
      <w:marLeft w:val="0"/>
      <w:marRight w:val="0"/>
      <w:marTop w:val="0"/>
      <w:marBottom w:val="0"/>
      <w:divBdr>
        <w:top w:val="none" w:sz="0" w:space="0" w:color="auto"/>
        <w:left w:val="none" w:sz="0" w:space="0" w:color="auto"/>
        <w:bottom w:val="none" w:sz="0" w:space="0" w:color="auto"/>
        <w:right w:val="none" w:sz="0" w:space="0" w:color="auto"/>
      </w:divBdr>
      <w:divsChild>
        <w:div w:id="2046710485">
          <w:marLeft w:val="446"/>
          <w:marRight w:val="0"/>
          <w:marTop w:val="120"/>
          <w:marBottom w:val="0"/>
          <w:divBdr>
            <w:top w:val="none" w:sz="0" w:space="0" w:color="auto"/>
            <w:left w:val="none" w:sz="0" w:space="0" w:color="auto"/>
            <w:bottom w:val="none" w:sz="0" w:space="0" w:color="auto"/>
            <w:right w:val="none" w:sz="0" w:space="0" w:color="auto"/>
          </w:divBdr>
        </w:div>
      </w:divsChild>
    </w:div>
    <w:div w:id="1656185651">
      <w:bodyDiv w:val="1"/>
      <w:marLeft w:val="0"/>
      <w:marRight w:val="0"/>
      <w:marTop w:val="0"/>
      <w:marBottom w:val="0"/>
      <w:divBdr>
        <w:top w:val="none" w:sz="0" w:space="0" w:color="auto"/>
        <w:left w:val="none" w:sz="0" w:space="0" w:color="auto"/>
        <w:bottom w:val="none" w:sz="0" w:space="0" w:color="auto"/>
        <w:right w:val="none" w:sz="0" w:space="0" w:color="auto"/>
      </w:divBdr>
    </w:div>
    <w:div w:id="2129087213">
      <w:bodyDiv w:val="1"/>
      <w:marLeft w:val="0"/>
      <w:marRight w:val="0"/>
      <w:marTop w:val="0"/>
      <w:marBottom w:val="0"/>
      <w:divBdr>
        <w:top w:val="none" w:sz="0" w:space="0" w:color="auto"/>
        <w:left w:val="none" w:sz="0" w:space="0" w:color="auto"/>
        <w:bottom w:val="none" w:sz="0" w:space="0" w:color="auto"/>
        <w:right w:val="none" w:sz="0" w:space="0" w:color="auto"/>
      </w:divBdr>
      <w:divsChild>
        <w:div w:id="51453894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umil.patel@icf.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paladino@hq.do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ftoff.energy.gov/wp-content/uploads/2023/10/LIFTOFF_DOE_VVP_10062023_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697B4FD47534CA14B4E5A13D180C0" ma:contentTypeVersion="17" ma:contentTypeDescription="Create a new document." ma:contentTypeScope="" ma:versionID="2aca819a4d52bf24b9361b9101e676ca">
  <xsd:schema xmlns:xsd="http://www.w3.org/2001/XMLSchema" xmlns:xs="http://www.w3.org/2001/XMLSchema" xmlns:p="http://schemas.microsoft.com/office/2006/metadata/properties" xmlns:ns2="d0333c0b-6a86-4356-8a13-ff9be2b0f846" xmlns:ns3="d49984c0-dc96-4bbd-ad58-c3b378a495f5" xmlns:ns4="fa6a9aea-fb0f-4ddd-aff8-712634b7d5fe" targetNamespace="http://schemas.microsoft.com/office/2006/metadata/properties" ma:root="true" ma:fieldsID="051cb89ecc815b90e3ce58a176ede301" ns2:_="" ns3:_="" ns4:_="">
    <xsd:import namespace="d0333c0b-6a86-4356-8a13-ff9be2b0f846"/>
    <xsd:import namespace="d49984c0-dc96-4bbd-ad58-c3b378a495f5"/>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33c0b-6a86-4356-8a13-ff9be2b0f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984c0-dc96-4bbd-ad58-c3b378a495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e78a14-51fa-4b26-8f32-4982a8cb7a95}" ma:internalName="TaxCatchAll" ma:showField="CatchAllData" ma:web="d49984c0-dc96-4bbd-ad58-c3b378a49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333c0b-6a86-4356-8a13-ff9be2b0f846">
      <Terms xmlns="http://schemas.microsoft.com/office/infopath/2007/PartnerControls"/>
    </lcf76f155ced4ddcb4097134ff3c332f>
    <TaxCatchAll xmlns="fa6a9aea-fb0f-4ddd-aff8-712634b7d5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526D-3D79-4F48-BFC3-677BDCF8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33c0b-6a86-4356-8a13-ff9be2b0f846"/>
    <ds:schemaRef ds:uri="d49984c0-dc96-4bbd-ad58-c3b378a495f5"/>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59335-ACEA-4D80-888D-9B3726A8D0BF}">
  <ds:schemaRefs>
    <ds:schemaRef ds:uri="http://schemas.microsoft.com/sharepoint/v3/contenttype/forms"/>
  </ds:schemaRefs>
</ds:datastoreItem>
</file>

<file path=customXml/itemProps3.xml><?xml version="1.0" encoding="utf-8"?>
<ds:datastoreItem xmlns:ds="http://schemas.openxmlformats.org/officeDocument/2006/customXml" ds:itemID="{29BD1836-0680-4EF4-9DDC-EFB04D43FBD0}">
  <ds:schemaRefs>
    <ds:schemaRef ds:uri="http://schemas.microsoft.com/office/2006/metadata/properties"/>
    <ds:schemaRef ds:uri="http://schemas.microsoft.com/office/infopath/2007/PartnerControls"/>
    <ds:schemaRef ds:uri="d0333c0b-6a86-4356-8a13-ff9be2b0f846"/>
    <ds:schemaRef ds:uri="fa6a9aea-fb0f-4ddd-aff8-712634b7d5fe"/>
  </ds:schemaRefs>
</ds:datastoreItem>
</file>

<file path=customXml/itemProps4.xml><?xml version="1.0" encoding="utf-8"?>
<ds:datastoreItem xmlns:ds="http://schemas.openxmlformats.org/officeDocument/2006/customXml" ds:itemID="{83FF261B-FC5D-4C2D-B81A-7885055A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1004</Words>
  <Characters>5727</Characters>
  <Application>Microsoft Office Word</Application>
  <DocSecurity>0</DocSecurity>
  <Lines>47</Lines>
  <Paragraphs>13</Paragraphs>
  <ScaleCrop>false</ScaleCrop>
  <Company>Tenneco Energy</Company>
  <LinksUpToDate>false</LinksUpToDate>
  <CharactersWithSpaces>6718</CharactersWithSpaces>
  <SharedDoc>false</SharedDoc>
  <HLinks>
    <vt:vector size="18" baseType="variant">
      <vt:variant>
        <vt:i4>4522030</vt:i4>
      </vt:variant>
      <vt:variant>
        <vt:i4>3</vt:i4>
      </vt:variant>
      <vt:variant>
        <vt:i4>0</vt:i4>
      </vt:variant>
      <vt:variant>
        <vt:i4>5</vt:i4>
      </vt:variant>
      <vt:variant>
        <vt:lpwstr>mailto:saumil.patel@icf.com</vt:lpwstr>
      </vt:variant>
      <vt:variant>
        <vt:lpwstr/>
      </vt:variant>
      <vt:variant>
        <vt:i4>4915305</vt:i4>
      </vt:variant>
      <vt:variant>
        <vt:i4>0</vt:i4>
      </vt:variant>
      <vt:variant>
        <vt:i4>0</vt:i4>
      </vt:variant>
      <vt:variant>
        <vt:i4>5</vt:i4>
      </vt:variant>
      <vt:variant>
        <vt:lpwstr>mailto:joseph.paladino@hq.doe.gov</vt:lpwstr>
      </vt:variant>
      <vt:variant>
        <vt:lpwstr/>
      </vt:variant>
      <vt:variant>
        <vt:i4>8192044</vt:i4>
      </vt:variant>
      <vt:variant>
        <vt:i4>0</vt:i4>
      </vt:variant>
      <vt:variant>
        <vt:i4>0</vt:i4>
      </vt:variant>
      <vt:variant>
        <vt:i4>5</vt:i4>
      </vt:variant>
      <vt:variant>
        <vt:lpwstr>https://liftoff.energy.gov/wp-content/uploads/2023/10/LIFTOFF_DOE_VVP_10062023_v4.pdf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5</cp:revision>
  <cp:lastPrinted>2006-01-17T20:38:00Z</cp:lastPrinted>
  <dcterms:created xsi:type="dcterms:W3CDTF">2024-01-10T21:11:00Z</dcterms:created>
  <dcterms:modified xsi:type="dcterms:W3CDTF">2024-01-10T21:58:00Z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GrammarlyDocumentId">
    <vt:lpwstr>a8e0470b19dcf9d0d80d0bbea4d92f5cf45ab03e2b318c5cccfc50ca9b62ef83</vt:lpwstr>
  </property>
  <property fmtid="{D5CDD505-2E9C-101B-9397-08002B2CF9AE}" pid="5" name="MediaServiceImageTags">
    <vt:lpwstr/>
  </property>
  <property fmtid="{D5CDD505-2E9C-101B-9397-08002B2CF9AE}" pid="6" name="ContentTypeId">
    <vt:lpwstr>0x010100740697B4FD47534CA14B4E5A13D180C0</vt:lpwstr>
  </property>
</Properties>
</file>