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C22D3" w14:textId="5A456BEB" w:rsidR="00C67579" w:rsidRPr="00104FB5" w:rsidRDefault="004C5029" w:rsidP="00104FB5">
      <w:pPr>
        <w:pStyle w:val="Title"/>
        <w:spacing w:line="276" w:lineRule="auto"/>
        <w:jc w:val="both"/>
        <w:rPr>
          <w:rFonts w:ascii="Times New Roman" w:hAnsi="Times New Roman"/>
          <w:i/>
          <w:iCs/>
          <w:sz w:val="28"/>
          <w:szCs w:val="28"/>
        </w:rPr>
      </w:pPr>
      <w:r>
        <w:rPr>
          <w:rFonts w:ascii="Times New Roman" w:hAnsi="Times New Roman"/>
        </w:rPr>
        <w:t>F</w:t>
      </w:r>
      <w:r w:rsidR="00177C27" w:rsidRPr="00104FB5">
        <w:rPr>
          <w:rFonts w:ascii="Times New Roman" w:hAnsi="Times New Roman"/>
        </w:rPr>
        <w:t xml:space="preserve">urther considerations for NAESB </w:t>
      </w:r>
      <w:r w:rsidR="006A3B9C" w:rsidRPr="00104FB5">
        <w:rPr>
          <w:rFonts w:ascii="Times New Roman" w:hAnsi="Times New Roman"/>
        </w:rPr>
        <w:t xml:space="preserve">LAUF </w:t>
      </w:r>
      <w:r w:rsidR="00177C27" w:rsidRPr="00104FB5">
        <w:rPr>
          <w:rFonts w:ascii="Times New Roman" w:hAnsi="Times New Roman"/>
        </w:rPr>
        <w:t>standard</w:t>
      </w:r>
    </w:p>
    <w:p w14:paraId="2000AB3B" w14:textId="77777777" w:rsidR="00C67579" w:rsidRPr="00104FB5" w:rsidRDefault="00C67579" w:rsidP="00104FB5">
      <w:pPr>
        <w:spacing w:line="276" w:lineRule="auto"/>
        <w:jc w:val="both"/>
        <w:rPr>
          <w:rFonts w:ascii="Times New Roman" w:eastAsiaTheme="minorEastAsia" w:hAnsi="Times New Roman"/>
        </w:rPr>
      </w:pPr>
    </w:p>
    <w:p w14:paraId="54B5C136" w14:textId="458C0C66" w:rsidR="00C67579" w:rsidRPr="00104FB5" w:rsidRDefault="00C67579" w:rsidP="00104FB5">
      <w:pPr>
        <w:spacing w:line="276" w:lineRule="auto"/>
        <w:jc w:val="both"/>
        <w:rPr>
          <w:rFonts w:ascii="Times New Roman" w:eastAsiaTheme="minorEastAsia" w:hAnsi="Times New Roman"/>
        </w:rPr>
      </w:pPr>
      <w:r w:rsidRPr="00104FB5">
        <w:rPr>
          <w:rFonts w:ascii="Times New Roman" w:eastAsiaTheme="minorEastAsia" w:hAnsi="Times New Roman"/>
          <w:b/>
        </w:rPr>
        <w:t xml:space="preserve">Reporting period.  </w:t>
      </w:r>
      <w:r w:rsidRPr="00104FB5">
        <w:rPr>
          <w:rFonts w:ascii="Times New Roman" w:eastAsiaTheme="minorEastAsia" w:hAnsi="Times New Roman"/>
        </w:rPr>
        <w:t xml:space="preserve">ICF’s </w:t>
      </w:r>
      <w:proofErr w:type="gramStart"/>
      <w:r w:rsidRPr="00104FB5">
        <w:rPr>
          <w:rFonts w:ascii="Times New Roman" w:eastAsiaTheme="minorEastAsia" w:hAnsi="Times New Roman"/>
        </w:rPr>
        <w:t>Lost</w:t>
      </w:r>
      <w:proofErr w:type="gramEnd"/>
      <w:r w:rsidRPr="00104FB5">
        <w:rPr>
          <w:rFonts w:ascii="Times New Roman" w:eastAsiaTheme="minorEastAsia" w:hAnsi="Times New Roman"/>
        </w:rPr>
        <w:t xml:space="preserve"> and Unaccounted for Gas study prepared for the Massachusetts Department of Public Utilities</w:t>
      </w:r>
      <w:r w:rsidR="005103A9" w:rsidRPr="00104FB5">
        <w:rPr>
          <w:rStyle w:val="FootnoteReference"/>
          <w:rFonts w:ascii="Times New Roman" w:eastAsiaTheme="minorEastAsia" w:hAnsi="Times New Roman"/>
        </w:rPr>
        <w:footnoteReference w:id="1"/>
      </w:r>
      <w:r w:rsidRPr="00104FB5">
        <w:rPr>
          <w:rFonts w:ascii="Times New Roman" w:eastAsiaTheme="minorEastAsia" w:hAnsi="Times New Roman"/>
        </w:rPr>
        <w:t xml:space="preserve"> recommends an annual reporting period </w:t>
      </w:r>
      <w:r w:rsidR="00440D56" w:rsidRPr="00104FB5">
        <w:rPr>
          <w:rFonts w:ascii="Times New Roman" w:eastAsiaTheme="minorEastAsia" w:hAnsi="Times New Roman"/>
        </w:rPr>
        <w:t xml:space="preserve">(Accounting Period) </w:t>
      </w:r>
      <w:r w:rsidRPr="00104FB5">
        <w:rPr>
          <w:rFonts w:ascii="Times New Roman" w:eastAsiaTheme="minorEastAsia" w:hAnsi="Times New Roman"/>
        </w:rPr>
        <w:t xml:space="preserve">that begins and ends in the summer, when gas usage is more stable.  This allows for a more complete annual picture of gas usage, </w:t>
      </w:r>
      <w:r w:rsidR="006D3854">
        <w:rPr>
          <w:rFonts w:ascii="Times New Roman" w:eastAsiaTheme="minorEastAsia" w:hAnsi="Times New Roman"/>
        </w:rPr>
        <w:t xml:space="preserve">relative to </w:t>
      </w:r>
      <w:r w:rsidR="00F15232">
        <w:rPr>
          <w:rFonts w:ascii="Times New Roman" w:eastAsiaTheme="minorEastAsia" w:hAnsi="Times New Roman"/>
        </w:rPr>
        <w:t xml:space="preserve">an Accounting Period that would begin and end in the winter, a period in </w:t>
      </w:r>
      <w:r w:rsidRPr="00104FB5">
        <w:rPr>
          <w:rFonts w:ascii="Times New Roman" w:eastAsiaTheme="minorEastAsia" w:hAnsi="Times New Roman"/>
        </w:rPr>
        <w:t xml:space="preserve">which </w:t>
      </w:r>
      <w:r w:rsidR="00F15232">
        <w:rPr>
          <w:rFonts w:ascii="Times New Roman" w:eastAsiaTheme="minorEastAsia" w:hAnsi="Times New Roman"/>
        </w:rPr>
        <w:t xml:space="preserve">use </w:t>
      </w:r>
      <w:r w:rsidRPr="00104FB5">
        <w:rPr>
          <w:rFonts w:ascii="Times New Roman" w:eastAsiaTheme="minorEastAsia" w:hAnsi="Times New Roman"/>
        </w:rPr>
        <w:t xml:space="preserve">tends to be highly variable.  Furthermore, we recommend that the </w:t>
      </w:r>
      <w:r w:rsidR="00440D56" w:rsidRPr="00104FB5">
        <w:rPr>
          <w:rFonts w:ascii="Times New Roman" w:eastAsiaTheme="minorEastAsia" w:hAnsi="Times New Roman"/>
        </w:rPr>
        <w:t>Accounting P</w:t>
      </w:r>
      <w:r w:rsidRPr="00104FB5">
        <w:rPr>
          <w:rFonts w:ascii="Times New Roman" w:eastAsiaTheme="minorEastAsia" w:hAnsi="Times New Roman"/>
        </w:rPr>
        <w:t xml:space="preserve">eriod conform to PHMSA’s “12 months ending June 30 of the reporting year,” in order to reduce data preparation redundancies and inefficiencies that lead to higher </w:t>
      </w:r>
      <w:r w:rsidR="008F05FE">
        <w:rPr>
          <w:rFonts w:ascii="Times New Roman" w:eastAsiaTheme="minorEastAsia" w:hAnsi="Times New Roman"/>
        </w:rPr>
        <w:t xml:space="preserve">administrative </w:t>
      </w:r>
      <w:r w:rsidRPr="00104FB5">
        <w:rPr>
          <w:rFonts w:ascii="Times New Roman" w:eastAsiaTheme="minorEastAsia" w:hAnsi="Times New Roman"/>
        </w:rPr>
        <w:t>costs.</w:t>
      </w:r>
    </w:p>
    <w:p w14:paraId="5BC21918" w14:textId="77777777" w:rsidR="00C67579" w:rsidRPr="00104FB5" w:rsidRDefault="00C67579" w:rsidP="00104FB5">
      <w:pPr>
        <w:spacing w:line="276" w:lineRule="auto"/>
        <w:jc w:val="both"/>
        <w:rPr>
          <w:rFonts w:ascii="Times New Roman" w:eastAsiaTheme="minorEastAsia" w:hAnsi="Times New Roman"/>
        </w:rPr>
      </w:pPr>
    </w:p>
    <w:p w14:paraId="40499DD0" w14:textId="6E50980F" w:rsidR="00C67579" w:rsidRPr="00104FB5" w:rsidRDefault="00C67579" w:rsidP="00104FB5">
      <w:pPr>
        <w:spacing w:line="276" w:lineRule="auto"/>
        <w:jc w:val="both"/>
        <w:rPr>
          <w:rFonts w:ascii="Times New Roman" w:eastAsiaTheme="minorEastAsia" w:hAnsi="Times New Roman"/>
        </w:rPr>
      </w:pPr>
      <w:r w:rsidRPr="00104FB5">
        <w:rPr>
          <w:rFonts w:ascii="Times New Roman" w:eastAsiaTheme="minorEastAsia" w:hAnsi="Times New Roman"/>
          <w:b/>
        </w:rPr>
        <w:t xml:space="preserve">Relative contribution of LAUF </w:t>
      </w:r>
      <w:r w:rsidR="00304CD4">
        <w:rPr>
          <w:rFonts w:ascii="Times New Roman" w:eastAsiaTheme="minorEastAsia" w:hAnsi="Times New Roman"/>
          <w:b/>
        </w:rPr>
        <w:t>Factor</w:t>
      </w:r>
      <w:r w:rsidR="00750F9C">
        <w:rPr>
          <w:rFonts w:ascii="Times New Roman" w:eastAsiaTheme="minorEastAsia" w:hAnsi="Times New Roman"/>
          <w:b/>
        </w:rPr>
        <w:t>s</w:t>
      </w:r>
      <w:r w:rsidRPr="00104FB5">
        <w:rPr>
          <w:rFonts w:ascii="Times New Roman" w:eastAsiaTheme="minorEastAsia" w:hAnsi="Times New Roman"/>
          <w:b/>
        </w:rPr>
        <w:t>.</w:t>
      </w:r>
      <w:r w:rsidRPr="00104FB5">
        <w:rPr>
          <w:rFonts w:ascii="Times New Roman" w:eastAsiaTheme="minorEastAsia" w:hAnsi="Times New Roman"/>
        </w:rPr>
        <w:t xml:space="preserve"> In studying </w:t>
      </w:r>
      <w:r w:rsidR="00750F9C">
        <w:rPr>
          <w:rFonts w:ascii="Times New Roman" w:eastAsiaTheme="minorEastAsia" w:hAnsi="Times New Roman"/>
        </w:rPr>
        <w:t xml:space="preserve">factors contributing to </w:t>
      </w:r>
      <w:r w:rsidRPr="00104FB5">
        <w:rPr>
          <w:rFonts w:ascii="Times New Roman" w:eastAsiaTheme="minorEastAsia" w:hAnsi="Times New Roman"/>
        </w:rPr>
        <w:t xml:space="preserve">LAUF </w:t>
      </w:r>
      <w:r w:rsidR="00773BEA">
        <w:rPr>
          <w:rFonts w:ascii="Times New Roman" w:eastAsiaTheme="minorEastAsia" w:hAnsi="Times New Roman"/>
        </w:rPr>
        <w:t>for</w:t>
      </w:r>
      <w:r w:rsidR="00773BEA" w:rsidRPr="00104FB5">
        <w:rPr>
          <w:rFonts w:ascii="Times New Roman" w:eastAsiaTheme="minorEastAsia" w:hAnsi="Times New Roman"/>
        </w:rPr>
        <w:t xml:space="preserve"> </w:t>
      </w:r>
      <w:r w:rsidRPr="00104FB5">
        <w:rPr>
          <w:rFonts w:ascii="Times New Roman" w:eastAsiaTheme="minorEastAsia" w:hAnsi="Times New Roman"/>
        </w:rPr>
        <w:t xml:space="preserve">a few utilities in Massachusetts, ICF found that </w:t>
      </w:r>
      <w:r w:rsidR="0020729E">
        <w:rPr>
          <w:rFonts w:ascii="Times New Roman" w:eastAsiaTheme="minorEastAsia" w:hAnsi="Times New Roman"/>
        </w:rPr>
        <w:t xml:space="preserve">the contribution of </w:t>
      </w:r>
      <w:r w:rsidRPr="00104FB5">
        <w:rPr>
          <w:rFonts w:ascii="Times New Roman" w:eastAsiaTheme="minorEastAsia" w:hAnsi="Times New Roman"/>
        </w:rPr>
        <w:t xml:space="preserve">some </w:t>
      </w:r>
      <w:r w:rsidR="00750F9C">
        <w:rPr>
          <w:rFonts w:ascii="Times New Roman" w:eastAsiaTheme="minorEastAsia" w:hAnsi="Times New Roman"/>
        </w:rPr>
        <w:t xml:space="preserve">factors </w:t>
      </w:r>
      <w:r w:rsidR="0020729E">
        <w:rPr>
          <w:rFonts w:ascii="Times New Roman" w:eastAsiaTheme="minorEastAsia" w:hAnsi="Times New Roman"/>
        </w:rPr>
        <w:t xml:space="preserve">to LAUF is </w:t>
      </w:r>
      <w:r w:rsidRPr="00104FB5">
        <w:rPr>
          <w:rFonts w:ascii="Times New Roman" w:eastAsiaTheme="minorEastAsia" w:hAnsi="Times New Roman"/>
        </w:rPr>
        <w:t xml:space="preserve">relatively low in magnitude compared to others.  For </w:t>
      </w:r>
      <w:r w:rsidR="00750F9C">
        <w:rPr>
          <w:rFonts w:ascii="Times New Roman" w:eastAsiaTheme="minorEastAsia" w:hAnsi="Times New Roman"/>
        </w:rPr>
        <w:t xml:space="preserve">factors </w:t>
      </w:r>
      <w:r w:rsidRPr="00104FB5">
        <w:rPr>
          <w:rFonts w:ascii="Times New Roman" w:eastAsiaTheme="minorEastAsia" w:hAnsi="Times New Roman"/>
        </w:rPr>
        <w:t xml:space="preserve">that are small in magnitude, ICF advised that simplified quantification methods be used, while larger </w:t>
      </w:r>
      <w:r w:rsidR="00750F9C">
        <w:rPr>
          <w:rFonts w:ascii="Times New Roman" w:eastAsiaTheme="minorEastAsia" w:hAnsi="Times New Roman"/>
        </w:rPr>
        <w:t xml:space="preserve">factors </w:t>
      </w:r>
      <w:r w:rsidRPr="00104FB5">
        <w:rPr>
          <w:rFonts w:ascii="Times New Roman" w:eastAsiaTheme="minorEastAsia" w:hAnsi="Times New Roman"/>
        </w:rPr>
        <w:t>should be quantified more carefully and accurately.</w:t>
      </w:r>
    </w:p>
    <w:p w14:paraId="63380436" w14:textId="77777777" w:rsidR="00C67579" w:rsidRPr="00104FB5" w:rsidRDefault="00C67579" w:rsidP="00104FB5">
      <w:pPr>
        <w:spacing w:line="276" w:lineRule="auto"/>
        <w:jc w:val="both"/>
        <w:rPr>
          <w:rFonts w:ascii="Times New Roman" w:eastAsiaTheme="minorEastAsia" w:hAnsi="Times New Roman"/>
        </w:rPr>
      </w:pPr>
    </w:p>
    <w:p w14:paraId="770668AD" w14:textId="381BD854" w:rsidR="00C67579" w:rsidRPr="00104FB5" w:rsidRDefault="00C67579" w:rsidP="00104FB5">
      <w:pPr>
        <w:spacing w:line="276" w:lineRule="auto"/>
        <w:jc w:val="both"/>
        <w:rPr>
          <w:rFonts w:ascii="Times New Roman" w:eastAsiaTheme="minorEastAsia" w:hAnsi="Times New Roman"/>
        </w:rPr>
      </w:pPr>
      <w:r w:rsidRPr="00104FB5">
        <w:rPr>
          <w:rFonts w:ascii="Times New Roman" w:eastAsiaTheme="minorEastAsia" w:hAnsi="Times New Roman"/>
          <w:b/>
        </w:rPr>
        <w:t>Guidance on data management and calculations.</w:t>
      </w:r>
      <w:r w:rsidRPr="00104FB5">
        <w:rPr>
          <w:rFonts w:ascii="Times New Roman" w:eastAsiaTheme="minorEastAsia" w:hAnsi="Times New Roman"/>
        </w:rPr>
        <w:t xml:space="preserve"> ICF recommends that a framework should provide guidance on data and estimation methods that are acceptable for reporting. It should establish detailed methods for estimating each LAUF </w:t>
      </w:r>
      <w:r w:rsidR="00304CD4">
        <w:rPr>
          <w:rFonts w:ascii="Times New Roman" w:eastAsiaTheme="minorEastAsia" w:hAnsi="Times New Roman"/>
        </w:rPr>
        <w:t>Factor</w:t>
      </w:r>
      <w:r w:rsidRPr="00104FB5">
        <w:rPr>
          <w:rFonts w:ascii="Times New Roman" w:eastAsiaTheme="minorEastAsia" w:hAnsi="Times New Roman"/>
        </w:rPr>
        <w:t xml:space="preserve">. </w:t>
      </w:r>
    </w:p>
    <w:p w14:paraId="4BEAA59D" w14:textId="77777777" w:rsidR="00C67579" w:rsidRPr="00104FB5" w:rsidRDefault="00C67579" w:rsidP="00104FB5">
      <w:pPr>
        <w:spacing w:line="276" w:lineRule="auto"/>
        <w:jc w:val="both"/>
        <w:rPr>
          <w:rFonts w:ascii="Times New Roman" w:eastAsiaTheme="minorEastAsia" w:hAnsi="Times New Roman"/>
        </w:rPr>
      </w:pPr>
    </w:p>
    <w:p w14:paraId="03E0601D" w14:textId="30127FB8" w:rsidR="00C67579" w:rsidRPr="00104FB5" w:rsidRDefault="00C67579" w:rsidP="00104FB5">
      <w:pPr>
        <w:spacing w:line="276" w:lineRule="auto"/>
        <w:jc w:val="both"/>
        <w:rPr>
          <w:rFonts w:ascii="Times New Roman" w:eastAsiaTheme="minorEastAsia" w:hAnsi="Times New Roman"/>
        </w:rPr>
      </w:pPr>
      <w:r w:rsidRPr="00104FB5">
        <w:rPr>
          <w:rFonts w:ascii="Times New Roman" w:eastAsiaTheme="minorEastAsia" w:hAnsi="Times New Roman"/>
          <w:b/>
        </w:rPr>
        <w:t xml:space="preserve">Uncertainties in reported numbers. </w:t>
      </w:r>
      <w:r w:rsidRPr="00104FB5">
        <w:rPr>
          <w:rFonts w:ascii="Times New Roman" w:eastAsiaTheme="minorEastAsia" w:hAnsi="Times New Roman"/>
        </w:rPr>
        <w:t>IC</w:t>
      </w:r>
      <w:r w:rsidR="00614ED4" w:rsidRPr="00104FB5">
        <w:rPr>
          <w:rFonts w:ascii="Times New Roman" w:eastAsiaTheme="minorEastAsia" w:hAnsi="Times New Roman"/>
        </w:rPr>
        <w:t>F</w:t>
      </w:r>
      <w:r w:rsidRPr="00104FB5">
        <w:rPr>
          <w:rFonts w:ascii="Times New Roman" w:eastAsiaTheme="minorEastAsia" w:hAnsi="Times New Roman"/>
        </w:rPr>
        <w:t xml:space="preserve"> further recommends that guidelines should be provided on how to identify and report on uncertainties in the reported data and estimates.</w:t>
      </w:r>
    </w:p>
    <w:p w14:paraId="51D3F779" w14:textId="77777777" w:rsidR="00C67579" w:rsidRPr="00104FB5" w:rsidRDefault="00C67579" w:rsidP="00104FB5">
      <w:pPr>
        <w:spacing w:line="276" w:lineRule="auto"/>
        <w:jc w:val="both"/>
        <w:rPr>
          <w:rFonts w:ascii="Times New Roman" w:eastAsiaTheme="minorEastAsia" w:hAnsi="Times New Roman"/>
        </w:rPr>
      </w:pPr>
    </w:p>
    <w:p w14:paraId="4BC9CCF9" w14:textId="6C412E8B" w:rsidR="00C67579" w:rsidRPr="00104FB5" w:rsidRDefault="00C67579" w:rsidP="00104FB5">
      <w:pPr>
        <w:spacing w:line="276" w:lineRule="auto"/>
        <w:jc w:val="both"/>
        <w:rPr>
          <w:rFonts w:ascii="Times New Roman" w:eastAsiaTheme="minorEastAsia" w:hAnsi="Times New Roman"/>
        </w:rPr>
      </w:pPr>
      <w:r w:rsidRPr="00104FB5">
        <w:rPr>
          <w:rFonts w:ascii="Times New Roman" w:eastAsiaTheme="minorEastAsia" w:hAnsi="Times New Roman"/>
          <w:b/>
        </w:rPr>
        <w:t xml:space="preserve">Operational capacity of </w:t>
      </w:r>
      <w:r w:rsidR="009F4EAF" w:rsidRPr="00104FB5">
        <w:rPr>
          <w:rFonts w:ascii="Times New Roman" w:eastAsiaTheme="minorEastAsia" w:hAnsi="Times New Roman"/>
          <w:b/>
        </w:rPr>
        <w:t xml:space="preserve">small </w:t>
      </w:r>
      <w:r w:rsidR="00C10824" w:rsidRPr="00104FB5">
        <w:rPr>
          <w:rFonts w:ascii="Times New Roman" w:eastAsiaTheme="minorEastAsia" w:hAnsi="Times New Roman"/>
          <w:b/>
        </w:rPr>
        <w:t>LRE</w:t>
      </w:r>
      <w:r w:rsidR="00C07522">
        <w:rPr>
          <w:rFonts w:ascii="Times New Roman" w:eastAsiaTheme="minorEastAsia" w:hAnsi="Times New Roman"/>
          <w:b/>
        </w:rPr>
        <w:t>s</w:t>
      </w:r>
      <w:r w:rsidRPr="00104FB5">
        <w:rPr>
          <w:rFonts w:ascii="Times New Roman" w:eastAsiaTheme="minorEastAsia" w:hAnsi="Times New Roman"/>
          <w:b/>
        </w:rPr>
        <w:t xml:space="preserve">.  </w:t>
      </w:r>
      <w:r w:rsidR="006A5BA8" w:rsidRPr="00104FB5">
        <w:rPr>
          <w:rFonts w:ascii="Times New Roman" w:eastAsiaTheme="minorEastAsia" w:hAnsi="Times New Roman"/>
        </w:rPr>
        <w:t xml:space="preserve">As noted in the </w:t>
      </w:r>
      <w:r w:rsidRPr="00104FB5">
        <w:rPr>
          <w:rFonts w:ascii="Times New Roman" w:eastAsiaTheme="minorEastAsia" w:hAnsi="Times New Roman"/>
        </w:rPr>
        <w:t xml:space="preserve">ICF </w:t>
      </w:r>
      <w:r w:rsidR="006A5BA8" w:rsidRPr="00104FB5">
        <w:rPr>
          <w:rFonts w:ascii="Times New Roman" w:eastAsiaTheme="minorEastAsia" w:hAnsi="Times New Roman"/>
        </w:rPr>
        <w:t xml:space="preserve">study, </w:t>
      </w:r>
      <w:r w:rsidRPr="00104FB5">
        <w:rPr>
          <w:rFonts w:ascii="Times New Roman" w:eastAsiaTheme="minorEastAsia" w:hAnsi="Times New Roman"/>
        </w:rPr>
        <w:t xml:space="preserve">smaller </w:t>
      </w:r>
      <w:r w:rsidR="00C10824" w:rsidRPr="00104FB5">
        <w:rPr>
          <w:rFonts w:ascii="Times New Roman" w:eastAsiaTheme="minorEastAsia" w:hAnsi="Times New Roman"/>
        </w:rPr>
        <w:t>LRE</w:t>
      </w:r>
      <w:r w:rsidR="009F4EAF" w:rsidRPr="00104FB5">
        <w:rPr>
          <w:rFonts w:ascii="Times New Roman" w:eastAsiaTheme="minorEastAsia" w:hAnsi="Times New Roman"/>
        </w:rPr>
        <w:t>s</w:t>
      </w:r>
      <w:r w:rsidR="00033794" w:rsidRPr="00104FB5">
        <w:rPr>
          <w:rFonts w:ascii="Times New Roman" w:eastAsiaTheme="minorEastAsia" w:hAnsi="Times New Roman"/>
        </w:rPr>
        <w:t xml:space="preserve"> </w:t>
      </w:r>
      <w:r w:rsidRPr="00104FB5">
        <w:rPr>
          <w:rFonts w:ascii="Times New Roman" w:eastAsiaTheme="minorEastAsia" w:hAnsi="Times New Roman"/>
        </w:rPr>
        <w:t xml:space="preserve">may </w:t>
      </w:r>
      <w:r w:rsidR="005B1E43" w:rsidRPr="00104FB5">
        <w:rPr>
          <w:rFonts w:ascii="Times New Roman" w:eastAsiaTheme="minorEastAsia" w:hAnsi="Times New Roman"/>
        </w:rPr>
        <w:t xml:space="preserve">find it challenging to </w:t>
      </w:r>
      <w:r w:rsidRPr="00104FB5">
        <w:rPr>
          <w:rFonts w:ascii="Times New Roman" w:eastAsiaTheme="minorEastAsia" w:hAnsi="Times New Roman"/>
        </w:rPr>
        <w:t>comply with a uniform standard for reporting.  Whereas large</w:t>
      </w:r>
      <w:r w:rsidR="005B1E43" w:rsidRPr="00104FB5">
        <w:rPr>
          <w:rFonts w:ascii="Times New Roman" w:eastAsiaTheme="minorEastAsia" w:hAnsi="Times New Roman"/>
        </w:rPr>
        <w:t>r</w:t>
      </w:r>
      <w:r w:rsidRPr="00104FB5">
        <w:rPr>
          <w:rFonts w:ascii="Times New Roman" w:eastAsiaTheme="minorEastAsia" w:hAnsi="Times New Roman"/>
        </w:rPr>
        <w:t xml:space="preserve"> </w:t>
      </w:r>
      <w:r w:rsidR="00C10824" w:rsidRPr="00104FB5">
        <w:rPr>
          <w:rFonts w:ascii="Times New Roman" w:eastAsiaTheme="minorEastAsia" w:hAnsi="Times New Roman"/>
        </w:rPr>
        <w:t>LRE</w:t>
      </w:r>
      <w:r w:rsidR="009F4EAF" w:rsidRPr="00104FB5">
        <w:rPr>
          <w:rFonts w:ascii="Times New Roman" w:eastAsiaTheme="minorEastAsia" w:hAnsi="Times New Roman"/>
        </w:rPr>
        <w:t xml:space="preserve">s </w:t>
      </w:r>
      <w:r w:rsidRPr="00104FB5">
        <w:rPr>
          <w:rFonts w:ascii="Times New Roman" w:eastAsiaTheme="minorEastAsia" w:hAnsi="Times New Roman"/>
        </w:rPr>
        <w:t xml:space="preserve">have existing capacity for capturing and reporting individual </w:t>
      </w:r>
      <w:r w:rsidR="00750F9C">
        <w:rPr>
          <w:rFonts w:ascii="Times New Roman" w:eastAsiaTheme="minorEastAsia" w:hAnsi="Times New Roman"/>
        </w:rPr>
        <w:t xml:space="preserve">LAUF </w:t>
      </w:r>
      <w:r w:rsidR="00304CD4">
        <w:rPr>
          <w:rFonts w:ascii="Times New Roman" w:eastAsiaTheme="minorEastAsia" w:hAnsi="Times New Roman"/>
        </w:rPr>
        <w:t>Factor</w:t>
      </w:r>
      <w:r w:rsidR="00750F9C">
        <w:rPr>
          <w:rFonts w:ascii="Times New Roman" w:eastAsiaTheme="minorEastAsia" w:hAnsi="Times New Roman"/>
        </w:rPr>
        <w:t>s</w:t>
      </w:r>
      <w:r w:rsidRPr="00104FB5">
        <w:rPr>
          <w:rFonts w:ascii="Times New Roman" w:eastAsiaTheme="minorEastAsia" w:hAnsi="Times New Roman"/>
        </w:rPr>
        <w:t xml:space="preserve">, smaller </w:t>
      </w:r>
      <w:r w:rsidR="00C10824" w:rsidRPr="00104FB5">
        <w:rPr>
          <w:rFonts w:ascii="Times New Roman" w:eastAsiaTheme="minorEastAsia" w:hAnsi="Times New Roman"/>
        </w:rPr>
        <w:t>LRE</w:t>
      </w:r>
      <w:r w:rsidR="009F4EAF" w:rsidRPr="00104FB5">
        <w:rPr>
          <w:rFonts w:ascii="Times New Roman" w:eastAsiaTheme="minorEastAsia" w:hAnsi="Times New Roman"/>
        </w:rPr>
        <w:t xml:space="preserve">s </w:t>
      </w:r>
      <w:r w:rsidRPr="00104FB5">
        <w:rPr>
          <w:rFonts w:ascii="Times New Roman" w:eastAsiaTheme="minorEastAsia" w:hAnsi="Times New Roman"/>
        </w:rPr>
        <w:t xml:space="preserve">might not have the ability to gather the necessary resources for such observations and reporting. </w:t>
      </w:r>
      <w:r w:rsidR="006A5BA8" w:rsidRPr="00104FB5">
        <w:rPr>
          <w:rFonts w:ascii="Times New Roman" w:eastAsiaTheme="minorEastAsia" w:hAnsi="Times New Roman"/>
        </w:rPr>
        <w:t xml:space="preserve"> </w:t>
      </w:r>
    </w:p>
    <w:p w14:paraId="17C95B81" w14:textId="77777777" w:rsidR="00C67579" w:rsidRPr="00104FB5" w:rsidRDefault="00C67579" w:rsidP="00104FB5">
      <w:pPr>
        <w:spacing w:line="276" w:lineRule="auto"/>
        <w:jc w:val="both"/>
        <w:rPr>
          <w:rFonts w:ascii="Times New Roman" w:eastAsiaTheme="minorEastAsia" w:hAnsi="Times New Roman"/>
        </w:rPr>
      </w:pPr>
    </w:p>
    <w:p w14:paraId="22C81EAF" w14:textId="03631B8C" w:rsidR="00C67579" w:rsidRPr="00E915BD" w:rsidRDefault="00C67579" w:rsidP="00B34E67">
      <w:pPr>
        <w:spacing w:line="276" w:lineRule="auto"/>
        <w:jc w:val="both"/>
        <w:rPr>
          <w:rFonts w:ascii="Times New Roman" w:eastAsiaTheme="minorEastAsia" w:hAnsi="Times New Roman"/>
        </w:rPr>
      </w:pPr>
      <w:r w:rsidRPr="00104FB5">
        <w:rPr>
          <w:rFonts w:ascii="Times New Roman" w:eastAsiaTheme="minorEastAsia" w:hAnsi="Times New Roman"/>
          <w:b/>
        </w:rPr>
        <w:t xml:space="preserve">LAUF </w:t>
      </w:r>
      <w:r w:rsidR="00304CD4">
        <w:rPr>
          <w:rFonts w:ascii="Times New Roman" w:eastAsiaTheme="minorEastAsia" w:hAnsi="Times New Roman"/>
          <w:b/>
        </w:rPr>
        <w:t>Factor</w:t>
      </w:r>
      <w:r w:rsidR="00750F9C">
        <w:rPr>
          <w:rFonts w:ascii="Times New Roman" w:eastAsiaTheme="minorEastAsia" w:hAnsi="Times New Roman"/>
          <w:b/>
        </w:rPr>
        <w:t>s</w:t>
      </w:r>
      <w:r w:rsidRPr="00104FB5">
        <w:rPr>
          <w:rFonts w:ascii="Times New Roman" w:eastAsiaTheme="minorEastAsia" w:hAnsi="Times New Roman"/>
          <w:b/>
        </w:rPr>
        <w:t xml:space="preserve">: accounting vs. adjustments. </w:t>
      </w:r>
      <w:r w:rsidRPr="00104FB5">
        <w:rPr>
          <w:rFonts w:ascii="Times New Roman" w:eastAsiaTheme="minorEastAsia" w:hAnsi="Times New Roman"/>
        </w:rPr>
        <w:t xml:space="preserve">It is possible that </w:t>
      </w:r>
      <w:r w:rsidR="001B7751">
        <w:rPr>
          <w:rFonts w:ascii="Times New Roman" w:eastAsiaTheme="minorEastAsia" w:hAnsi="Times New Roman"/>
        </w:rPr>
        <w:t xml:space="preserve">the </w:t>
      </w:r>
      <w:r w:rsidRPr="00104FB5">
        <w:rPr>
          <w:rFonts w:ascii="Times New Roman" w:eastAsiaTheme="minorEastAsia" w:hAnsi="Times New Roman"/>
        </w:rPr>
        <w:t xml:space="preserve">contribution </w:t>
      </w:r>
      <w:r w:rsidR="001B7751">
        <w:rPr>
          <w:rFonts w:ascii="Times New Roman" w:eastAsiaTheme="minorEastAsia" w:hAnsi="Times New Roman"/>
        </w:rPr>
        <w:t xml:space="preserve">of certain LAUF Factors </w:t>
      </w:r>
      <w:r w:rsidRPr="00104FB5">
        <w:rPr>
          <w:rFonts w:ascii="Times New Roman" w:eastAsiaTheme="minorEastAsia" w:hAnsi="Times New Roman"/>
        </w:rPr>
        <w:t xml:space="preserve">to LAUF </w:t>
      </w:r>
      <w:r w:rsidR="00C07522">
        <w:rPr>
          <w:rFonts w:ascii="Times New Roman" w:eastAsiaTheme="minorEastAsia" w:hAnsi="Times New Roman"/>
        </w:rPr>
        <w:t xml:space="preserve">is </w:t>
      </w:r>
      <w:r w:rsidR="0099347B">
        <w:rPr>
          <w:rFonts w:ascii="Times New Roman" w:eastAsiaTheme="minorEastAsia" w:hAnsi="Times New Roman"/>
        </w:rPr>
        <w:t xml:space="preserve">very </w:t>
      </w:r>
      <w:r w:rsidR="001B7751">
        <w:rPr>
          <w:rFonts w:ascii="Times New Roman" w:eastAsiaTheme="minorEastAsia" w:hAnsi="Times New Roman"/>
        </w:rPr>
        <w:t>minor</w:t>
      </w:r>
      <w:r w:rsidRPr="00104FB5">
        <w:rPr>
          <w:rFonts w:ascii="Times New Roman" w:eastAsiaTheme="minorEastAsia" w:hAnsi="Times New Roman"/>
        </w:rPr>
        <w:t xml:space="preserve">.  In some cases, </w:t>
      </w:r>
      <w:r w:rsidR="008164DA">
        <w:rPr>
          <w:rFonts w:ascii="Times New Roman" w:eastAsiaTheme="minorEastAsia" w:hAnsi="Times New Roman"/>
        </w:rPr>
        <w:t xml:space="preserve">the </w:t>
      </w:r>
      <w:r w:rsidRPr="00104FB5">
        <w:rPr>
          <w:rFonts w:ascii="Times New Roman" w:eastAsiaTheme="minorEastAsia" w:hAnsi="Times New Roman"/>
        </w:rPr>
        <w:t xml:space="preserve">magnitude of LAUF </w:t>
      </w:r>
      <w:r w:rsidR="00304CD4">
        <w:rPr>
          <w:rFonts w:ascii="Times New Roman" w:eastAsiaTheme="minorEastAsia" w:hAnsi="Times New Roman"/>
        </w:rPr>
        <w:t xml:space="preserve">Factors </w:t>
      </w:r>
      <w:r w:rsidRPr="00104FB5">
        <w:rPr>
          <w:rFonts w:ascii="Times New Roman" w:eastAsiaTheme="minorEastAsia" w:hAnsi="Times New Roman"/>
        </w:rPr>
        <w:t xml:space="preserve">may vary by geography.  Regardless of this variation, it is necessary for all </w:t>
      </w:r>
      <w:r w:rsidR="00C10824" w:rsidRPr="00104FB5">
        <w:rPr>
          <w:rFonts w:ascii="Times New Roman" w:eastAsiaTheme="minorEastAsia" w:hAnsi="Times New Roman"/>
        </w:rPr>
        <w:t>LRE</w:t>
      </w:r>
      <w:r w:rsidR="006D7449" w:rsidRPr="00104FB5">
        <w:rPr>
          <w:rFonts w:ascii="Times New Roman" w:eastAsiaTheme="minorEastAsia" w:hAnsi="Times New Roman"/>
        </w:rPr>
        <w:t>s in a given</w:t>
      </w:r>
      <w:r w:rsidR="009F4EAF" w:rsidRPr="00104FB5">
        <w:rPr>
          <w:rFonts w:ascii="Times New Roman" w:eastAsiaTheme="minorEastAsia" w:hAnsi="Times New Roman"/>
        </w:rPr>
        <w:t xml:space="preserve"> </w:t>
      </w:r>
      <w:r w:rsidR="00033794" w:rsidRPr="00104FB5">
        <w:rPr>
          <w:rFonts w:ascii="Times New Roman" w:eastAsiaTheme="minorEastAsia" w:hAnsi="Times New Roman"/>
        </w:rPr>
        <w:t xml:space="preserve">category (i.e. interstate pipelines, intrastate pipelines, </w:t>
      </w:r>
      <w:r w:rsidR="00C07522">
        <w:rPr>
          <w:rFonts w:ascii="Times New Roman" w:eastAsiaTheme="minorEastAsia" w:hAnsi="Times New Roman"/>
        </w:rPr>
        <w:t>LDCs</w:t>
      </w:r>
      <w:r w:rsidR="009F4EAF" w:rsidRPr="00104FB5">
        <w:rPr>
          <w:rFonts w:ascii="Times New Roman" w:eastAsiaTheme="minorEastAsia" w:hAnsi="Times New Roman"/>
        </w:rPr>
        <w:t>, storage operators</w:t>
      </w:r>
      <w:r w:rsidR="00033794" w:rsidRPr="00104FB5">
        <w:rPr>
          <w:rFonts w:ascii="Times New Roman" w:eastAsiaTheme="minorEastAsia" w:hAnsi="Times New Roman"/>
        </w:rPr>
        <w:t xml:space="preserve">) </w:t>
      </w:r>
      <w:r w:rsidRPr="00104FB5">
        <w:rPr>
          <w:rFonts w:ascii="Times New Roman" w:eastAsiaTheme="minorEastAsia" w:hAnsi="Times New Roman"/>
        </w:rPr>
        <w:t xml:space="preserve">to use the same accounting methods for each </w:t>
      </w:r>
      <w:r w:rsidR="003C0EF1">
        <w:rPr>
          <w:rFonts w:ascii="Times New Roman" w:eastAsiaTheme="minorEastAsia" w:hAnsi="Times New Roman"/>
        </w:rPr>
        <w:t>LAUF F</w:t>
      </w:r>
      <w:r w:rsidR="00304CD4">
        <w:rPr>
          <w:rFonts w:ascii="Times New Roman" w:eastAsiaTheme="minorEastAsia" w:hAnsi="Times New Roman"/>
        </w:rPr>
        <w:t>actor</w:t>
      </w:r>
      <w:r w:rsidR="00304CD4" w:rsidRPr="00104FB5">
        <w:rPr>
          <w:rFonts w:ascii="Times New Roman" w:eastAsiaTheme="minorEastAsia" w:hAnsi="Times New Roman"/>
        </w:rPr>
        <w:t xml:space="preserve"> </w:t>
      </w:r>
      <w:r w:rsidRPr="00104FB5">
        <w:rPr>
          <w:rFonts w:ascii="Times New Roman" w:eastAsiaTheme="minorEastAsia" w:hAnsi="Times New Roman"/>
        </w:rPr>
        <w:t xml:space="preserve">and apply the same adjustments in LAUF when reporting LAUF to federal </w:t>
      </w:r>
      <w:r w:rsidR="009F4EAF" w:rsidRPr="00104FB5">
        <w:rPr>
          <w:rFonts w:ascii="Times New Roman" w:eastAsiaTheme="minorEastAsia" w:hAnsi="Times New Roman"/>
        </w:rPr>
        <w:t xml:space="preserve">and </w:t>
      </w:r>
      <w:r w:rsidR="00BD3F6B" w:rsidRPr="00104FB5">
        <w:rPr>
          <w:rFonts w:ascii="Times New Roman" w:eastAsiaTheme="minorEastAsia" w:hAnsi="Times New Roman"/>
        </w:rPr>
        <w:t xml:space="preserve">applicable </w:t>
      </w:r>
      <w:r w:rsidR="009F4EAF" w:rsidRPr="00104FB5">
        <w:rPr>
          <w:rFonts w:ascii="Times New Roman" w:eastAsiaTheme="minorEastAsia" w:hAnsi="Times New Roman"/>
        </w:rPr>
        <w:t xml:space="preserve">state </w:t>
      </w:r>
      <w:r w:rsidRPr="00104FB5">
        <w:rPr>
          <w:rFonts w:ascii="Times New Roman" w:eastAsiaTheme="minorEastAsia" w:hAnsi="Times New Roman"/>
        </w:rPr>
        <w:t xml:space="preserve">governments. </w:t>
      </w:r>
      <w:r w:rsidR="00B34E67" w:rsidRPr="00C07522">
        <w:rPr>
          <w:rFonts w:ascii="Times New Roman" w:eastAsiaTheme="minorEastAsia" w:hAnsi="Times New Roman"/>
        </w:rPr>
        <w:t xml:space="preserve">LAUF shall be </w:t>
      </w:r>
      <w:r w:rsidR="001E4144" w:rsidRPr="00C07522">
        <w:rPr>
          <w:rFonts w:ascii="Times New Roman" w:eastAsiaTheme="minorEastAsia" w:hAnsi="Times New Roman"/>
        </w:rPr>
        <w:t xml:space="preserve">separately </w:t>
      </w:r>
      <w:r w:rsidR="00B34E67" w:rsidRPr="00C07522">
        <w:rPr>
          <w:rFonts w:ascii="Times New Roman" w:eastAsiaTheme="minorEastAsia" w:hAnsi="Times New Roman"/>
        </w:rPr>
        <w:t>calculated and reported by facility classification (i.e., distribution, storage, and transmission)</w:t>
      </w:r>
      <w:r w:rsidR="001E4144" w:rsidRPr="00C07522">
        <w:rPr>
          <w:rFonts w:ascii="Times New Roman" w:eastAsiaTheme="minorEastAsia" w:hAnsi="Times New Roman"/>
        </w:rPr>
        <w:t xml:space="preserve"> to allow for fair comparison</w:t>
      </w:r>
      <w:r w:rsidR="00B34E67" w:rsidRPr="00C07522">
        <w:rPr>
          <w:rFonts w:ascii="Times New Roman" w:eastAsiaTheme="minorEastAsia" w:hAnsi="Times New Roman"/>
        </w:rPr>
        <w:t xml:space="preserve">. Thus, </w:t>
      </w:r>
      <w:r w:rsidR="00F15232">
        <w:rPr>
          <w:rFonts w:ascii="Times New Roman" w:eastAsiaTheme="minorEastAsia" w:hAnsi="Times New Roman"/>
        </w:rPr>
        <w:t>LREs</w:t>
      </w:r>
      <w:r w:rsidR="00B34E67" w:rsidRPr="00C07522">
        <w:rPr>
          <w:rFonts w:ascii="Times New Roman" w:eastAsiaTheme="minorEastAsia" w:hAnsi="Times New Roman"/>
        </w:rPr>
        <w:t xml:space="preserve"> with storage, transmission, and production/gathering facilities </w:t>
      </w:r>
      <w:r w:rsidR="00F15232" w:rsidRPr="00C07522">
        <w:rPr>
          <w:rFonts w:ascii="Times New Roman" w:eastAsiaTheme="minorEastAsia" w:hAnsi="Times New Roman"/>
        </w:rPr>
        <w:t>sh</w:t>
      </w:r>
      <w:r w:rsidR="00F15232">
        <w:rPr>
          <w:rFonts w:ascii="Times New Roman" w:eastAsiaTheme="minorEastAsia" w:hAnsi="Times New Roman"/>
        </w:rPr>
        <w:t>ould</w:t>
      </w:r>
      <w:r w:rsidR="00F15232" w:rsidRPr="00C07522">
        <w:rPr>
          <w:rFonts w:ascii="Times New Roman" w:eastAsiaTheme="minorEastAsia" w:hAnsi="Times New Roman"/>
        </w:rPr>
        <w:t xml:space="preserve"> </w:t>
      </w:r>
      <w:r w:rsidR="00B34E67" w:rsidRPr="00C07522">
        <w:rPr>
          <w:rFonts w:ascii="Times New Roman" w:eastAsiaTheme="minorEastAsia" w:hAnsi="Times New Roman"/>
        </w:rPr>
        <w:t xml:space="preserve">calculate and </w:t>
      </w:r>
      <w:r w:rsidR="00B34E67" w:rsidRPr="00C07522">
        <w:rPr>
          <w:rFonts w:ascii="Times New Roman" w:eastAsiaTheme="minorEastAsia" w:hAnsi="Times New Roman"/>
        </w:rPr>
        <w:lastRenderedPageBreak/>
        <w:t xml:space="preserve">report LAUF volumes for each of these facilities separately. </w:t>
      </w:r>
      <w:r w:rsidR="00B26E5E" w:rsidRPr="00C07522">
        <w:rPr>
          <w:rFonts w:ascii="Times New Roman" w:eastAsiaTheme="minorEastAsia" w:hAnsi="Times New Roman"/>
        </w:rPr>
        <w:t>Where</w:t>
      </w:r>
      <w:r w:rsidRPr="00C07522">
        <w:rPr>
          <w:rFonts w:ascii="Times New Roman" w:eastAsiaTheme="minorEastAsia" w:hAnsi="Times New Roman"/>
        </w:rPr>
        <w:t xml:space="preserve"> a LAUF</w:t>
      </w:r>
      <w:r w:rsidRPr="00104FB5">
        <w:rPr>
          <w:rFonts w:ascii="Times New Roman" w:eastAsiaTheme="minorEastAsia" w:hAnsi="Times New Roman"/>
        </w:rPr>
        <w:t xml:space="preserve"> </w:t>
      </w:r>
      <w:r w:rsidR="0044509D">
        <w:rPr>
          <w:rFonts w:ascii="Times New Roman" w:eastAsiaTheme="minorEastAsia" w:hAnsi="Times New Roman"/>
        </w:rPr>
        <w:t>F</w:t>
      </w:r>
      <w:r w:rsidR="00304CD4">
        <w:rPr>
          <w:rFonts w:ascii="Times New Roman" w:eastAsiaTheme="minorEastAsia" w:hAnsi="Times New Roman"/>
        </w:rPr>
        <w:t xml:space="preserve">actor </w:t>
      </w:r>
      <w:r w:rsidRPr="00104FB5">
        <w:rPr>
          <w:rFonts w:ascii="Times New Roman" w:eastAsiaTheme="minorEastAsia" w:hAnsi="Times New Roman"/>
        </w:rPr>
        <w:t xml:space="preserve">is accounted for </w:t>
      </w:r>
      <w:r w:rsidR="00B26E5E" w:rsidRPr="00104FB5">
        <w:rPr>
          <w:rFonts w:ascii="Times New Roman" w:eastAsiaTheme="minorEastAsia" w:hAnsi="Times New Roman"/>
        </w:rPr>
        <w:t xml:space="preserve">by the </w:t>
      </w:r>
      <w:r w:rsidR="00C10824" w:rsidRPr="00104FB5">
        <w:rPr>
          <w:rFonts w:ascii="Times New Roman" w:eastAsiaTheme="minorEastAsia" w:hAnsi="Times New Roman"/>
        </w:rPr>
        <w:t>LRE</w:t>
      </w:r>
      <w:r w:rsidR="00B26E5E" w:rsidRPr="00104FB5">
        <w:rPr>
          <w:rFonts w:ascii="Times New Roman" w:eastAsiaTheme="minorEastAsia" w:hAnsi="Times New Roman"/>
        </w:rPr>
        <w:t xml:space="preserve"> </w:t>
      </w:r>
      <w:r w:rsidRPr="00104FB5">
        <w:rPr>
          <w:rFonts w:ascii="Times New Roman" w:eastAsiaTheme="minorEastAsia" w:hAnsi="Times New Roman"/>
        </w:rPr>
        <w:t xml:space="preserve">but not included in the list of </w:t>
      </w:r>
      <w:r w:rsidR="006F1E65">
        <w:rPr>
          <w:rFonts w:ascii="Times New Roman" w:eastAsiaTheme="minorEastAsia" w:hAnsi="Times New Roman"/>
        </w:rPr>
        <w:t>A</w:t>
      </w:r>
      <w:r w:rsidRPr="00104FB5">
        <w:rPr>
          <w:rFonts w:ascii="Times New Roman" w:eastAsiaTheme="minorEastAsia" w:hAnsi="Times New Roman"/>
        </w:rPr>
        <w:t xml:space="preserve">djustments, the </w:t>
      </w:r>
      <w:r w:rsidR="00C10824" w:rsidRPr="00104FB5">
        <w:rPr>
          <w:rFonts w:ascii="Times New Roman" w:eastAsiaTheme="minorEastAsia" w:hAnsi="Times New Roman"/>
        </w:rPr>
        <w:t>LRE</w:t>
      </w:r>
      <w:r w:rsidR="00B26E5E" w:rsidRPr="00104FB5">
        <w:rPr>
          <w:rFonts w:ascii="Times New Roman" w:eastAsiaTheme="minorEastAsia" w:hAnsi="Times New Roman"/>
        </w:rPr>
        <w:t xml:space="preserve"> should consistently apply the </w:t>
      </w:r>
      <w:r w:rsidR="00104919" w:rsidRPr="00104FB5">
        <w:rPr>
          <w:rFonts w:ascii="Times New Roman" w:eastAsiaTheme="minorEastAsia" w:hAnsi="Times New Roman"/>
        </w:rPr>
        <w:t xml:space="preserve">same methodology </w:t>
      </w:r>
      <w:r w:rsidR="00B26E5E" w:rsidRPr="00104FB5">
        <w:rPr>
          <w:rFonts w:ascii="Times New Roman" w:eastAsiaTheme="minorEastAsia" w:hAnsi="Times New Roman"/>
        </w:rPr>
        <w:t>within Accounting Period(s)</w:t>
      </w:r>
      <w:r w:rsidRPr="00C60702">
        <w:rPr>
          <w:rFonts w:ascii="Times New Roman" w:eastAsiaTheme="minorEastAsia" w:hAnsi="Times New Roman"/>
        </w:rPr>
        <w:t>.</w:t>
      </w:r>
      <w:r w:rsidR="000D0EC9">
        <w:rPr>
          <w:rFonts w:ascii="Times New Roman" w:eastAsiaTheme="minorEastAsia" w:hAnsi="Times New Roman"/>
        </w:rPr>
        <w:t xml:space="preserve"> </w:t>
      </w:r>
      <w:r w:rsidR="0020361C" w:rsidRPr="0020361C">
        <w:rPr>
          <w:rFonts w:ascii="Times New Roman" w:eastAsiaTheme="minorEastAsia" w:hAnsi="Times New Roman"/>
        </w:rPr>
        <w:t xml:space="preserve">Any LRE that introduces a change to its methods to quantify </w:t>
      </w:r>
      <w:r w:rsidR="0020361C">
        <w:rPr>
          <w:rFonts w:ascii="Times New Roman" w:eastAsiaTheme="minorEastAsia" w:hAnsi="Times New Roman"/>
        </w:rPr>
        <w:t xml:space="preserve">such a </w:t>
      </w:r>
      <w:r w:rsidR="00304CD4">
        <w:rPr>
          <w:rFonts w:ascii="Times New Roman" w:eastAsiaTheme="minorEastAsia" w:hAnsi="Times New Roman"/>
        </w:rPr>
        <w:t xml:space="preserve">factor </w:t>
      </w:r>
      <w:r w:rsidR="0020361C" w:rsidRPr="0020361C">
        <w:rPr>
          <w:rFonts w:ascii="Times New Roman" w:eastAsiaTheme="minorEastAsia" w:hAnsi="Times New Roman"/>
        </w:rPr>
        <w:t>between Accounting Periods sh</w:t>
      </w:r>
      <w:r w:rsidR="00F15232">
        <w:rPr>
          <w:rFonts w:ascii="Times New Roman" w:eastAsiaTheme="minorEastAsia" w:hAnsi="Times New Roman"/>
        </w:rPr>
        <w:t>ould</w:t>
      </w:r>
      <w:r w:rsidR="0020361C" w:rsidRPr="0020361C">
        <w:rPr>
          <w:rFonts w:ascii="Times New Roman" w:eastAsiaTheme="minorEastAsia" w:hAnsi="Times New Roman"/>
        </w:rPr>
        <w:t xml:space="preserve">, as part of its LAUF reporting obligations for the Accounting Period in </w:t>
      </w:r>
      <w:r w:rsidR="0020361C">
        <w:rPr>
          <w:rFonts w:ascii="Times New Roman" w:eastAsiaTheme="minorEastAsia" w:hAnsi="Times New Roman"/>
        </w:rPr>
        <w:t>w</w:t>
      </w:r>
      <w:r w:rsidR="00F70D47">
        <w:rPr>
          <w:rFonts w:ascii="Times New Roman" w:eastAsiaTheme="minorEastAsia" w:hAnsi="Times New Roman"/>
        </w:rPr>
        <w:t>hich it implements such change</w:t>
      </w:r>
      <w:r w:rsidR="00F15232">
        <w:rPr>
          <w:rFonts w:ascii="Times New Roman" w:eastAsiaTheme="minorEastAsia" w:hAnsi="Times New Roman"/>
        </w:rPr>
        <w:t>,</w:t>
      </w:r>
      <w:r w:rsidR="00F70D47">
        <w:rPr>
          <w:rFonts w:ascii="Times New Roman" w:eastAsiaTheme="minorEastAsia" w:hAnsi="Times New Roman"/>
        </w:rPr>
        <w:t xml:space="preserve"> </w:t>
      </w:r>
      <w:r w:rsidR="0020361C" w:rsidRPr="00E915BD">
        <w:rPr>
          <w:rFonts w:ascii="Times New Roman" w:eastAsiaTheme="minorEastAsia" w:hAnsi="Times New Roman"/>
        </w:rPr>
        <w:t xml:space="preserve">describe </w:t>
      </w:r>
      <w:r w:rsidR="00690CC4">
        <w:rPr>
          <w:rFonts w:ascii="Times New Roman" w:eastAsiaTheme="minorEastAsia" w:hAnsi="Times New Roman"/>
        </w:rPr>
        <w:t>the change in sufficient detail</w:t>
      </w:r>
      <w:r w:rsidR="0020361C" w:rsidRPr="00E915BD">
        <w:rPr>
          <w:rFonts w:ascii="Times New Roman" w:eastAsiaTheme="minorEastAsia" w:hAnsi="Times New Roman"/>
        </w:rPr>
        <w:t xml:space="preserve"> to allow for the calculation of comparable values across Accounting Periods.   </w:t>
      </w:r>
    </w:p>
    <w:p w14:paraId="724DE99A" w14:textId="77777777" w:rsidR="00C67579" w:rsidRPr="00C60702" w:rsidRDefault="00C67579" w:rsidP="00104FB5">
      <w:pPr>
        <w:spacing w:line="276" w:lineRule="auto"/>
        <w:jc w:val="both"/>
        <w:rPr>
          <w:rFonts w:ascii="Times New Roman" w:eastAsiaTheme="minorEastAsia" w:hAnsi="Times New Roman"/>
        </w:rPr>
      </w:pPr>
    </w:p>
    <w:p w14:paraId="3207A478" w14:textId="582075E2" w:rsidR="00C67579" w:rsidRPr="00C60702" w:rsidRDefault="00C67579" w:rsidP="00104FB5">
      <w:pPr>
        <w:spacing w:line="276" w:lineRule="auto"/>
        <w:jc w:val="both"/>
        <w:rPr>
          <w:rFonts w:ascii="Times New Roman" w:eastAsiaTheme="minorEastAsia" w:hAnsi="Times New Roman"/>
        </w:rPr>
      </w:pPr>
      <w:r w:rsidRPr="00C60702">
        <w:rPr>
          <w:rFonts w:ascii="Times New Roman" w:eastAsiaTheme="minorEastAsia" w:hAnsi="Times New Roman"/>
        </w:rPr>
        <w:t xml:space="preserve">A list of LAUF </w:t>
      </w:r>
      <w:r w:rsidR="00304CD4">
        <w:rPr>
          <w:rFonts w:ascii="Times New Roman" w:eastAsiaTheme="minorEastAsia" w:hAnsi="Times New Roman"/>
        </w:rPr>
        <w:t xml:space="preserve">Factors </w:t>
      </w:r>
      <w:r w:rsidRPr="00C60702">
        <w:rPr>
          <w:rFonts w:ascii="Times New Roman" w:eastAsiaTheme="minorEastAsia" w:hAnsi="Times New Roman"/>
        </w:rPr>
        <w:t>is</w:t>
      </w:r>
      <w:r w:rsidR="006A3B9C" w:rsidRPr="00C60702">
        <w:rPr>
          <w:rFonts w:ascii="Times New Roman" w:eastAsiaTheme="minorEastAsia" w:hAnsi="Times New Roman"/>
        </w:rPr>
        <w:t xml:space="preserve"> provided in Appendix B</w:t>
      </w:r>
      <w:r w:rsidR="0099347B">
        <w:rPr>
          <w:rFonts w:ascii="Times New Roman" w:eastAsiaTheme="minorEastAsia" w:hAnsi="Times New Roman"/>
        </w:rPr>
        <w:t xml:space="preserve"> of the proposed standard</w:t>
      </w:r>
      <w:r w:rsidR="004B2A39">
        <w:rPr>
          <w:rFonts w:ascii="Times New Roman" w:eastAsiaTheme="minorEastAsia" w:hAnsi="Times New Roman"/>
        </w:rPr>
        <w:t>ized accounting framework</w:t>
      </w:r>
      <w:r w:rsidRPr="00C60702">
        <w:rPr>
          <w:rFonts w:ascii="Times New Roman" w:eastAsiaTheme="minorEastAsia" w:hAnsi="Times New Roman"/>
        </w:rPr>
        <w:t>, and a</w:t>
      </w:r>
      <w:r w:rsidR="0099347B">
        <w:rPr>
          <w:rFonts w:ascii="Times New Roman" w:eastAsiaTheme="minorEastAsia" w:hAnsi="Times New Roman"/>
        </w:rPr>
        <w:t>n example</w:t>
      </w:r>
      <w:r w:rsidRPr="00C60702">
        <w:rPr>
          <w:rFonts w:ascii="Times New Roman" w:eastAsiaTheme="minorEastAsia" w:hAnsi="Times New Roman"/>
        </w:rPr>
        <w:t xml:space="preserve"> list of adjustments is provided in </w:t>
      </w:r>
      <w:r w:rsidR="006A3B9C" w:rsidRPr="00C60702">
        <w:rPr>
          <w:rFonts w:ascii="Times New Roman" w:eastAsiaTheme="minorEastAsia" w:hAnsi="Times New Roman"/>
        </w:rPr>
        <w:t>Appendix A</w:t>
      </w:r>
      <w:r w:rsidRPr="00C60702">
        <w:rPr>
          <w:rFonts w:ascii="Times New Roman" w:eastAsiaTheme="minorEastAsia" w:hAnsi="Times New Roman"/>
        </w:rPr>
        <w:t xml:space="preserve">.  In consideration of the possible negligible nature of some LAUF </w:t>
      </w:r>
      <w:r w:rsidR="00304CD4">
        <w:rPr>
          <w:rFonts w:ascii="Times New Roman" w:eastAsiaTheme="minorEastAsia" w:hAnsi="Times New Roman"/>
        </w:rPr>
        <w:t>Factors</w:t>
      </w:r>
      <w:r w:rsidRPr="00C60702">
        <w:rPr>
          <w:rFonts w:ascii="Times New Roman" w:eastAsiaTheme="minorEastAsia" w:hAnsi="Times New Roman"/>
        </w:rPr>
        <w:t xml:space="preserve">, and the lack of publically accessible data on the relative magnitude and range of each LAUF </w:t>
      </w:r>
      <w:r w:rsidR="00304CD4">
        <w:rPr>
          <w:rFonts w:ascii="Times New Roman" w:eastAsiaTheme="minorEastAsia" w:hAnsi="Times New Roman"/>
        </w:rPr>
        <w:t>Factor</w:t>
      </w:r>
      <w:r w:rsidRPr="00C60702">
        <w:rPr>
          <w:rFonts w:ascii="Times New Roman" w:eastAsiaTheme="minorEastAsia" w:hAnsi="Times New Roman"/>
        </w:rPr>
        <w:t>, i</w:t>
      </w:r>
      <w:bookmarkStart w:id="0" w:name="_GoBack"/>
      <w:bookmarkEnd w:id="0"/>
      <w:r w:rsidRPr="00C60702">
        <w:rPr>
          <w:rFonts w:ascii="Times New Roman" w:eastAsiaTheme="minorEastAsia" w:hAnsi="Times New Roman"/>
        </w:rPr>
        <w:t xml:space="preserve">t may be necessary to </w:t>
      </w:r>
      <w:r w:rsidR="00F15232">
        <w:rPr>
          <w:rFonts w:ascii="Times New Roman" w:eastAsiaTheme="minorEastAsia" w:hAnsi="Times New Roman"/>
        </w:rPr>
        <w:t>apply</w:t>
      </w:r>
      <w:r w:rsidR="00F15232" w:rsidRPr="00C60702">
        <w:rPr>
          <w:rFonts w:ascii="Times New Roman" w:eastAsiaTheme="minorEastAsia" w:hAnsi="Times New Roman"/>
        </w:rPr>
        <w:t xml:space="preserve"> </w:t>
      </w:r>
      <w:r w:rsidRPr="00C60702">
        <w:rPr>
          <w:rFonts w:ascii="Times New Roman" w:eastAsiaTheme="minorEastAsia" w:hAnsi="Times New Roman"/>
        </w:rPr>
        <w:t xml:space="preserve">a comprehensive accounting method for LAUF </w:t>
      </w:r>
      <w:r w:rsidR="00304CD4">
        <w:rPr>
          <w:rFonts w:ascii="Times New Roman" w:eastAsiaTheme="minorEastAsia" w:hAnsi="Times New Roman"/>
        </w:rPr>
        <w:t xml:space="preserve">Factors </w:t>
      </w:r>
      <w:r w:rsidRPr="00C60702">
        <w:rPr>
          <w:rFonts w:ascii="Times New Roman" w:eastAsiaTheme="minorEastAsia" w:hAnsi="Times New Roman"/>
        </w:rPr>
        <w:t>for several years to serve as a study</w:t>
      </w:r>
      <w:r w:rsidR="00B26E5E" w:rsidRPr="00C60702">
        <w:rPr>
          <w:rFonts w:ascii="Times New Roman" w:eastAsiaTheme="minorEastAsia" w:hAnsi="Times New Roman"/>
        </w:rPr>
        <w:t xml:space="preserve"> baseline</w:t>
      </w:r>
      <w:r w:rsidRPr="00C60702">
        <w:rPr>
          <w:rFonts w:ascii="Times New Roman" w:eastAsiaTheme="minorEastAsia" w:hAnsi="Times New Roman"/>
        </w:rPr>
        <w:t xml:space="preserve">.  Once sufficient data has been gathered, and it is determined which LAUF </w:t>
      </w:r>
      <w:r w:rsidR="00304CD4">
        <w:rPr>
          <w:rFonts w:ascii="Times New Roman" w:eastAsiaTheme="minorEastAsia" w:hAnsi="Times New Roman"/>
        </w:rPr>
        <w:t xml:space="preserve">Factors </w:t>
      </w:r>
      <w:r w:rsidRPr="00C60702">
        <w:rPr>
          <w:rFonts w:ascii="Times New Roman" w:eastAsiaTheme="minorEastAsia" w:hAnsi="Times New Roman"/>
        </w:rPr>
        <w:t xml:space="preserve">are negligible, then the list of adjustments in the NAESB standard </w:t>
      </w:r>
      <w:r w:rsidR="00B26E5E" w:rsidRPr="00C60702">
        <w:rPr>
          <w:rFonts w:ascii="Times New Roman" w:eastAsiaTheme="minorEastAsia" w:hAnsi="Times New Roman"/>
        </w:rPr>
        <w:t xml:space="preserve">could </w:t>
      </w:r>
      <w:r w:rsidRPr="00C60702">
        <w:rPr>
          <w:rFonts w:ascii="Times New Roman" w:eastAsiaTheme="minorEastAsia" w:hAnsi="Times New Roman"/>
        </w:rPr>
        <w:t>be reduced</w:t>
      </w:r>
      <w:r w:rsidR="00C60702">
        <w:rPr>
          <w:rFonts w:ascii="Times New Roman" w:eastAsiaTheme="minorEastAsia" w:hAnsi="Times New Roman"/>
        </w:rPr>
        <w:t>, if warranted</w:t>
      </w:r>
      <w:r w:rsidRPr="00C60702">
        <w:rPr>
          <w:rFonts w:ascii="Times New Roman" w:eastAsiaTheme="minorEastAsia" w:hAnsi="Times New Roman"/>
        </w:rPr>
        <w:t>.</w:t>
      </w:r>
    </w:p>
    <w:p w14:paraId="6A3D5C3E" w14:textId="77777777" w:rsidR="00C67579" w:rsidRPr="00C60702" w:rsidRDefault="00C67579" w:rsidP="00104FB5">
      <w:pPr>
        <w:spacing w:line="276" w:lineRule="auto"/>
        <w:jc w:val="both"/>
        <w:rPr>
          <w:rFonts w:ascii="Times New Roman" w:eastAsiaTheme="minorEastAsia" w:hAnsi="Times New Roman"/>
        </w:rPr>
      </w:pPr>
    </w:p>
    <w:p w14:paraId="4F08AFC2" w14:textId="6F171BD8" w:rsidR="00C67579" w:rsidRPr="00C60702" w:rsidRDefault="00C67579" w:rsidP="00104FB5">
      <w:pPr>
        <w:spacing w:line="276" w:lineRule="auto"/>
        <w:jc w:val="both"/>
        <w:rPr>
          <w:rFonts w:ascii="Times New Roman" w:eastAsiaTheme="minorEastAsia" w:hAnsi="Times New Roman"/>
        </w:rPr>
      </w:pPr>
      <w:r w:rsidRPr="00C60702">
        <w:rPr>
          <w:rFonts w:ascii="Times New Roman" w:eastAsiaTheme="minorEastAsia" w:hAnsi="Times New Roman"/>
          <w:b/>
        </w:rPr>
        <w:t>Transparency</w:t>
      </w:r>
      <w:r w:rsidR="006A3B9C" w:rsidRPr="00C60702">
        <w:rPr>
          <w:rFonts w:ascii="Times New Roman" w:eastAsiaTheme="minorEastAsia" w:hAnsi="Times New Roman"/>
          <w:b/>
        </w:rPr>
        <w:t xml:space="preserve">. </w:t>
      </w:r>
      <w:r w:rsidRPr="00C60702">
        <w:rPr>
          <w:rFonts w:ascii="Times New Roman" w:eastAsiaTheme="minorEastAsia" w:hAnsi="Times New Roman"/>
          <w:b/>
        </w:rPr>
        <w:t xml:space="preserve"> </w:t>
      </w:r>
      <w:r w:rsidRPr="00C60702">
        <w:rPr>
          <w:rFonts w:ascii="Times New Roman" w:eastAsiaTheme="minorEastAsia" w:hAnsi="Times New Roman"/>
        </w:rPr>
        <w:t xml:space="preserve">It is essential that LAUF volumes and percentages be comparable across </w:t>
      </w:r>
      <w:r w:rsidR="00B26E5E" w:rsidRPr="00C60702">
        <w:rPr>
          <w:rFonts w:ascii="Times New Roman" w:eastAsiaTheme="minorEastAsia" w:hAnsi="Times New Roman"/>
        </w:rPr>
        <w:t xml:space="preserve">and within </w:t>
      </w:r>
      <w:r w:rsidR="00C10824" w:rsidRPr="00C60702">
        <w:rPr>
          <w:rFonts w:ascii="Times New Roman" w:eastAsiaTheme="minorEastAsia" w:hAnsi="Times New Roman"/>
        </w:rPr>
        <w:t>LRE</w:t>
      </w:r>
      <w:r w:rsidR="00B26E5E" w:rsidRPr="00C60702">
        <w:rPr>
          <w:rFonts w:ascii="Times New Roman" w:eastAsiaTheme="minorEastAsia" w:hAnsi="Times New Roman"/>
        </w:rPr>
        <w:t>s</w:t>
      </w:r>
      <w:r w:rsidR="00EC7A0D" w:rsidRPr="00C60702">
        <w:rPr>
          <w:rFonts w:ascii="Times New Roman" w:eastAsiaTheme="minorEastAsia" w:hAnsi="Times New Roman"/>
        </w:rPr>
        <w:t xml:space="preserve"> in a given category</w:t>
      </w:r>
      <w:r w:rsidR="0071624C">
        <w:rPr>
          <w:rFonts w:ascii="Times New Roman" w:eastAsiaTheme="minorEastAsia" w:hAnsi="Times New Roman"/>
        </w:rPr>
        <w:t xml:space="preserve"> (as outlined under </w:t>
      </w:r>
      <w:r w:rsidR="0071624C" w:rsidRPr="0071624C">
        <w:rPr>
          <w:rFonts w:ascii="Times New Roman" w:eastAsiaTheme="minorEastAsia" w:hAnsi="Times New Roman"/>
        </w:rPr>
        <w:t>“</w:t>
      </w:r>
      <w:r w:rsidR="0071624C" w:rsidRPr="00E915BD">
        <w:rPr>
          <w:rFonts w:ascii="Times New Roman" w:eastAsiaTheme="minorEastAsia" w:hAnsi="Times New Roman"/>
        </w:rPr>
        <w:t xml:space="preserve">LAUF </w:t>
      </w:r>
      <w:r w:rsidR="00304CD4">
        <w:rPr>
          <w:rFonts w:ascii="Times New Roman" w:eastAsiaTheme="minorEastAsia" w:hAnsi="Times New Roman"/>
        </w:rPr>
        <w:t>Factors</w:t>
      </w:r>
      <w:r w:rsidR="0071624C" w:rsidRPr="00E915BD">
        <w:rPr>
          <w:rFonts w:ascii="Times New Roman" w:eastAsiaTheme="minorEastAsia" w:hAnsi="Times New Roman"/>
        </w:rPr>
        <w:t>: accounting vs. adjustments”</w:t>
      </w:r>
      <w:r w:rsidR="0071624C">
        <w:rPr>
          <w:rFonts w:ascii="Times New Roman" w:eastAsiaTheme="minorEastAsia" w:hAnsi="Times New Roman"/>
        </w:rPr>
        <w:t xml:space="preserve"> above)</w:t>
      </w:r>
      <w:r w:rsidRPr="00C60702">
        <w:rPr>
          <w:rFonts w:ascii="Times New Roman" w:eastAsiaTheme="minorEastAsia" w:hAnsi="Times New Roman"/>
        </w:rPr>
        <w:t xml:space="preserve">.  Therefore, the final list </w:t>
      </w:r>
      <w:r w:rsidR="00614ED4" w:rsidRPr="00C60702">
        <w:rPr>
          <w:rFonts w:ascii="Times New Roman" w:eastAsiaTheme="minorEastAsia" w:hAnsi="Times New Roman"/>
        </w:rPr>
        <w:t xml:space="preserve">of </w:t>
      </w:r>
      <w:r w:rsidRPr="00C60702">
        <w:rPr>
          <w:rFonts w:ascii="Times New Roman" w:eastAsiaTheme="minorEastAsia" w:hAnsi="Times New Roman"/>
        </w:rPr>
        <w:t xml:space="preserve">adjustments </w:t>
      </w:r>
      <w:r w:rsidR="00F15232">
        <w:rPr>
          <w:rFonts w:ascii="Times New Roman" w:eastAsiaTheme="minorEastAsia" w:hAnsi="Times New Roman"/>
        </w:rPr>
        <w:t>should</w:t>
      </w:r>
      <w:r w:rsidR="00F15232" w:rsidRPr="00C60702">
        <w:rPr>
          <w:rFonts w:ascii="Times New Roman" w:eastAsiaTheme="minorEastAsia" w:hAnsi="Times New Roman"/>
        </w:rPr>
        <w:t xml:space="preserve"> </w:t>
      </w:r>
      <w:r w:rsidRPr="00C60702">
        <w:rPr>
          <w:rFonts w:ascii="Times New Roman" w:eastAsiaTheme="minorEastAsia" w:hAnsi="Times New Roman"/>
        </w:rPr>
        <w:t xml:space="preserve">be agreed to in the </w:t>
      </w:r>
      <w:r w:rsidR="00F15232">
        <w:rPr>
          <w:rFonts w:ascii="Times New Roman" w:eastAsiaTheme="minorEastAsia" w:hAnsi="Times New Roman"/>
        </w:rPr>
        <w:t xml:space="preserve">formation of the </w:t>
      </w:r>
      <w:r w:rsidRPr="00C60702">
        <w:rPr>
          <w:rFonts w:ascii="Times New Roman" w:eastAsiaTheme="minorEastAsia" w:hAnsi="Times New Roman"/>
        </w:rPr>
        <w:t xml:space="preserve">NAESB standard.  </w:t>
      </w:r>
      <w:r w:rsidR="0020361C">
        <w:rPr>
          <w:rFonts w:ascii="Times New Roman" w:eastAsiaTheme="minorEastAsia" w:hAnsi="Times New Roman"/>
        </w:rPr>
        <w:t xml:space="preserve"> </w:t>
      </w:r>
    </w:p>
    <w:p w14:paraId="1B4B7B46" w14:textId="77777777" w:rsidR="00C67579" w:rsidRPr="00C60702" w:rsidRDefault="00C67579" w:rsidP="00104FB5">
      <w:pPr>
        <w:spacing w:line="276" w:lineRule="auto"/>
        <w:jc w:val="both"/>
        <w:rPr>
          <w:rFonts w:ascii="Times New Roman" w:eastAsiaTheme="minorEastAsia" w:hAnsi="Times New Roman"/>
        </w:rPr>
      </w:pPr>
    </w:p>
    <w:p w14:paraId="39C4DF15" w14:textId="77777777" w:rsidR="00C67579" w:rsidRPr="00C60702" w:rsidRDefault="00C67579" w:rsidP="00104FB5">
      <w:pPr>
        <w:spacing w:line="276" w:lineRule="auto"/>
        <w:jc w:val="both"/>
        <w:rPr>
          <w:rFonts w:ascii="Times New Roman" w:eastAsiaTheme="minorEastAsia" w:hAnsi="Times New Roman"/>
        </w:rPr>
      </w:pPr>
    </w:p>
    <w:p w14:paraId="50AEFA60" w14:textId="77777777" w:rsidR="006A3B9C" w:rsidRPr="00C60702" w:rsidRDefault="006A3B9C" w:rsidP="00104FB5">
      <w:pPr>
        <w:spacing w:line="276" w:lineRule="auto"/>
        <w:jc w:val="both"/>
        <w:rPr>
          <w:rFonts w:ascii="Times New Roman" w:eastAsiaTheme="minorEastAsia" w:hAnsi="Times New Roman"/>
          <w:b/>
          <w:bCs/>
          <w:kern w:val="32"/>
          <w:sz w:val="32"/>
          <w:szCs w:val="32"/>
        </w:rPr>
      </w:pPr>
      <w:r w:rsidRPr="00C60702">
        <w:rPr>
          <w:rFonts w:ascii="Times New Roman" w:eastAsiaTheme="minorEastAsia" w:hAnsi="Times New Roman"/>
        </w:rPr>
        <w:br w:type="page"/>
      </w:r>
    </w:p>
    <w:p w14:paraId="63C8153B" w14:textId="011A9784" w:rsidR="00C67579" w:rsidRPr="00C60702" w:rsidRDefault="00C67579" w:rsidP="00104FB5">
      <w:pPr>
        <w:pStyle w:val="Heading1"/>
        <w:spacing w:line="276" w:lineRule="auto"/>
        <w:jc w:val="both"/>
        <w:rPr>
          <w:rFonts w:ascii="Times New Roman" w:eastAsiaTheme="minorEastAsia" w:hAnsi="Times New Roman" w:cs="Times New Roman"/>
        </w:rPr>
      </w:pPr>
      <w:r w:rsidRPr="00C60702">
        <w:rPr>
          <w:rFonts w:ascii="Times New Roman" w:eastAsiaTheme="minorEastAsia" w:hAnsi="Times New Roman" w:cs="Times New Roman"/>
        </w:rPr>
        <w:lastRenderedPageBreak/>
        <w:t>Questions</w:t>
      </w:r>
      <w:r w:rsidR="00EC7A0D" w:rsidRPr="00C60702">
        <w:rPr>
          <w:rFonts w:ascii="Times New Roman" w:eastAsiaTheme="minorEastAsia" w:hAnsi="Times New Roman" w:cs="Times New Roman"/>
        </w:rPr>
        <w:t xml:space="preserve"> for discussion</w:t>
      </w:r>
      <w:r w:rsidRPr="00C60702">
        <w:rPr>
          <w:rFonts w:ascii="Times New Roman" w:eastAsiaTheme="minorEastAsia" w:hAnsi="Times New Roman" w:cs="Times New Roman"/>
        </w:rPr>
        <w:t>:</w:t>
      </w:r>
    </w:p>
    <w:p w14:paraId="492FA80C" w14:textId="4F7C76BB" w:rsidR="00765157" w:rsidRPr="00C60702" w:rsidRDefault="00765157" w:rsidP="00104FB5">
      <w:pPr>
        <w:spacing w:line="276" w:lineRule="auto"/>
        <w:rPr>
          <w:rFonts w:ascii="Times New Roman" w:hAnsi="Times New Roman"/>
        </w:rPr>
      </w:pPr>
      <w:r w:rsidRPr="00C60702">
        <w:rPr>
          <w:rFonts w:ascii="Times New Roman" w:hAnsi="Times New Roman"/>
        </w:rPr>
        <w:t xml:space="preserve">We anticipate that the consideration of this proposed standard for accounting for LAUF as part of the NAESB standards development process will raise a number of questions for discussion. Some of these questions are noted below: </w:t>
      </w:r>
    </w:p>
    <w:p w14:paraId="784A250E" w14:textId="77777777" w:rsidR="00765157" w:rsidRPr="00C60702" w:rsidRDefault="00765157" w:rsidP="00104FB5">
      <w:pPr>
        <w:spacing w:line="276" w:lineRule="auto"/>
        <w:rPr>
          <w:rFonts w:ascii="Times New Roman" w:hAnsi="Times New Roman"/>
        </w:rPr>
      </w:pPr>
    </w:p>
    <w:p w14:paraId="31893F51" w14:textId="1E97075F" w:rsidR="00B26E5E" w:rsidRPr="00C60702" w:rsidRDefault="00C67579" w:rsidP="00104FB5">
      <w:pPr>
        <w:numPr>
          <w:ilvl w:val="0"/>
          <w:numId w:val="2"/>
        </w:numPr>
        <w:spacing w:line="276" w:lineRule="auto"/>
        <w:contextualSpacing/>
        <w:jc w:val="both"/>
        <w:rPr>
          <w:rFonts w:ascii="Times New Roman" w:eastAsiaTheme="minorEastAsia" w:hAnsi="Times New Roman"/>
        </w:rPr>
      </w:pPr>
      <w:r w:rsidRPr="00C60702">
        <w:rPr>
          <w:rFonts w:ascii="Times New Roman" w:eastAsiaTheme="minorEastAsia" w:hAnsi="Times New Roman"/>
        </w:rPr>
        <w:t xml:space="preserve">What are the acceptable data sources for each </w:t>
      </w:r>
      <w:r w:rsidR="00304CD4">
        <w:rPr>
          <w:rFonts w:ascii="Times New Roman" w:eastAsiaTheme="minorEastAsia" w:hAnsi="Times New Roman"/>
        </w:rPr>
        <w:t>LAUF Factor</w:t>
      </w:r>
      <w:r w:rsidRPr="00C60702">
        <w:rPr>
          <w:rFonts w:ascii="Times New Roman" w:eastAsiaTheme="minorEastAsia" w:hAnsi="Times New Roman"/>
        </w:rPr>
        <w:t xml:space="preserve">? </w:t>
      </w:r>
    </w:p>
    <w:p w14:paraId="0DE368E8" w14:textId="794ED732" w:rsidR="00C67579" w:rsidRPr="00C60702" w:rsidRDefault="00C67579" w:rsidP="00104FB5">
      <w:pPr>
        <w:numPr>
          <w:ilvl w:val="0"/>
          <w:numId w:val="2"/>
        </w:numPr>
        <w:spacing w:line="276" w:lineRule="auto"/>
        <w:contextualSpacing/>
        <w:jc w:val="both"/>
        <w:rPr>
          <w:rFonts w:ascii="Times New Roman" w:eastAsiaTheme="minorEastAsia" w:hAnsi="Times New Roman"/>
        </w:rPr>
      </w:pPr>
      <w:r w:rsidRPr="00C60702">
        <w:rPr>
          <w:rFonts w:ascii="Times New Roman" w:eastAsiaTheme="minorEastAsia" w:hAnsi="Times New Roman"/>
        </w:rPr>
        <w:t>Should the standard include a description of the appropriate metering and engineering practices to be used for reporting?</w:t>
      </w:r>
    </w:p>
    <w:p w14:paraId="683C320B" w14:textId="24990D64" w:rsidR="00C67579" w:rsidRPr="00C60702" w:rsidRDefault="00755D4D" w:rsidP="00104FB5">
      <w:pPr>
        <w:numPr>
          <w:ilvl w:val="0"/>
          <w:numId w:val="2"/>
        </w:numPr>
        <w:spacing w:line="276" w:lineRule="auto"/>
        <w:contextualSpacing/>
        <w:jc w:val="both"/>
        <w:rPr>
          <w:rFonts w:ascii="Times New Roman" w:eastAsiaTheme="minorEastAsia" w:hAnsi="Times New Roman"/>
        </w:rPr>
      </w:pPr>
      <w:r w:rsidRPr="00C60702">
        <w:rPr>
          <w:rFonts w:ascii="Times New Roman" w:eastAsiaTheme="minorEastAsia" w:hAnsi="Times New Roman"/>
        </w:rPr>
        <w:t xml:space="preserve">On the quantification of various components of the LAUF formula: </w:t>
      </w:r>
    </w:p>
    <w:p w14:paraId="6858BED0" w14:textId="3A21E91B" w:rsidR="00C67579" w:rsidRPr="00C60702" w:rsidRDefault="00FE0FCC" w:rsidP="00104FB5">
      <w:pPr>
        <w:numPr>
          <w:ilvl w:val="1"/>
          <w:numId w:val="2"/>
        </w:numPr>
        <w:spacing w:line="276" w:lineRule="auto"/>
        <w:contextualSpacing/>
        <w:jc w:val="both"/>
        <w:rPr>
          <w:rFonts w:ascii="Times New Roman" w:eastAsiaTheme="minorEastAsia" w:hAnsi="Times New Roman"/>
        </w:rPr>
      </w:pPr>
      <w:r w:rsidRPr="00C60702">
        <w:rPr>
          <w:rFonts w:ascii="Times New Roman" w:eastAsiaTheme="minorEastAsia" w:hAnsi="Times New Roman"/>
        </w:rPr>
        <w:t xml:space="preserve">Under what circumstances </w:t>
      </w:r>
      <w:r w:rsidR="00C67579" w:rsidRPr="00C60702">
        <w:rPr>
          <w:rFonts w:ascii="Times New Roman" w:eastAsiaTheme="minorEastAsia" w:hAnsi="Times New Roman"/>
        </w:rPr>
        <w:t xml:space="preserve">is it </w:t>
      </w:r>
      <w:r w:rsidR="00EC7A0D" w:rsidRPr="00C60702">
        <w:rPr>
          <w:rFonts w:ascii="Times New Roman" w:eastAsiaTheme="minorEastAsia" w:hAnsi="Times New Roman"/>
        </w:rPr>
        <w:t xml:space="preserve">appropriate </w:t>
      </w:r>
      <w:r w:rsidR="00C67579" w:rsidRPr="00C60702">
        <w:rPr>
          <w:rFonts w:ascii="Times New Roman" w:eastAsiaTheme="minorEastAsia" w:hAnsi="Times New Roman"/>
        </w:rPr>
        <w:t xml:space="preserve">to </w:t>
      </w:r>
      <w:r w:rsidR="00EC7A0D" w:rsidRPr="00C60702">
        <w:rPr>
          <w:rFonts w:ascii="Times New Roman" w:eastAsiaTheme="minorEastAsia" w:hAnsi="Times New Roman"/>
        </w:rPr>
        <w:t xml:space="preserve">allow for </w:t>
      </w:r>
      <w:r w:rsidR="00C67579" w:rsidRPr="00C60702">
        <w:rPr>
          <w:rFonts w:ascii="Times New Roman" w:eastAsiaTheme="minorEastAsia" w:hAnsi="Times New Roman"/>
        </w:rPr>
        <w:t>estimat</w:t>
      </w:r>
      <w:r w:rsidR="00EC7A0D" w:rsidRPr="00C60702">
        <w:rPr>
          <w:rFonts w:ascii="Times New Roman" w:eastAsiaTheme="minorEastAsia" w:hAnsi="Times New Roman"/>
        </w:rPr>
        <w:t>ion of</w:t>
      </w:r>
      <w:r w:rsidR="00C67579" w:rsidRPr="00C60702">
        <w:rPr>
          <w:rFonts w:ascii="Times New Roman" w:eastAsiaTheme="minorEastAsia" w:hAnsi="Times New Roman"/>
        </w:rPr>
        <w:t xml:space="preserve"> volumes? </w:t>
      </w:r>
    </w:p>
    <w:p w14:paraId="2F9D2434" w14:textId="4FCF741B" w:rsidR="00C67579" w:rsidRPr="00C60702" w:rsidRDefault="00C67579" w:rsidP="00104FB5">
      <w:pPr>
        <w:numPr>
          <w:ilvl w:val="1"/>
          <w:numId w:val="2"/>
        </w:numPr>
        <w:spacing w:line="276" w:lineRule="auto"/>
        <w:contextualSpacing/>
        <w:jc w:val="both"/>
        <w:rPr>
          <w:rFonts w:ascii="Times New Roman" w:eastAsiaTheme="minorEastAsia" w:hAnsi="Times New Roman"/>
        </w:rPr>
      </w:pPr>
      <w:r w:rsidRPr="00C60702">
        <w:rPr>
          <w:rFonts w:ascii="Times New Roman" w:eastAsiaTheme="minorEastAsia" w:hAnsi="Times New Roman"/>
        </w:rPr>
        <w:t xml:space="preserve">Can </w:t>
      </w:r>
      <w:r w:rsidR="0099347B">
        <w:rPr>
          <w:rFonts w:ascii="Times New Roman" w:eastAsiaTheme="minorEastAsia" w:hAnsi="Times New Roman"/>
        </w:rPr>
        <w:t xml:space="preserve">the </w:t>
      </w:r>
      <w:r w:rsidR="00FE0FCC" w:rsidRPr="00C60702">
        <w:rPr>
          <w:rFonts w:ascii="Times New Roman" w:eastAsiaTheme="minorEastAsia" w:hAnsi="Times New Roman"/>
        </w:rPr>
        <w:t xml:space="preserve">standard </w:t>
      </w:r>
      <w:r w:rsidRPr="00C60702">
        <w:rPr>
          <w:rFonts w:ascii="Times New Roman" w:eastAsiaTheme="minorEastAsia" w:hAnsi="Times New Roman"/>
        </w:rPr>
        <w:t xml:space="preserve">assume that some values are negligible, given that there is little information available, and that some methods are likely </w:t>
      </w:r>
      <w:r w:rsidR="00F15232">
        <w:rPr>
          <w:rFonts w:ascii="Times New Roman" w:eastAsiaTheme="minorEastAsia" w:hAnsi="Times New Roman"/>
        </w:rPr>
        <w:t xml:space="preserve">to be </w:t>
      </w:r>
      <w:r w:rsidRPr="00C60702">
        <w:rPr>
          <w:rFonts w:ascii="Times New Roman" w:eastAsiaTheme="minorEastAsia" w:hAnsi="Times New Roman"/>
        </w:rPr>
        <w:t xml:space="preserve">less accurate than others?  </w:t>
      </w:r>
    </w:p>
    <w:p w14:paraId="3A82B549" w14:textId="77777777" w:rsidR="00C67579" w:rsidRPr="00C60702" w:rsidRDefault="00C67579" w:rsidP="00104FB5">
      <w:pPr>
        <w:numPr>
          <w:ilvl w:val="1"/>
          <w:numId w:val="2"/>
        </w:numPr>
        <w:spacing w:line="276" w:lineRule="auto"/>
        <w:contextualSpacing/>
        <w:jc w:val="both"/>
        <w:rPr>
          <w:rFonts w:ascii="Times New Roman" w:eastAsiaTheme="minorEastAsia" w:hAnsi="Times New Roman"/>
        </w:rPr>
      </w:pPr>
      <w:r w:rsidRPr="00C60702">
        <w:rPr>
          <w:rFonts w:ascii="Times New Roman" w:eastAsiaTheme="minorEastAsia" w:hAnsi="Times New Roman"/>
        </w:rPr>
        <w:t>Should the standard include a requirement to assess and identify uncertainties in reported data and estimates?</w:t>
      </w:r>
    </w:p>
    <w:p w14:paraId="097785EE" w14:textId="77777777" w:rsidR="007675C0" w:rsidRPr="00C60702" w:rsidRDefault="009150EE" w:rsidP="00104FB5">
      <w:pPr>
        <w:spacing w:line="276" w:lineRule="auto"/>
        <w:jc w:val="both"/>
        <w:rPr>
          <w:rFonts w:ascii="Times New Roman" w:hAnsi="Times New Roman"/>
        </w:rPr>
      </w:pPr>
    </w:p>
    <w:p w14:paraId="4959A98B" w14:textId="77777777" w:rsidR="00C67579" w:rsidRPr="00C60702" w:rsidRDefault="00C67579" w:rsidP="00104FB5">
      <w:pPr>
        <w:spacing w:line="276" w:lineRule="auto"/>
        <w:jc w:val="both"/>
        <w:rPr>
          <w:rFonts w:ascii="Times New Roman" w:hAnsi="Times New Roman"/>
        </w:rPr>
      </w:pPr>
    </w:p>
    <w:p w14:paraId="0FCA082D" w14:textId="77777777" w:rsidR="00C67579" w:rsidRPr="00C60702" w:rsidRDefault="00C67579" w:rsidP="00104FB5">
      <w:pPr>
        <w:spacing w:line="276" w:lineRule="auto"/>
        <w:jc w:val="both"/>
        <w:rPr>
          <w:rFonts w:ascii="Times New Roman" w:hAnsi="Times New Roman"/>
        </w:rPr>
      </w:pPr>
      <w:r w:rsidRPr="00C60702">
        <w:rPr>
          <w:rFonts w:ascii="Times New Roman" w:hAnsi="Times New Roman"/>
        </w:rPr>
        <w:br w:type="page"/>
      </w:r>
    </w:p>
    <w:p w14:paraId="54A84F2F" w14:textId="5068EBEF" w:rsidR="00C67579" w:rsidRPr="00C60702" w:rsidRDefault="00C67579" w:rsidP="00104FB5">
      <w:pPr>
        <w:keepNext/>
        <w:spacing w:before="240" w:after="60" w:line="276" w:lineRule="auto"/>
        <w:jc w:val="both"/>
        <w:outlineLvl w:val="0"/>
        <w:rPr>
          <w:rFonts w:ascii="Times New Roman" w:eastAsiaTheme="majorEastAsia" w:hAnsi="Times New Roman"/>
          <w:b/>
          <w:bCs/>
          <w:kern w:val="32"/>
          <w:sz w:val="32"/>
          <w:szCs w:val="32"/>
        </w:rPr>
      </w:pPr>
      <w:r w:rsidRPr="00C60702">
        <w:rPr>
          <w:rFonts w:ascii="Times New Roman" w:eastAsiaTheme="majorEastAsia" w:hAnsi="Times New Roman"/>
          <w:b/>
          <w:bCs/>
          <w:kern w:val="32"/>
          <w:sz w:val="32"/>
          <w:szCs w:val="32"/>
        </w:rPr>
        <w:lastRenderedPageBreak/>
        <w:t>PA LAUF Rule (for reference – not to be included in the final proposed standard)</w:t>
      </w:r>
    </w:p>
    <w:p w14:paraId="57F297B0" w14:textId="77777777" w:rsidR="00C67579" w:rsidRPr="00C60702" w:rsidRDefault="00C67579" w:rsidP="00104FB5">
      <w:pPr>
        <w:spacing w:line="276" w:lineRule="auto"/>
        <w:jc w:val="both"/>
        <w:rPr>
          <w:rFonts w:ascii="Times New Roman" w:eastAsiaTheme="minorEastAsia" w:hAnsi="Times New Roman"/>
        </w:rPr>
      </w:pPr>
    </w:p>
    <w:p w14:paraId="10B21E12"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b/>
          <w:sz w:val="28"/>
          <w:szCs w:val="28"/>
        </w:rPr>
        <w:t>59.111. Unaccounted-for-gas.</w:t>
      </w:r>
    </w:p>
    <w:p w14:paraId="1C3857EE"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 (a) </w:t>
      </w:r>
      <w:r w:rsidRPr="0010137C">
        <w:rPr>
          <w:rFonts w:ascii="Times New Roman" w:eastAsia="Times New Roman" w:hAnsi="Times New Roman"/>
          <w:i/>
        </w:rPr>
        <w:t>Definitions</w:t>
      </w:r>
      <w:r w:rsidRPr="0010137C">
        <w:rPr>
          <w:rFonts w:ascii="Times New Roman" w:eastAsia="Times New Roman" w:hAnsi="Times New Roman"/>
        </w:rPr>
        <w:t xml:space="preserve">. The following words and terms, when used in this section, have the following </w:t>
      </w:r>
      <w:r w:rsidRPr="00F6589B">
        <w:rPr>
          <w:rFonts w:ascii="Times New Roman" w:eastAsia="Times New Roman" w:hAnsi="Times New Roman"/>
        </w:rPr>
        <w:t>meanings, unless the text clearly indicates otherwise:</w:t>
      </w:r>
    </w:p>
    <w:p w14:paraId="38921290"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w:t>
      </w:r>
      <w:r w:rsidRPr="0010137C">
        <w:rPr>
          <w:rFonts w:ascii="Times New Roman" w:eastAsia="Times New Roman" w:hAnsi="Times New Roman"/>
          <w:i/>
        </w:rPr>
        <w:t>Adjustments</w:t>
      </w:r>
      <w:r w:rsidRPr="0010137C">
        <w:rPr>
          <w:rFonts w:ascii="Times New Roman" w:eastAsia="Times New Roman" w:hAnsi="Times New Roman"/>
        </w:rPr>
        <w:t>—Gas used by an NGDC or city natural gas distribution operation for safe and reliable service, such as company use, calculable losses from construction, purging, storage migration, other temperature and pressure adjustments, and adjustments for heat content of natural gas.</w:t>
      </w:r>
    </w:p>
    <w:p w14:paraId="56DEF4A1"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w:t>
      </w:r>
      <w:r w:rsidRPr="0010137C">
        <w:rPr>
          <w:rFonts w:ascii="Times New Roman" w:eastAsia="Times New Roman" w:hAnsi="Times New Roman"/>
          <w:i/>
        </w:rPr>
        <w:t>Gas delivered</w:t>
      </w:r>
      <w:r w:rsidRPr="0010137C">
        <w:rPr>
          <w:rFonts w:ascii="Times New Roman" w:eastAsia="Times New Roman" w:hAnsi="Times New Roman"/>
        </w:rPr>
        <w:t>—Gas provided by the distribution, transmission, storage or production/gathering facilities of an NGDC or city natural gas distribution operation, regardless of use, adjusted for temperature or pressure variations. This category includes quantities of gas consumed by an end user, exchange gas supplied to another utility, gas delivered to transportation customers or other gas delivered to a user other than the utility. When bill timing issues arise, an effort shall be made to reasonably estimate consumption.</w:t>
      </w:r>
    </w:p>
    <w:p w14:paraId="425BA7EB"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w:t>
      </w:r>
      <w:r w:rsidRPr="0010137C">
        <w:rPr>
          <w:rFonts w:ascii="Times New Roman" w:eastAsia="Times New Roman" w:hAnsi="Times New Roman"/>
          <w:i/>
        </w:rPr>
        <w:t>Gas received</w:t>
      </w:r>
      <w:r w:rsidRPr="0010137C">
        <w:rPr>
          <w:rFonts w:ascii="Times New Roman" w:eastAsia="Times New Roman" w:hAnsi="Times New Roman"/>
        </w:rPr>
        <w:t>—Gas that is supplied to the distribution, transmission, storage or production/gathering facilities of an NGDC or city natural gas distribution operation, regardless of use, adjusted for temperature or pressure variations. This category includes gas for sales, storage, transportation quantities, exchange gas received or other quantity of gas that otherwise enters the utility's facilities.</w:t>
      </w:r>
    </w:p>
    <w:p w14:paraId="5145BDA2"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w:t>
      </w:r>
      <w:r w:rsidRPr="0010137C">
        <w:rPr>
          <w:rFonts w:ascii="Times New Roman" w:eastAsia="Times New Roman" w:hAnsi="Times New Roman"/>
          <w:i/>
        </w:rPr>
        <w:t>NGDC</w:t>
      </w:r>
      <w:r w:rsidRPr="0010137C">
        <w:rPr>
          <w:rFonts w:ascii="Times New Roman" w:eastAsia="Times New Roman" w:hAnsi="Times New Roman"/>
        </w:rPr>
        <w:t>—Natural gas distribution company.</w:t>
      </w:r>
    </w:p>
    <w:p w14:paraId="7B88D2D4"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w:t>
      </w:r>
      <w:r w:rsidRPr="0010137C">
        <w:rPr>
          <w:rFonts w:ascii="Times New Roman" w:eastAsia="Times New Roman" w:hAnsi="Times New Roman"/>
          <w:i/>
        </w:rPr>
        <w:t>UFG—Unaccounted-for-gas</w:t>
      </w:r>
      <w:r w:rsidRPr="0010137C">
        <w:rPr>
          <w:rFonts w:ascii="Times New Roman" w:eastAsia="Times New Roman" w:hAnsi="Times New Roman"/>
        </w:rPr>
        <w:t>—The difference between the total gas available from all sources and the total gas accounted for as sales, net interchange and company use. This difference includes leakage or other actual losses, discrepancies due to meter inaccuracies, variations of temperatures or pressures, or both, and other variants, particularly billing lag.</w:t>
      </w:r>
    </w:p>
    <w:p w14:paraId="4B0D0D32"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 (b) </w:t>
      </w:r>
      <w:r w:rsidRPr="0010137C">
        <w:rPr>
          <w:rFonts w:ascii="Times New Roman" w:eastAsia="Times New Roman" w:hAnsi="Times New Roman"/>
          <w:i/>
        </w:rPr>
        <w:t>Calculation</w:t>
      </w:r>
      <w:r w:rsidRPr="0010137C">
        <w:rPr>
          <w:rFonts w:ascii="Times New Roman" w:eastAsia="Times New Roman" w:hAnsi="Times New Roman"/>
        </w:rPr>
        <w:t>.</w:t>
      </w:r>
    </w:p>
    <w:p w14:paraId="4EC00C82"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 (1) </w:t>
      </w:r>
      <w:proofErr w:type="spellStart"/>
      <w:r w:rsidRPr="0010137C">
        <w:rPr>
          <w:rFonts w:ascii="Times New Roman" w:eastAsia="Times New Roman" w:hAnsi="Times New Roman"/>
        </w:rPr>
        <w:t>UFG</w:t>
      </w:r>
      <w:r w:rsidRPr="0010137C">
        <w:rPr>
          <w:rFonts w:ascii="Times New Roman" w:eastAsia="Times New Roman" w:hAnsi="Times New Roman"/>
          <w:vertAlign w:val="subscript"/>
        </w:rPr>
        <w:t>x</w:t>
      </w:r>
      <w:proofErr w:type="spellEnd"/>
      <w:r w:rsidRPr="0010137C">
        <w:rPr>
          <w:rFonts w:ascii="Times New Roman" w:eastAsia="Times New Roman" w:hAnsi="Times New Roman"/>
        </w:rPr>
        <w:t xml:space="preserve"> = Gas </w:t>
      </w:r>
      <w:proofErr w:type="spellStart"/>
      <w:r w:rsidRPr="0010137C">
        <w:rPr>
          <w:rFonts w:ascii="Times New Roman" w:eastAsia="Times New Roman" w:hAnsi="Times New Roman"/>
        </w:rPr>
        <w:t>Received</w:t>
      </w:r>
      <w:r w:rsidRPr="00F6589B">
        <w:rPr>
          <w:rFonts w:ascii="Times New Roman" w:eastAsia="Times New Roman" w:hAnsi="Times New Roman"/>
          <w:vertAlign w:val="subscript"/>
        </w:rPr>
        <w:t>x</w:t>
      </w:r>
      <w:proofErr w:type="spellEnd"/>
      <w:r w:rsidRPr="0010137C">
        <w:rPr>
          <w:rFonts w:ascii="Times New Roman" w:eastAsia="Times New Roman" w:hAnsi="Times New Roman"/>
        </w:rPr>
        <w:t xml:space="preserve"> - Gas </w:t>
      </w:r>
      <w:proofErr w:type="spellStart"/>
      <w:r w:rsidRPr="0010137C">
        <w:rPr>
          <w:rFonts w:ascii="Times New Roman" w:eastAsia="Times New Roman" w:hAnsi="Times New Roman"/>
        </w:rPr>
        <w:t>Delivered</w:t>
      </w:r>
      <w:r w:rsidRPr="0010137C">
        <w:rPr>
          <w:rFonts w:ascii="Times New Roman" w:eastAsia="Times New Roman" w:hAnsi="Times New Roman"/>
          <w:vertAlign w:val="subscript"/>
        </w:rPr>
        <w:t>x</w:t>
      </w:r>
      <w:proofErr w:type="spellEnd"/>
      <w:r w:rsidRPr="0010137C">
        <w:rPr>
          <w:rFonts w:ascii="Times New Roman" w:eastAsia="Times New Roman" w:hAnsi="Times New Roman"/>
          <w:vertAlign w:val="subscript"/>
        </w:rPr>
        <w:t xml:space="preserve"> </w:t>
      </w:r>
      <w:r w:rsidRPr="0010137C">
        <w:rPr>
          <w:rFonts w:ascii="Times New Roman" w:eastAsia="Times New Roman" w:hAnsi="Times New Roman"/>
        </w:rPr>
        <w:t xml:space="preserve">- </w:t>
      </w:r>
      <w:proofErr w:type="spellStart"/>
      <w:r w:rsidRPr="0010137C">
        <w:rPr>
          <w:rFonts w:ascii="Times New Roman" w:eastAsia="Times New Roman" w:hAnsi="Times New Roman"/>
        </w:rPr>
        <w:t>Adjustments</w:t>
      </w:r>
      <w:r w:rsidRPr="0010137C">
        <w:rPr>
          <w:rFonts w:ascii="Times New Roman" w:eastAsia="Times New Roman" w:hAnsi="Times New Roman"/>
          <w:vertAlign w:val="subscript"/>
        </w:rPr>
        <w:t>x</w:t>
      </w:r>
      <w:proofErr w:type="spellEnd"/>
    </w:p>
    <w:p w14:paraId="38ACACCC"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 (2) %</w:t>
      </w:r>
      <w:proofErr w:type="spellStart"/>
      <w:r w:rsidRPr="0010137C">
        <w:rPr>
          <w:rFonts w:ascii="Times New Roman" w:eastAsia="Times New Roman" w:hAnsi="Times New Roman"/>
        </w:rPr>
        <w:t>UFG</w:t>
      </w:r>
      <w:r w:rsidRPr="0010137C">
        <w:rPr>
          <w:rFonts w:ascii="Times New Roman" w:eastAsia="Times New Roman" w:hAnsi="Times New Roman"/>
          <w:vertAlign w:val="subscript"/>
        </w:rPr>
        <w:t>x</w:t>
      </w:r>
      <w:proofErr w:type="spellEnd"/>
      <w:r w:rsidRPr="0010137C">
        <w:rPr>
          <w:rFonts w:ascii="Times New Roman" w:eastAsia="Times New Roman" w:hAnsi="Times New Roman"/>
        </w:rPr>
        <w:t xml:space="preserve"> = (</w:t>
      </w:r>
      <w:proofErr w:type="spellStart"/>
      <w:r w:rsidRPr="0010137C">
        <w:rPr>
          <w:rFonts w:ascii="Times New Roman" w:eastAsia="Times New Roman" w:hAnsi="Times New Roman"/>
        </w:rPr>
        <w:t>UFG</w:t>
      </w:r>
      <w:r w:rsidRPr="00F6589B">
        <w:rPr>
          <w:rFonts w:ascii="Times New Roman" w:eastAsia="Times New Roman" w:hAnsi="Times New Roman"/>
          <w:vertAlign w:val="subscript"/>
        </w:rPr>
        <w:t>x</w:t>
      </w:r>
      <w:proofErr w:type="spellEnd"/>
      <w:r w:rsidRPr="0010137C">
        <w:rPr>
          <w:rFonts w:ascii="Times New Roman" w:eastAsia="Times New Roman" w:hAnsi="Times New Roman"/>
        </w:rPr>
        <w:t>/Gas Received) * 100</w:t>
      </w:r>
    </w:p>
    <w:p w14:paraId="536DD238"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 (3) X denotes the system type (distribution, transmission, storage or production/gathering). When possible, UFG must be computed and reported by system type.</w:t>
      </w:r>
    </w:p>
    <w:p w14:paraId="37268C74"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 (4) Gas received, gas delivered and adjustments must represent actual gas quantities. Estimates may be provided but must be clearly identified and have supporting justification, assumptions and calculations.</w:t>
      </w:r>
    </w:p>
    <w:p w14:paraId="5CE71D5F"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 (5) Adjustments must be individually identified by category (such as company use, calculable losses from construction, purging, storage migration, other temperature and pressure adjustments, and adjustments for heat content of natural gas). Adjustments must be supported by metered data, sound engineering practices or other quantifiable results that clearly support the utility's need for the adjustmen</w:t>
      </w:r>
      <w:r w:rsidRPr="00F6589B">
        <w:rPr>
          <w:rFonts w:ascii="Times New Roman" w:eastAsia="Times New Roman" w:hAnsi="Times New Roman"/>
        </w:rPr>
        <w:t>t. Adjustments must be consistent from filing to filing.</w:t>
      </w:r>
    </w:p>
    <w:p w14:paraId="295EC08C"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lastRenderedPageBreak/>
        <w:t> (6) The definition of ''UFG'' in subsection (a) and the calculation under this subsection apply to UFG filed with the Commission.</w:t>
      </w:r>
    </w:p>
    <w:p w14:paraId="330D7814"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 (c) </w:t>
      </w:r>
      <w:r w:rsidRPr="0010137C">
        <w:rPr>
          <w:rFonts w:ascii="Times New Roman" w:eastAsia="Times New Roman" w:hAnsi="Times New Roman"/>
          <w:i/>
        </w:rPr>
        <w:t>Metrics for distribution system losses.</w:t>
      </w:r>
    </w:p>
    <w:p w14:paraId="26C45A1B"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rPr>
        <w:t> (1) Each NGDC and city natural gas distribution operation shall, at a minimum, reduce distribution system loss performance in accordance with the metrics in the following table, beginning with its first subsequent Purchased Gas Cost (PGC) or Gas Cost Rate (GCR) filing after August 11, 2014. The metric starts with 5% in the first year and decreases by 0.5% every year in the subsequent years until it reaches 3% as shown in the following table:</w:t>
      </w:r>
    </w:p>
    <w:tbl>
      <w:tblPr>
        <w:tblW w:w="1965" w:type="dxa"/>
        <w:tblBorders>
          <w:top w:val="nil"/>
          <w:left w:val="nil"/>
          <w:bottom w:val="nil"/>
          <w:right w:val="nil"/>
          <w:insideH w:val="nil"/>
          <w:insideV w:val="nil"/>
        </w:tblBorders>
        <w:tblLayout w:type="fixed"/>
        <w:tblLook w:val="0600" w:firstRow="0" w:lastRow="0" w:firstColumn="0" w:lastColumn="0" w:noHBand="1" w:noVBand="1"/>
      </w:tblPr>
      <w:tblGrid>
        <w:gridCol w:w="60"/>
        <w:gridCol w:w="680"/>
        <w:gridCol w:w="1225"/>
      </w:tblGrid>
      <w:tr w:rsidR="00C67579" w:rsidRPr="0010137C" w14:paraId="16343C89" w14:textId="77777777" w:rsidTr="00B6103A">
        <w:tc>
          <w:tcPr>
            <w:tcW w:w="60" w:type="dxa"/>
            <w:tcMar>
              <w:top w:w="20" w:type="dxa"/>
              <w:left w:w="20" w:type="dxa"/>
              <w:bottom w:w="20" w:type="dxa"/>
              <w:right w:w="20" w:type="dxa"/>
            </w:tcMar>
            <w:vAlign w:val="bottom"/>
          </w:tcPr>
          <w:p w14:paraId="55C1722F" w14:textId="77777777" w:rsidR="00C67579" w:rsidRPr="00C60702" w:rsidRDefault="00C67579" w:rsidP="00104FB5">
            <w:pPr>
              <w:keepNext/>
              <w:spacing w:before="240" w:after="60" w:line="276" w:lineRule="auto"/>
              <w:jc w:val="both"/>
              <w:outlineLvl w:val="0"/>
              <w:rPr>
                <w:rFonts w:ascii="Times New Roman" w:eastAsiaTheme="majorEastAsia" w:hAnsi="Times New Roman"/>
                <w:b/>
                <w:bCs/>
                <w:kern w:val="32"/>
                <w:sz w:val="32"/>
                <w:szCs w:val="32"/>
              </w:rPr>
            </w:pPr>
          </w:p>
        </w:tc>
        <w:tc>
          <w:tcPr>
            <w:tcW w:w="680" w:type="dxa"/>
            <w:tcMar>
              <w:top w:w="20" w:type="dxa"/>
              <w:left w:w="20" w:type="dxa"/>
              <w:bottom w:w="20" w:type="dxa"/>
              <w:right w:w="20" w:type="dxa"/>
            </w:tcMar>
            <w:vAlign w:val="bottom"/>
          </w:tcPr>
          <w:p w14:paraId="79464DA3"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b/>
              </w:rPr>
              <w:t>Year</w:t>
            </w:r>
          </w:p>
        </w:tc>
        <w:tc>
          <w:tcPr>
            <w:tcW w:w="1225" w:type="dxa"/>
            <w:tcMar>
              <w:top w:w="20" w:type="dxa"/>
              <w:left w:w="20" w:type="dxa"/>
              <w:bottom w:w="20" w:type="dxa"/>
              <w:right w:w="20" w:type="dxa"/>
            </w:tcMar>
            <w:vAlign w:val="bottom"/>
          </w:tcPr>
          <w:p w14:paraId="191D5AE2" w14:textId="77777777" w:rsidR="00C67579" w:rsidRPr="00C60702" w:rsidRDefault="00C67579" w:rsidP="00104FB5">
            <w:pPr>
              <w:spacing w:line="276" w:lineRule="auto"/>
              <w:jc w:val="both"/>
              <w:rPr>
                <w:rFonts w:ascii="Times New Roman" w:eastAsiaTheme="minorEastAsia" w:hAnsi="Times New Roman"/>
              </w:rPr>
            </w:pPr>
            <w:r w:rsidRPr="0010137C">
              <w:rPr>
                <w:rFonts w:ascii="Times New Roman" w:eastAsia="Times New Roman" w:hAnsi="Times New Roman"/>
                <w:b/>
              </w:rPr>
              <w:t>Percent UFG</w:t>
            </w:r>
          </w:p>
        </w:tc>
      </w:tr>
      <w:tr w:rsidR="00C67579" w:rsidRPr="0010137C" w14:paraId="75A3D1B5" w14:textId="77777777" w:rsidTr="00B6103A">
        <w:tc>
          <w:tcPr>
            <w:tcW w:w="60" w:type="dxa"/>
            <w:tcMar>
              <w:top w:w="20" w:type="dxa"/>
              <w:left w:w="20" w:type="dxa"/>
              <w:bottom w:w="20" w:type="dxa"/>
              <w:right w:w="20" w:type="dxa"/>
            </w:tcMar>
          </w:tcPr>
          <w:p w14:paraId="6D032297" w14:textId="77777777" w:rsidR="00C67579" w:rsidRPr="00C60702" w:rsidRDefault="00C67579" w:rsidP="00C60702">
            <w:pPr>
              <w:spacing w:line="276" w:lineRule="auto"/>
              <w:jc w:val="both"/>
              <w:rPr>
                <w:rFonts w:ascii="Times New Roman" w:eastAsiaTheme="minorEastAsia" w:hAnsi="Times New Roman"/>
              </w:rPr>
            </w:pPr>
          </w:p>
        </w:tc>
        <w:tc>
          <w:tcPr>
            <w:tcW w:w="680" w:type="dxa"/>
            <w:tcMar>
              <w:top w:w="20" w:type="dxa"/>
              <w:left w:w="20" w:type="dxa"/>
              <w:bottom w:w="20" w:type="dxa"/>
              <w:right w:w="20" w:type="dxa"/>
            </w:tcMar>
          </w:tcPr>
          <w:p w14:paraId="2C52FE5B"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1</w:t>
            </w:r>
          </w:p>
        </w:tc>
        <w:tc>
          <w:tcPr>
            <w:tcW w:w="1225" w:type="dxa"/>
            <w:tcMar>
              <w:top w:w="20" w:type="dxa"/>
              <w:left w:w="20" w:type="dxa"/>
              <w:bottom w:w="20" w:type="dxa"/>
              <w:right w:w="20" w:type="dxa"/>
            </w:tcMar>
          </w:tcPr>
          <w:p w14:paraId="06F4BA82"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5.00%</w:t>
            </w:r>
          </w:p>
        </w:tc>
      </w:tr>
      <w:tr w:rsidR="00C67579" w:rsidRPr="0010137C" w14:paraId="2CF2704E" w14:textId="77777777" w:rsidTr="00B6103A">
        <w:tc>
          <w:tcPr>
            <w:tcW w:w="60" w:type="dxa"/>
            <w:tcMar>
              <w:top w:w="20" w:type="dxa"/>
              <w:left w:w="20" w:type="dxa"/>
              <w:bottom w:w="20" w:type="dxa"/>
              <w:right w:w="20" w:type="dxa"/>
            </w:tcMar>
          </w:tcPr>
          <w:p w14:paraId="28B10DB5"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p>
        </w:tc>
        <w:tc>
          <w:tcPr>
            <w:tcW w:w="680" w:type="dxa"/>
            <w:tcMar>
              <w:top w:w="20" w:type="dxa"/>
              <w:left w:w="20" w:type="dxa"/>
              <w:bottom w:w="20" w:type="dxa"/>
              <w:right w:w="20" w:type="dxa"/>
            </w:tcMar>
          </w:tcPr>
          <w:p w14:paraId="2B67A376"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2</w:t>
            </w:r>
          </w:p>
        </w:tc>
        <w:tc>
          <w:tcPr>
            <w:tcW w:w="1225" w:type="dxa"/>
            <w:tcMar>
              <w:top w:w="20" w:type="dxa"/>
              <w:left w:w="20" w:type="dxa"/>
              <w:bottom w:w="20" w:type="dxa"/>
              <w:right w:w="20" w:type="dxa"/>
            </w:tcMar>
          </w:tcPr>
          <w:p w14:paraId="41F69D04"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4.50%</w:t>
            </w:r>
          </w:p>
        </w:tc>
      </w:tr>
      <w:tr w:rsidR="00C67579" w:rsidRPr="0010137C" w14:paraId="74AA39D5" w14:textId="77777777" w:rsidTr="00B6103A">
        <w:tc>
          <w:tcPr>
            <w:tcW w:w="60" w:type="dxa"/>
            <w:tcMar>
              <w:top w:w="20" w:type="dxa"/>
              <w:left w:w="20" w:type="dxa"/>
              <w:bottom w:w="20" w:type="dxa"/>
              <w:right w:w="20" w:type="dxa"/>
            </w:tcMar>
          </w:tcPr>
          <w:p w14:paraId="6BCB2F9C"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p>
        </w:tc>
        <w:tc>
          <w:tcPr>
            <w:tcW w:w="680" w:type="dxa"/>
            <w:tcMar>
              <w:top w:w="20" w:type="dxa"/>
              <w:left w:w="20" w:type="dxa"/>
              <w:bottom w:w="20" w:type="dxa"/>
              <w:right w:w="20" w:type="dxa"/>
            </w:tcMar>
          </w:tcPr>
          <w:p w14:paraId="6CEE5441"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3</w:t>
            </w:r>
          </w:p>
        </w:tc>
        <w:tc>
          <w:tcPr>
            <w:tcW w:w="1225" w:type="dxa"/>
            <w:tcMar>
              <w:top w:w="20" w:type="dxa"/>
              <w:left w:w="20" w:type="dxa"/>
              <w:bottom w:w="20" w:type="dxa"/>
              <w:right w:w="20" w:type="dxa"/>
            </w:tcMar>
          </w:tcPr>
          <w:p w14:paraId="0E2320B3"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4.00%</w:t>
            </w:r>
          </w:p>
        </w:tc>
      </w:tr>
      <w:tr w:rsidR="00C67579" w:rsidRPr="0010137C" w14:paraId="2B74B25E" w14:textId="77777777" w:rsidTr="00B6103A">
        <w:tc>
          <w:tcPr>
            <w:tcW w:w="60" w:type="dxa"/>
            <w:tcMar>
              <w:top w:w="20" w:type="dxa"/>
              <w:left w:w="20" w:type="dxa"/>
              <w:bottom w:w="20" w:type="dxa"/>
              <w:right w:w="20" w:type="dxa"/>
            </w:tcMar>
          </w:tcPr>
          <w:p w14:paraId="4179932B"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p>
        </w:tc>
        <w:tc>
          <w:tcPr>
            <w:tcW w:w="680" w:type="dxa"/>
            <w:tcMar>
              <w:top w:w="20" w:type="dxa"/>
              <w:left w:w="20" w:type="dxa"/>
              <w:bottom w:w="20" w:type="dxa"/>
              <w:right w:w="20" w:type="dxa"/>
            </w:tcMar>
          </w:tcPr>
          <w:p w14:paraId="700FBCF3"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4</w:t>
            </w:r>
          </w:p>
        </w:tc>
        <w:tc>
          <w:tcPr>
            <w:tcW w:w="1225" w:type="dxa"/>
            <w:tcMar>
              <w:top w:w="20" w:type="dxa"/>
              <w:left w:w="20" w:type="dxa"/>
              <w:bottom w:w="20" w:type="dxa"/>
              <w:right w:w="20" w:type="dxa"/>
            </w:tcMar>
          </w:tcPr>
          <w:p w14:paraId="26D0986F"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r w:rsidRPr="0010137C">
              <w:rPr>
                <w:rFonts w:ascii="Times New Roman" w:eastAsia="Times New Roman" w:hAnsi="Times New Roman"/>
                <w:bCs/>
                <w:kern w:val="32"/>
              </w:rPr>
              <w:t>3.50%</w:t>
            </w:r>
          </w:p>
        </w:tc>
      </w:tr>
      <w:tr w:rsidR="00C67579" w:rsidRPr="0010137C" w14:paraId="7A441A21" w14:textId="77777777" w:rsidTr="00B6103A">
        <w:tc>
          <w:tcPr>
            <w:tcW w:w="60" w:type="dxa"/>
            <w:tcMar>
              <w:top w:w="20" w:type="dxa"/>
              <w:left w:w="20" w:type="dxa"/>
              <w:bottom w:w="20" w:type="dxa"/>
              <w:right w:w="20" w:type="dxa"/>
            </w:tcMar>
          </w:tcPr>
          <w:p w14:paraId="36EB8409"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p>
        </w:tc>
        <w:tc>
          <w:tcPr>
            <w:tcW w:w="680" w:type="dxa"/>
            <w:tcMar>
              <w:top w:w="20" w:type="dxa"/>
              <w:left w:w="20" w:type="dxa"/>
              <w:bottom w:w="20" w:type="dxa"/>
              <w:right w:w="20" w:type="dxa"/>
            </w:tcMar>
          </w:tcPr>
          <w:p w14:paraId="0435167A"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bookmarkStart w:id="1" w:name="h.1w9b2eic9f8n" w:colFirst="0" w:colLast="0"/>
            <w:bookmarkEnd w:id="1"/>
            <w:r w:rsidRPr="0010137C">
              <w:rPr>
                <w:rFonts w:ascii="Times New Roman" w:eastAsia="Times New Roman" w:hAnsi="Times New Roman"/>
                <w:bCs/>
                <w:kern w:val="32"/>
              </w:rPr>
              <w:t>5</w:t>
            </w:r>
          </w:p>
        </w:tc>
        <w:tc>
          <w:tcPr>
            <w:tcW w:w="1225" w:type="dxa"/>
            <w:tcMar>
              <w:top w:w="20" w:type="dxa"/>
              <w:left w:w="20" w:type="dxa"/>
              <w:bottom w:w="20" w:type="dxa"/>
              <w:right w:w="20" w:type="dxa"/>
            </w:tcMar>
          </w:tcPr>
          <w:p w14:paraId="03AC0B8F" w14:textId="77777777" w:rsidR="00C67579" w:rsidRPr="00C60702" w:rsidRDefault="00C67579" w:rsidP="00C60702">
            <w:pPr>
              <w:keepNext/>
              <w:spacing w:before="240" w:after="60" w:line="276" w:lineRule="auto"/>
              <w:jc w:val="both"/>
              <w:outlineLvl w:val="0"/>
              <w:rPr>
                <w:rFonts w:ascii="Times New Roman" w:eastAsiaTheme="majorEastAsia" w:hAnsi="Times New Roman"/>
                <w:b/>
                <w:bCs/>
                <w:kern w:val="32"/>
                <w:sz w:val="32"/>
                <w:szCs w:val="32"/>
              </w:rPr>
            </w:pPr>
            <w:bookmarkStart w:id="2" w:name="h.e3k0v1mhg0i7" w:colFirst="0" w:colLast="0"/>
            <w:bookmarkEnd w:id="2"/>
            <w:r w:rsidRPr="0010137C">
              <w:rPr>
                <w:rFonts w:ascii="Times New Roman" w:eastAsia="Times New Roman" w:hAnsi="Times New Roman"/>
                <w:bCs/>
                <w:kern w:val="32"/>
              </w:rPr>
              <w:t>3.00%</w:t>
            </w:r>
          </w:p>
        </w:tc>
      </w:tr>
    </w:tbl>
    <w:p w14:paraId="21AB5223" w14:textId="77777777" w:rsidR="00C67579" w:rsidRPr="00C60702" w:rsidRDefault="00C67579" w:rsidP="00C60702">
      <w:pPr>
        <w:spacing w:line="276" w:lineRule="auto"/>
        <w:jc w:val="both"/>
        <w:rPr>
          <w:rFonts w:ascii="Times New Roman" w:eastAsiaTheme="minorEastAsia" w:hAnsi="Times New Roman"/>
        </w:rPr>
      </w:pPr>
      <w:r w:rsidRPr="0010137C">
        <w:rPr>
          <w:rFonts w:ascii="Times New Roman" w:eastAsia="Times New Roman" w:hAnsi="Times New Roman"/>
        </w:rPr>
        <w:t> (2) The distribution metrics shall be applied on an annual basis for the 12 months ending August 31. UFG reports, as described by the Commission and relating to this section, shall be filed by September 30th of each year.</w:t>
      </w:r>
    </w:p>
    <w:p w14:paraId="447ABCCA" w14:textId="77777777" w:rsidR="00C67579" w:rsidRPr="00C60702" w:rsidRDefault="00C67579" w:rsidP="00C60702">
      <w:pPr>
        <w:spacing w:line="276" w:lineRule="auto"/>
        <w:jc w:val="both"/>
        <w:rPr>
          <w:rFonts w:ascii="Times New Roman" w:eastAsiaTheme="minorEastAsia" w:hAnsi="Times New Roman"/>
        </w:rPr>
      </w:pPr>
      <w:r w:rsidRPr="0010137C">
        <w:rPr>
          <w:rFonts w:ascii="Times New Roman" w:eastAsia="Times New Roman" w:hAnsi="Times New Roman"/>
        </w:rPr>
        <w:t> (3) UFG levels above the applicable annual targets in paragraph (1) shall be presumed to be excessive absent evidence to the contrary and may not be recovered within the current or a future PGC or GCR filing. If an NGDC's actual UFG exceeds an applicable target, the NGDC may demonstrate that its level of UFG is warranted.</w:t>
      </w:r>
    </w:p>
    <w:p w14:paraId="33A97470" w14:textId="77777777" w:rsidR="00C67579" w:rsidRPr="00C60702" w:rsidRDefault="00C67579" w:rsidP="00C60702">
      <w:pPr>
        <w:spacing w:line="276" w:lineRule="auto"/>
        <w:jc w:val="both"/>
        <w:rPr>
          <w:rFonts w:ascii="Times New Roman" w:eastAsiaTheme="minorEastAsia" w:hAnsi="Times New Roman"/>
        </w:rPr>
      </w:pPr>
      <w:r w:rsidRPr="0010137C">
        <w:rPr>
          <w:rFonts w:ascii="Times New Roman" w:eastAsia="Times New Roman" w:hAnsi="Times New Roman"/>
          <w:b/>
          <w:sz w:val="20"/>
          <w:szCs w:val="20"/>
        </w:rPr>
        <w:t>[</w:t>
      </w:r>
      <w:proofErr w:type="spellStart"/>
      <w:r w:rsidRPr="0010137C">
        <w:rPr>
          <w:rFonts w:ascii="Times New Roman" w:eastAsia="Times New Roman" w:hAnsi="Times New Roman"/>
          <w:b/>
          <w:sz w:val="20"/>
          <w:szCs w:val="20"/>
        </w:rPr>
        <w:t>Pa.B</w:t>
      </w:r>
      <w:proofErr w:type="spellEnd"/>
      <w:r w:rsidRPr="0010137C">
        <w:rPr>
          <w:rFonts w:ascii="Times New Roman" w:eastAsia="Times New Roman" w:hAnsi="Times New Roman"/>
          <w:b/>
          <w:sz w:val="20"/>
          <w:szCs w:val="20"/>
        </w:rPr>
        <w:t>. Doc. No. 13-1476. Filed for public inspection August 9, 2013, 9:00 a.m.]</w:t>
      </w:r>
      <w:bookmarkStart w:id="3" w:name="h.h8cew5ze91ft" w:colFirst="0" w:colLast="0"/>
      <w:bookmarkStart w:id="4" w:name="h.1fyd7ex36y2l" w:colFirst="0" w:colLast="0"/>
      <w:bookmarkEnd w:id="3"/>
      <w:bookmarkEnd w:id="4"/>
    </w:p>
    <w:p w14:paraId="06E4CB7A" w14:textId="77777777" w:rsidR="00C67579" w:rsidRPr="00C60702" w:rsidRDefault="00C67579" w:rsidP="00C60702">
      <w:pPr>
        <w:spacing w:line="276" w:lineRule="auto"/>
        <w:jc w:val="both"/>
        <w:rPr>
          <w:rFonts w:ascii="Times New Roman" w:hAnsi="Times New Roman"/>
        </w:rPr>
      </w:pPr>
    </w:p>
    <w:sectPr w:rsidR="00C67579" w:rsidRPr="00C607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57D5" w14:textId="77777777" w:rsidR="009150EE" w:rsidRDefault="009150EE" w:rsidP="005103A9">
      <w:r>
        <w:separator/>
      </w:r>
    </w:p>
  </w:endnote>
  <w:endnote w:type="continuationSeparator" w:id="0">
    <w:p w14:paraId="67927BB5" w14:textId="77777777" w:rsidR="009150EE" w:rsidRDefault="009150EE" w:rsidP="0051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140B" w14:textId="77777777" w:rsidR="009150EE" w:rsidRDefault="009150EE" w:rsidP="005103A9">
      <w:r>
        <w:separator/>
      </w:r>
    </w:p>
  </w:footnote>
  <w:footnote w:type="continuationSeparator" w:id="0">
    <w:p w14:paraId="18150FB0" w14:textId="77777777" w:rsidR="009150EE" w:rsidRDefault="009150EE" w:rsidP="005103A9">
      <w:r>
        <w:continuationSeparator/>
      </w:r>
    </w:p>
  </w:footnote>
  <w:footnote w:id="1">
    <w:p w14:paraId="33E9E2E3" w14:textId="05C87E96" w:rsidR="005103A9" w:rsidRDefault="005103A9">
      <w:pPr>
        <w:pStyle w:val="FootnoteText"/>
      </w:pPr>
      <w:r>
        <w:rPr>
          <w:rStyle w:val="FootnoteReference"/>
        </w:rPr>
        <w:footnoteRef/>
      </w:r>
      <w:r>
        <w:t xml:space="preserve"> </w:t>
      </w:r>
      <w:r w:rsidR="00A31364">
        <w:t xml:space="preserve">ICF International (2014) </w:t>
      </w:r>
      <w:r w:rsidR="00104FB5" w:rsidRPr="00104FB5">
        <w:t xml:space="preserve">Lost and Unaccounted for Gas. Cambridge, Massachusetts. Retrieved from </w:t>
      </w:r>
      <w:hyperlink r:id="rId1" w:history="1">
        <w:r w:rsidR="00A31364" w:rsidRPr="00887270">
          <w:rPr>
            <w:rStyle w:val="Hyperlink"/>
          </w:rPr>
          <w:t>http://www.mass.gov/eea/docs/dpu/gas/icf-lauf-report.pdf</w:t>
        </w:r>
      </w:hyperlink>
      <w:r w:rsidR="00A3136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EAF32" w14:textId="3C096627" w:rsidR="005D1464" w:rsidRPr="005D1464" w:rsidRDefault="00A60CA1" w:rsidP="005D1464">
    <w:pPr>
      <w:pStyle w:val="Header"/>
      <w:jc w:val="right"/>
      <w:rPr>
        <w:rFonts w:ascii="Times New Roman" w:hAnsi="Times New Roman"/>
      </w:rPr>
    </w:pPr>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F4512"/>
    <w:multiLevelType w:val="hybridMultilevel"/>
    <w:tmpl w:val="26AE3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1187E"/>
    <w:multiLevelType w:val="hybridMultilevel"/>
    <w:tmpl w:val="C4184C74"/>
    <w:lvl w:ilvl="0" w:tplc="ABAEA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178CA"/>
    <w:multiLevelType w:val="hybridMultilevel"/>
    <w:tmpl w:val="4C78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C3898"/>
    <w:multiLevelType w:val="hybridMultilevel"/>
    <w:tmpl w:val="A886B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79"/>
    <w:rsid w:val="00033794"/>
    <w:rsid w:val="00041C31"/>
    <w:rsid w:val="0004783F"/>
    <w:rsid w:val="00062471"/>
    <w:rsid w:val="000637BC"/>
    <w:rsid w:val="00076A1B"/>
    <w:rsid w:val="000B1D57"/>
    <w:rsid w:val="000B736A"/>
    <w:rsid w:val="000D0EC9"/>
    <w:rsid w:val="0010137C"/>
    <w:rsid w:val="00104919"/>
    <w:rsid w:val="00104FB5"/>
    <w:rsid w:val="001373BB"/>
    <w:rsid w:val="001456CB"/>
    <w:rsid w:val="001474B0"/>
    <w:rsid w:val="00150096"/>
    <w:rsid w:val="00157AD8"/>
    <w:rsid w:val="00177C27"/>
    <w:rsid w:val="001979FE"/>
    <w:rsid w:val="001A1021"/>
    <w:rsid w:val="001B7751"/>
    <w:rsid w:val="001C7ED6"/>
    <w:rsid w:val="001E4144"/>
    <w:rsid w:val="0020361C"/>
    <w:rsid w:val="0020729E"/>
    <w:rsid w:val="00257EFB"/>
    <w:rsid w:val="00283D6F"/>
    <w:rsid w:val="002A08FB"/>
    <w:rsid w:val="002B28F6"/>
    <w:rsid w:val="002D283C"/>
    <w:rsid w:val="0030080C"/>
    <w:rsid w:val="003022F8"/>
    <w:rsid w:val="00304CD4"/>
    <w:rsid w:val="0031043A"/>
    <w:rsid w:val="00337C15"/>
    <w:rsid w:val="003869E4"/>
    <w:rsid w:val="003A577D"/>
    <w:rsid w:val="003C0A5E"/>
    <w:rsid w:val="003C0EF1"/>
    <w:rsid w:val="003C34C4"/>
    <w:rsid w:val="004011C1"/>
    <w:rsid w:val="00440D56"/>
    <w:rsid w:val="0044509D"/>
    <w:rsid w:val="00466D03"/>
    <w:rsid w:val="004950B5"/>
    <w:rsid w:val="004A26CC"/>
    <w:rsid w:val="004B2A39"/>
    <w:rsid w:val="004B39AB"/>
    <w:rsid w:val="004C2C96"/>
    <w:rsid w:val="004C5029"/>
    <w:rsid w:val="004F57B8"/>
    <w:rsid w:val="005053D2"/>
    <w:rsid w:val="005103A9"/>
    <w:rsid w:val="0053335A"/>
    <w:rsid w:val="00542E0A"/>
    <w:rsid w:val="00563A78"/>
    <w:rsid w:val="00563B7A"/>
    <w:rsid w:val="005A7B33"/>
    <w:rsid w:val="005B1E43"/>
    <w:rsid w:val="005D1464"/>
    <w:rsid w:val="005E1337"/>
    <w:rsid w:val="005E444E"/>
    <w:rsid w:val="00614ED4"/>
    <w:rsid w:val="006255ED"/>
    <w:rsid w:val="00653276"/>
    <w:rsid w:val="00653B0B"/>
    <w:rsid w:val="00690CC4"/>
    <w:rsid w:val="006A3B9C"/>
    <w:rsid w:val="006A5BA8"/>
    <w:rsid w:val="006A66E1"/>
    <w:rsid w:val="006D3854"/>
    <w:rsid w:val="006D7449"/>
    <w:rsid w:val="006F1E65"/>
    <w:rsid w:val="0071624C"/>
    <w:rsid w:val="00750F9C"/>
    <w:rsid w:val="00755D4D"/>
    <w:rsid w:val="00765157"/>
    <w:rsid w:val="00773BEA"/>
    <w:rsid w:val="00777537"/>
    <w:rsid w:val="007D713B"/>
    <w:rsid w:val="007E345D"/>
    <w:rsid w:val="008006A3"/>
    <w:rsid w:val="00804F85"/>
    <w:rsid w:val="008056ED"/>
    <w:rsid w:val="008164DA"/>
    <w:rsid w:val="00842127"/>
    <w:rsid w:val="00846517"/>
    <w:rsid w:val="008535A2"/>
    <w:rsid w:val="008545E7"/>
    <w:rsid w:val="00876C40"/>
    <w:rsid w:val="008A0385"/>
    <w:rsid w:val="008E7086"/>
    <w:rsid w:val="008F05FE"/>
    <w:rsid w:val="00902B30"/>
    <w:rsid w:val="009150EE"/>
    <w:rsid w:val="00955E76"/>
    <w:rsid w:val="00963B64"/>
    <w:rsid w:val="0096738D"/>
    <w:rsid w:val="0099347B"/>
    <w:rsid w:val="009F4EAF"/>
    <w:rsid w:val="00A17E46"/>
    <w:rsid w:val="00A31364"/>
    <w:rsid w:val="00A57B66"/>
    <w:rsid w:val="00A60CA1"/>
    <w:rsid w:val="00B26E5E"/>
    <w:rsid w:val="00B34E67"/>
    <w:rsid w:val="00B56C69"/>
    <w:rsid w:val="00B6103A"/>
    <w:rsid w:val="00BB14B2"/>
    <w:rsid w:val="00BD3F6B"/>
    <w:rsid w:val="00C0685D"/>
    <w:rsid w:val="00C07522"/>
    <w:rsid w:val="00C10824"/>
    <w:rsid w:val="00C60702"/>
    <w:rsid w:val="00C67579"/>
    <w:rsid w:val="00C75FA1"/>
    <w:rsid w:val="00CA121A"/>
    <w:rsid w:val="00CD3697"/>
    <w:rsid w:val="00CD4A66"/>
    <w:rsid w:val="00D15715"/>
    <w:rsid w:val="00D27713"/>
    <w:rsid w:val="00D37FFD"/>
    <w:rsid w:val="00DE0744"/>
    <w:rsid w:val="00E00225"/>
    <w:rsid w:val="00E23A20"/>
    <w:rsid w:val="00E436DF"/>
    <w:rsid w:val="00E75C40"/>
    <w:rsid w:val="00E85B5C"/>
    <w:rsid w:val="00E915BD"/>
    <w:rsid w:val="00EB4E76"/>
    <w:rsid w:val="00EC7A0D"/>
    <w:rsid w:val="00EF4831"/>
    <w:rsid w:val="00F15232"/>
    <w:rsid w:val="00F53E86"/>
    <w:rsid w:val="00F55FEE"/>
    <w:rsid w:val="00F643EB"/>
    <w:rsid w:val="00F6589B"/>
    <w:rsid w:val="00F70D47"/>
    <w:rsid w:val="00F83497"/>
    <w:rsid w:val="00FA3838"/>
    <w:rsid w:val="00FE0FCC"/>
    <w:rsid w:val="00FE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23D1"/>
  <w15:docId w15:val="{DDC8324B-717A-473A-8767-5F5F6596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F8"/>
    <w:rPr>
      <w:sz w:val="24"/>
      <w:szCs w:val="24"/>
    </w:rPr>
  </w:style>
  <w:style w:type="paragraph" w:styleId="Heading1">
    <w:name w:val="heading 1"/>
    <w:basedOn w:val="Normal"/>
    <w:next w:val="Normal"/>
    <w:link w:val="Heading1Char"/>
    <w:uiPriority w:val="9"/>
    <w:qFormat/>
    <w:rsid w:val="003022F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022F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022F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22F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22F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22F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22F8"/>
    <w:pPr>
      <w:spacing w:before="240" w:after="60"/>
      <w:outlineLvl w:val="6"/>
    </w:pPr>
  </w:style>
  <w:style w:type="paragraph" w:styleId="Heading8">
    <w:name w:val="heading 8"/>
    <w:basedOn w:val="Normal"/>
    <w:next w:val="Normal"/>
    <w:link w:val="Heading8Char"/>
    <w:uiPriority w:val="9"/>
    <w:semiHidden/>
    <w:unhideWhenUsed/>
    <w:qFormat/>
    <w:rsid w:val="003022F8"/>
    <w:pPr>
      <w:spacing w:before="240" w:after="60"/>
      <w:outlineLvl w:val="7"/>
    </w:pPr>
    <w:rPr>
      <w:i/>
      <w:iCs/>
    </w:rPr>
  </w:style>
  <w:style w:type="paragraph" w:styleId="Heading9">
    <w:name w:val="heading 9"/>
    <w:basedOn w:val="Normal"/>
    <w:next w:val="Normal"/>
    <w:link w:val="Heading9Char"/>
    <w:uiPriority w:val="9"/>
    <w:semiHidden/>
    <w:unhideWhenUsed/>
    <w:qFormat/>
    <w:rsid w:val="003022F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2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022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022F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22F8"/>
    <w:rPr>
      <w:b/>
      <w:bCs/>
      <w:sz w:val="28"/>
      <w:szCs w:val="28"/>
    </w:rPr>
  </w:style>
  <w:style w:type="character" w:customStyle="1" w:styleId="Heading5Char">
    <w:name w:val="Heading 5 Char"/>
    <w:basedOn w:val="DefaultParagraphFont"/>
    <w:link w:val="Heading5"/>
    <w:uiPriority w:val="9"/>
    <w:semiHidden/>
    <w:rsid w:val="003022F8"/>
    <w:rPr>
      <w:b/>
      <w:bCs/>
      <w:i/>
      <w:iCs/>
      <w:sz w:val="26"/>
      <w:szCs w:val="26"/>
    </w:rPr>
  </w:style>
  <w:style w:type="character" w:customStyle="1" w:styleId="Heading6Char">
    <w:name w:val="Heading 6 Char"/>
    <w:basedOn w:val="DefaultParagraphFont"/>
    <w:link w:val="Heading6"/>
    <w:uiPriority w:val="9"/>
    <w:semiHidden/>
    <w:rsid w:val="003022F8"/>
    <w:rPr>
      <w:b/>
      <w:bCs/>
    </w:rPr>
  </w:style>
  <w:style w:type="character" w:customStyle="1" w:styleId="Heading7Char">
    <w:name w:val="Heading 7 Char"/>
    <w:basedOn w:val="DefaultParagraphFont"/>
    <w:link w:val="Heading7"/>
    <w:uiPriority w:val="9"/>
    <w:semiHidden/>
    <w:rsid w:val="003022F8"/>
    <w:rPr>
      <w:sz w:val="24"/>
      <w:szCs w:val="24"/>
    </w:rPr>
  </w:style>
  <w:style w:type="character" w:customStyle="1" w:styleId="Heading8Char">
    <w:name w:val="Heading 8 Char"/>
    <w:basedOn w:val="DefaultParagraphFont"/>
    <w:link w:val="Heading8"/>
    <w:uiPriority w:val="9"/>
    <w:semiHidden/>
    <w:rsid w:val="003022F8"/>
    <w:rPr>
      <w:i/>
      <w:iCs/>
      <w:sz w:val="24"/>
      <w:szCs w:val="24"/>
    </w:rPr>
  </w:style>
  <w:style w:type="character" w:customStyle="1" w:styleId="Heading9Char">
    <w:name w:val="Heading 9 Char"/>
    <w:basedOn w:val="DefaultParagraphFont"/>
    <w:link w:val="Heading9"/>
    <w:uiPriority w:val="9"/>
    <w:semiHidden/>
    <w:rsid w:val="003022F8"/>
    <w:rPr>
      <w:rFonts w:asciiTheme="majorHAnsi" w:eastAsiaTheme="majorEastAsia" w:hAnsiTheme="majorHAnsi"/>
    </w:rPr>
  </w:style>
  <w:style w:type="paragraph" w:styleId="Title">
    <w:name w:val="Title"/>
    <w:basedOn w:val="Normal"/>
    <w:next w:val="Normal"/>
    <w:link w:val="TitleChar"/>
    <w:uiPriority w:val="10"/>
    <w:qFormat/>
    <w:rsid w:val="003022F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22F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22F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22F8"/>
    <w:rPr>
      <w:rFonts w:asciiTheme="majorHAnsi" w:eastAsiaTheme="majorEastAsia" w:hAnsiTheme="majorHAnsi"/>
      <w:sz w:val="24"/>
      <w:szCs w:val="24"/>
    </w:rPr>
  </w:style>
  <w:style w:type="character" w:styleId="Strong">
    <w:name w:val="Strong"/>
    <w:basedOn w:val="DefaultParagraphFont"/>
    <w:uiPriority w:val="22"/>
    <w:qFormat/>
    <w:rsid w:val="003022F8"/>
    <w:rPr>
      <w:b/>
      <w:bCs/>
    </w:rPr>
  </w:style>
  <w:style w:type="character" w:styleId="Emphasis">
    <w:name w:val="Emphasis"/>
    <w:basedOn w:val="DefaultParagraphFont"/>
    <w:uiPriority w:val="20"/>
    <w:qFormat/>
    <w:rsid w:val="003022F8"/>
    <w:rPr>
      <w:rFonts w:asciiTheme="minorHAnsi" w:hAnsiTheme="minorHAnsi"/>
      <w:b/>
      <w:i/>
      <w:iCs/>
    </w:rPr>
  </w:style>
  <w:style w:type="paragraph" w:styleId="NoSpacing">
    <w:name w:val="No Spacing"/>
    <w:basedOn w:val="Normal"/>
    <w:uiPriority w:val="1"/>
    <w:qFormat/>
    <w:rsid w:val="003022F8"/>
    <w:rPr>
      <w:szCs w:val="32"/>
    </w:rPr>
  </w:style>
  <w:style w:type="paragraph" w:styleId="ListParagraph">
    <w:name w:val="List Paragraph"/>
    <w:basedOn w:val="Normal"/>
    <w:uiPriority w:val="34"/>
    <w:qFormat/>
    <w:rsid w:val="003022F8"/>
    <w:pPr>
      <w:ind w:left="720"/>
      <w:contextualSpacing/>
    </w:pPr>
  </w:style>
  <w:style w:type="paragraph" w:styleId="Quote">
    <w:name w:val="Quote"/>
    <w:basedOn w:val="Normal"/>
    <w:next w:val="Normal"/>
    <w:link w:val="QuoteChar"/>
    <w:uiPriority w:val="29"/>
    <w:qFormat/>
    <w:rsid w:val="003022F8"/>
    <w:rPr>
      <w:i/>
    </w:rPr>
  </w:style>
  <w:style w:type="character" w:customStyle="1" w:styleId="QuoteChar">
    <w:name w:val="Quote Char"/>
    <w:basedOn w:val="DefaultParagraphFont"/>
    <w:link w:val="Quote"/>
    <w:uiPriority w:val="29"/>
    <w:rsid w:val="003022F8"/>
    <w:rPr>
      <w:i/>
      <w:sz w:val="24"/>
      <w:szCs w:val="24"/>
    </w:rPr>
  </w:style>
  <w:style w:type="paragraph" w:styleId="IntenseQuote">
    <w:name w:val="Intense Quote"/>
    <w:basedOn w:val="Normal"/>
    <w:next w:val="Normal"/>
    <w:link w:val="IntenseQuoteChar"/>
    <w:uiPriority w:val="30"/>
    <w:qFormat/>
    <w:rsid w:val="003022F8"/>
    <w:pPr>
      <w:ind w:left="720" w:right="720"/>
    </w:pPr>
    <w:rPr>
      <w:b/>
      <w:i/>
      <w:szCs w:val="22"/>
    </w:rPr>
  </w:style>
  <w:style w:type="character" w:customStyle="1" w:styleId="IntenseQuoteChar">
    <w:name w:val="Intense Quote Char"/>
    <w:basedOn w:val="DefaultParagraphFont"/>
    <w:link w:val="IntenseQuote"/>
    <w:uiPriority w:val="30"/>
    <w:rsid w:val="003022F8"/>
    <w:rPr>
      <w:b/>
      <w:i/>
      <w:sz w:val="24"/>
    </w:rPr>
  </w:style>
  <w:style w:type="character" w:styleId="SubtleEmphasis">
    <w:name w:val="Subtle Emphasis"/>
    <w:uiPriority w:val="19"/>
    <w:qFormat/>
    <w:rsid w:val="003022F8"/>
    <w:rPr>
      <w:i/>
      <w:color w:val="5A5A5A" w:themeColor="text1" w:themeTint="A5"/>
    </w:rPr>
  </w:style>
  <w:style w:type="character" w:styleId="IntenseEmphasis">
    <w:name w:val="Intense Emphasis"/>
    <w:basedOn w:val="DefaultParagraphFont"/>
    <w:uiPriority w:val="21"/>
    <w:qFormat/>
    <w:rsid w:val="003022F8"/>
    <w:rPr>
      <w:b/>
      <w:i/>
      <w:sz w:val="24"/>
      <w:szCs w:val="24"/>
      <w:u w:val="single"/>
    </w:rPr>
  </w:style>
  <w:style w:type="character" w:styleId="SubtleReference">
    <w:name w:val="Subtle Reference"/>
    <w:basedOn w:val="DefaultParagraphFont"/>
    <w:uiPriority w:val="31"/>
    <w:qFormat/>
    <w:rsid w:val="003022F8"/>
    <w:rPr>
      <w:sz w:val="24"/>
      <w:szCs w:val="24"/>
      <w:u w:val="single"/>
    </w:rPr>
  </w:style>
  <w:style w:type="character" w:styleId="IntenseReference">
    <w:name w:val="Intense Reference"/>
    <w:basedOn w:val="DefaultParagraphFont"/>
    <w:uiPriority w:val="32"/>
    <w:qFormat/>
    <w:rsid w:val="003022F8"/>
    <w:rPr>
      <w:b/>
      <w:sz w:val="24"/>
      <w:u w:val="single"/>
    </w:rPr>
  </w:style>
  <w:style w:type="character" w:styleId="BookTitle">
    <w:name w:val="Book Title"/>
    <w:basedOn w:val="DefaultParagraphFont"/>
    <w:uiPriority w:val="33"/>
    <w:qFormat/>
    <w:rsid w:val="003022F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22F8"/>
    <w:pPr>
      <w:outlineLvl w:val="9"/>
    </w:pPr>
    <w:rPr>
      <w:rFonts w:cs="Times New Roman"/>
    </w:rPr>
  </w:style>
  <w:style w:type="paragraph" w:styleId="CommentText">
    <w:name w:val="annotation text"/>
    <w:basedOn w:val="Normal"/>
    <w:link w:val="CommentTextChar"/>
    <w:uiPriority w:val="99"/>
    <w:unhideWhenUsed/>
    <w:rsid w:val="00C67579"/>
    <w:rPr>
      <w:rFonts w:eastAsiaTheme="minorEastAsia"/>
      <w:sz w:val="20"/>
      <w:szCs w:val="20"/>
    </w:rPr>
  </w:style>
  <w:style w:type="character" w:customStyle="1" w:styleId="CommentTextChar">
    <w:name w:val="Comment Text Char"/>
    <w:basedOn w:val="DefaultParagraphFont"/>
    <w:link w:val="CommentText"/>
    <w:uiPriority w:val="99"/>
    <w:rsid w:val="00C67579"/>
    <w:rPr>
      <w:rFonts w:eastAsiaTheme="minorEastAsia"/>
      <w:sz w:val="20"/>
      <w:szCs w:val="20"/>
    </w:rPr>
  </w:style>
  <w:style w:type="character" w:styleId="CommentReference">
    <w:name w:val="annotation reference"/>
    <w:basedOn w:val="DefaultParagraphFont"/>
    <w:uiPriority w:val="99"/>
    <w:semiHidden/>
    <w:unhideWhenUsed/>
    <w:rsid w:val="00C67579"/>
    <w:rPr>
      <w:sz w:val="16"/>
      <w:szCs w:val="16"/>
    </w:rPr>
  </w:style>
  <w:style w:type="paragraph" w:styleId="BalloonText">
    <w:name w:val="Balloon Text"/>
    <w:basedOn w:val="Normal"/>
    <w:link w:val="BalloonTextChar"/>
    <w:uiPriority w:val="99"/>
    <w:semiHidden/>
    <w:unhideWhenUsed/>
    <w:rsid w:val="00C67579"/>
    <w:rPr>
      <w:rFonts w:ascii="Tahoma" w:hAnsi="Tahoma" w:cs="Tahoma"/>
      <w:sz w:val="16"/>
      <w:szCs w:val="16"/>
    </w:rPr>
  </w:style>
  <w:style w:type="character" w:customStyle="1" w:styleId="BalloonTextChar">
    <w:name w:val="Balloon Text Char"/>
    <w:basedOn w:val="DefaultParagraphFont"/>
    <w:link w:val="BalloonText"/>
    <w:uiPriority w:val="99"/>
    <w:semiHidden/>
    <w:rsid w:val="00C6757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2B30"/>
    <w:rPr>
      <w:rFonts w:eastAsiaTheme="minorHAnsi"/>
      <w:b/>
      <w:bCs/>
    </w:rPr>
  </w:style>
  <w:style w:type="character" w:customStyle="1" w:styleId="CommentSubjectChar">
    <w:name w:val="Comment Subject Char"/>
    <w:basedOn w:val="CommentTextChar"/>
    <w:link w:val="CommentSubject"/>
    <w:uiPriority w:val="99"/>
    <w:semiHidden/>
    <w:rsid w:val="00902B30"/>
    <w:rPr>
      <w:rFonts w:eastAsiaTheme="minorEastAsia"/>
      <w:b/>
      <w:bCs/>
      <w:sz w:val="20"/>
      <w:szCs w:val="20"/>
    </w:rPr>
  </w:style>
  <w:style w:type="paragraph" w:styleId="FootnoteText">
    <w:name w:val="footnote text"/>
    <w:basedOn w:val="Normal"/>
    <w:link w:val="FootnoteTextChar"/>
    <w:uiPriority w:val="99"/>
    <w:semiHidden/>
    <w:unhideWhenUsed/>
    <w:rsid w:val="005103A9"/>
    <w:rPr>
      <w:sz w:val="20"/>
      <w:szCs w:val="20"/>
    </w:rPr>
  </w:style>
  <w:style w:type="character" w:customStyle="1" w:styleId="FootnoteTextChar">
    <w:name w:val="Footnote Text Char"/>
    <w:basedOn w:val="DefaultParagraphFont"/>
    <w:link w:val="FootnoteText"/>
    <w:uiPriority w:val="99"/>
    <w:semiHidden/>
    <w:rsid w:val="005103A9"/>
    <w:rPr>
      <w:sz w:val="20"/>
      <w:szCs w:val="20"/>
    </w:rPr>
  </w:style>
  <w:style w:type="character" w:styleId="FootnoteReference">
    <w:name w:val="footnote reference"/>
    <w:basedOn w:val="DefaultParagraphFont"/>
    <w:uiPriority w:val="99"/>
    <w:semiHidden/>
    <w:unhideWhenUsed/>
    <w:rsid w:val="005103A9"/>
    <w:rPr>
      <w:vertAlign w:val="superscript"/>
    </w:rPr>
  </w:style>
  <w:style w:type="character" w:styleId="Hyperlink">
    <w:name w:val="Hyperlink"/>
    <w:basedOn w:val="DefaultParagraphFont"/>
    <w:uiPriority w:val="99"/>
    <w:unhideWhenUsed/>
    <w:rsid w:val="005103A9"/>
    <w:rPr>
      <w:color w:val="0000FF" w:themeColor="hyperlink"/>
      <w:u w:val="single"/>
    </w:rPr>
  </w:style>
  <w:style w:type="character" w:styleId="FollowedHyperlink">
    <w:name w:val="FollowedHyperlink"/>
    <w:basedOn w:val="DefaultParagraphFont"/>
    <w:uiPriority w:val="99"/>
    <w:semiHidden/>
    <w:unhideWhenUsed/>
    <w:rsid w:val="00104FB5"/>
    <w:rPr>
      <w:color w:val="800080" w:themeColor="followedHyperlink"/>
      <w:u w:val="single"/>
    </w:rPr>
  </w:style>
  <w:style w:type="paragraph" w:styleId="Revision">
    <w:name w:val="Revision"/>
    <w:hidden/>
    <w:uiPriority w:val="99"/>
    <w:semiHidden/>
    <w:rsid w:val="00B34E67"/>
    <w:rPr>
      <w:sz w:val="24"/>
      <w:szCs w:val="24"/>
    </w:rPr>
  </w:style>
  <w:style w:type="paragraph" w:styleId="Header">
    <w:name w:val="header"/>
    <w:basedOn w:val="Normal"/>
    <w:link w:val="HeaderChar"/>
    <w:uiPriority w:val="99"/>
    <w:unhideWhenUsed/>
    <w:rsid w:val="005D1464"/>
    <w:pPr>
      <w:tabs>
        <w:tab w:val="center" w:pos="4680"/>
        <w:tab w:val="right" w:pos="9360"/>
      </w:tabs>
    </w:pPr>
  </w:style>
  <w:style w:type="character" w:customStyle="1" w:styleId="HeaderChar">
    <w:name w:val="Header Char"/>
    <w:basedOn w:val="DefaultParagraphFont"/>
    <w:link w:val="Header"/>
    <w:uiPriority w:val="99"/>
    <w:rsid w:val="005D1464"/>
    <w:rPr>
      <w:sz w:val="24"/>
      <w:szCs w:val="24"/>
    </w:rPr>
  </w:style>
  <w:style w:type="paragraph" w:styleId="Footer">
    <w:name w:val="footer"/>
    <w:basedOn w:val="Normal"/>
    <w:link w:val="FooterChar"/>
    <w:uiPriority w:val="99"/>
    <w:unhideWhenUsed/>
    <w:rsid w:val="005D1464"/>
    <w:pPr>
      <w:tabs>
        <w:tab w:val="center" w:pos="4680"/>
        <w:tab w:val="right" w:pos="9360"/>
      </w:tabs>
    </w:pPr>
  </w:style>
  <w:style w:type="character" w:customStyle="1" w:styleId="FooterChar">
    <w:name w:val="Footer Char"/>
    <w:basedOn w:val="DefaultParagraphFont"/>
    <w:link w:val="Footer"/>
    <w:uiPriority w:val="99"/>
    <w:rsid w:val="005D14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530">
      <w:bodyDiv w:val="1"/>
      <w:marLeft w:val="0"/>
      <w:marRight w:val="0"/>
      <w:marTop w:val="0"/>
      <w:marBottom w:val="0"/>
      <w:divBdr>
        <w:top w:val="none" w:sz="0" w:space="0" w:color="auto"/>
        <w:left w:val="none" w:sz="0" w:space="0" w:color="auto"/>
        <w:bottom w:val="none" w:sz="0" w:space="0" w:color="auto"/>
        <w:right w:val="none" w:sz="0" w:space="0" w:color="auto"/>
      </w:divBdr>
    </w:div>
    <w:div w:id="314920242">
      <w:bodyDiv w:val="1"/>
      <w:marLeft w:val="0"/>
      <w:marRight w:val="0"/>
      <w:marTop w:val="0"/>
      <w:marBottom w:val="0"/>
      <w:divBdr>
        <w:top w:val="none" w:sz="0" w:space="0" w:color="auto"/>
        <w:left w:val="none" w:sz="0" w:space="0" w:color="auto"/>
        <w:bottom w:val="none" w:sz="0" w:space="0" w:color="auto"/>
        <w:right w:val="none" w:sz="0" w:space="0" w:color="auto"/>
      </w:divBdr>
    </w:div>
    <w:div w:id="8871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ss.gov/eea/docs/dpu/gas/icf-lauf-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668A-A265-40CF-8C4C-785482A5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Palacios</dc:creator>
  <cp:lastModifiedBy>Simi Rose George</cp:lastModifiedBy>
  <cp:revision>8</cp:revision>
  <cp:lastPrinted>2015-07-28T20:33:00Z</cp:lastPrinted>
  <dcterms:created xsi:type="dcterms:W3CDTF">2015-10-02T15:39:00Z</dcterms:created>
  <dcterms:modified xsi:type="dcterms:W3CDTF">2016-07-22T17:07:00Z</dcterms:modified>
</cp:coreProperties>
</file>