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D9E1" w14:textId="77777777" w:rsidR="00D03612" w:rsidRDefault="00C82DC2" w:rsidP="00D03612">
      <w:pPr>
        <w:widowControl/>
        <w:autoSpaceDE/>
        <w:autoSpaceDN/>
        <w:adjustRightInd/>
        <w:jc w:val="center"/>
      </w:pPr>
      <w:bookmarkStart w:id="0" w:name="_GoBack"/>
      <w:bookmarkEnd w:id="0"/>
      <w:r>
        <w:t>153 FERC ¶ 61,177</w:t>
      </w:r>
    </w:p>
    <w:p w14:paraId="5BB1D9E2" w14:textId="77777777" w:rsidR="007129A8" w:rsidRPr="007129A8" w:rsidRDefault="007129A8" w:rsidP="00D03612">
      <w:pPr>
        <w:widowControl/>
        <w:autoSpaceDE/>
        <w:autoSpaceDN/>
        <w:adjustRightInd/>
        <w:jc w:val="center"/>
      </w:pPr>
      <w:r w:rsidRPr="007129A8">
        <w:t>UNITED STATES OF AMERICA</w:t>
      </w:r>
    </w:p>
    <w:p w14:paraId="5BB1D9E3" w14:textId="77777777" w:rsidR="007129A8" w:rsidRDefault="007129A8" w:rsidP="007129A8">
      <w:pPr>
        <w:widowControl/>
        <w:autoSpaceDE/>
        <w:autoSpaceDN/>
        <w:adjustRightInd/>
        <w:jc w:val="center"/>
      </w:pPr>
      <w:r w:rsidRPr="007129A8">
        <w:t>FEDERAL ENERGY REGULATORY COMMISSION</w:t>
      </w:r>
    </w:p>
    <w:p w14:paraId="5BB1D9E4" w14:textId="77777777" w:rsidR="007129A8" w:rsidRDefault="007129A8" w:rsidP="007129A8">
      <w:pPr>
        <w:widowControl/>
        <w:autoSpaceDE/>
        <w:autoSpaceDN/>
        <w:adjustRightInd/>
        <w:jc w:val="center"/>
      </w:pPr>
    </w:p>
    <w:p w14:paraId="5BB1D9E5" w14:textId="77777777" w:rsidR="00D03612" w:rsidRDefault="00D03612" w:rsidP="00C82DC2">
      <w:pPr>
        <w:widowControl/>
        <w:autoSpaceDE/>
        <w:autoSpaceDN/>
        <w:adjustRightInd/>
      </w:pPr>
    </w:p>
    <w:p w14:paraId="5BB1D9E6" w14:textId="77777777" w:rsidR="00DB4AEE" w:rsidRPr="00C82DC2" w:rsidRDefault="00C82DC2" w:rsidP="00C82DC2">
      <w:pPr>
        <w:widowControl/>
        <w:autoSpaceDE/>
        <w:autoSpaceDN/>
        <w:adjustRightInd/>
      </w:pPr>
      <w:r w:rsidRPr="00C82DC2">
        <w:t>Before Commissioners:  Norman C. Bay, Chairman;</w:t>
      </w:r>
    </w:p>
    <w:p w14:paraId="5BB1D9E7" w14:textId="77777777" w:rsidR="00C82DC2" w:rsidRPr="00C82DC2" w:rsidRDefault="00C82DC2" w:rsidP="00C82DC2">
      <w:pPr>
        <w:widowControl/>
        <w:autoSpaceDE/>
        <w:autoSpaceDN/>
        <w:adjustRightInd/>
      </w:pPr>
      <w:r w:rsidRPr="00C82DC2">
        <w:t xml:space="preserve">                                        Cheryl A. LaFleur, Tony Clark,</w:t>
      </w:r>
    </w:p>
    <w:p w14:paraId="5BB1D9E8" w14:textId="77777777" w:rsidR="00C82DC2" w:rsidRDefault="00C82DC2" w:rsidP="00C82DC2">
      <w:pPr>
        <w:widowControl/>
        <w:autoSpaceDE/>
        <w:autoSpaceDN/>
        <w:adjustRightInd/>
      </w:pPr>
      <w:r w:rsidRPr="00C82DC2">
        <w:t xml:space="preserve">                                        </w:t>
      </w:r>
      <w:proofErr w:type="gramStart"/>
      <w:r w:rsidRPr="00C82DC2">
        <w:t>and</w:t>
      </w:r>
      <w:proofErr w:type="gramEnd"/>
      <w:r w:rsidRPr="00C82DC2">
        <w:t xml:space="preserve"> Colette D. Honorable.</w:t>
      </w:r>
    </w:p>
    <w:p w14:paraId="5BB1D9E9" w14:textId="77777777" w:rsidR="00DB4AEE" w:rsidRDefault="00DB4AEE" w:rsidP="00DB4AEE">
      <w:pPr>
        <w:widowControl/>
        <w:autoSpaceDE/>
        <w:autoSpaceDN/>
        <w:adjustRightInd/>
      </w:pPr>
    </w:p>
    <w:p w14:paraId="5BB1D9EA" w14:textId="77777777" w:rsidR="00B52CBE" w:rsidRDefault="00B52CBE" w:rsidP="00DB4AEE">
      <w:pPr>
        <w:widowControl/>
        <w:autoSpaceDE/>
        <w:autoSpaceDN/>
        <w:adjustRightInd/>
      </w:pPr>
    </w:p>
    <w:tbl>
      <w:tblPr>
        <w:tblW w:w="0" w:type="auto"/>
        <w:tblLook w:val="01E0" w:firstRow="1" w:lastRow="1" w:firstColumn="1" w:lastColumn="1" w:noHBand="0" w:noVBand="0"/>
      </w:tblPr>
      <w:tblGrid>
        <w:gridCol w:w="5551"/>
        <w:gridCol w:w="1490"/>
        <w:gridCol w:w="1815"/>
      </w:tblGrid>
      <w:tr w:rsidR="00874552" w:rsidRPr="00DB4AEE" w14:paraId="5BB1D9EF" w14:textId="77777777" w:rsidTr="007C14E6">
        <w:tc>
          <w:tcPr>
            <w:tcW w:w="5551" w:type="dxa"/>
            <w:shd w:val="clear" w:color="auto" w:fill="auto"/>
          </w:tcPr>
          <w:p w14:paraId="5BB1D9EB" w14:textId="77777777" w:rsidR="001A22C3" w:rsidRDefault="00874552" w:rsidP="001A22C3">
            <w:r w:rsidRPr="00DB4AEE">
              <w:t xml:space="preserve">Availability of E-Tag </w:t>
            </w:r>
            <w:r w:rsidR="001A22C3">
              <w:t>Information</w:t>
            </w:r>
            <w:r w:rsidRPr="00DB4AEE">
              <w:t xml:space="preserve"> to </w:t>
            </w:r>
          </w:p>
          <w:p w14:paraId="5BB1D9EC" w14:textId="77777777" w:rsidR="00874552" w:rsidRPr="00DB4AEE" w:rsidRDefault="001A22C3" w:rsidP="001A22C3">
            <w:r>
              <w:t xml:space="preserve">   </w:t>
            </w:r>
            <w:r w:rsidR="00874552" w:rsidRPr="00DB4AEE">
              <w:t>Commission Staff</w:t>
            </w:r>
          </w:p>
        </w:tc>
        <w:tc>
          <w:tcPr>
            <w:tcW w:w="1490" w:type="dxa"/>
            <w:shd w:val="clear" w:color="auto" w:fill="auto"/>
          </w:tcPr>
          <w:p w14:paraId="5BB1D9ED" w14:textId="77777777" w:rsidR="00874552" w:rsidRPr="00DB4AEE" w:rsidRDefault="00874552" w:rsidP="003263E7">
            <w:pPr>
              <w:jc w:val="right"/>
            </w:pPr>
            <w:r w:rsidRPr="00DB4AEE">
              <w:t>Docket No.</w:t>
            </w:r>
          </w:p>
        </w:tc>
        <w:tc>
          <w:tcPr>
            <w:tcW w:w="1815" w:type="dxa"/>
            <w:shd w:val="clear" w:color="auto" w:fill="auto"/>
          </w:tcPr>
          <w:p w14:paraId="5BB1D9EE" w14:textId="77777777" w:rsidR="00874552" w:rsidRPr="00DB4AEE" w:rsidRDefault="00874552" w:rsidP="00874552">
            <w:r w:rsidRPr="00DB4AEE">
              <w:t>RM11-12-00</w:t>
            </w:r>
            <w:r w:rsidR="003743BE">
              <w:t>1</w:t>
            </w:r>
          </w:p>
        </w:tc>
      </w:tr>
    </w:tbl>
    <w:p w14:paraId="5BB1D9F0" w14:textId="77777777" w:rsidR="00874552" w:rsidRPr="00DB4AEE" w:rsidRDefault="00874552" w:rsidP="00874552"/>
    <w:p w14:paraId="5BB1D9F1" w14:textId="77777777" w:rsidR="00C82DC2" w:rsidRPr="00DB4AEE" w:rsidRDefault="00C82DC2" w:rsidP="00B52CBE">
      <w:pPr>
        <w:spacing w:line="480" w:lineRule="auto"/>
        <w:jc w:val="center"/>
      </w:pPr>
      <w:proofErr w:type="gramStart"/>
      <w:r w:rsidRPr="00DB4AEE">
        <w:t>ORDER NO.</w:t>
      </w:r>
      <w:proofErr w:type="gramEnd"/>
      <w:r w:rsidRPr="00DB4AEE">
        <w:t xml:space="preserve"> 771-B</w:t>
      </w:r>
    </w:p>
    <w:p w14:paraId="5BB1D9F2" w14:textId="77777777" w:rsidR="00874552" w:rsidRPr="00DB4AEE" w:rsidRDefault="00874552" w:rsidP="00686A97">
      <w:pPr>
        <w:jc w:val="center"/>
      </w:pPr>
      <w:r w:rsidRPr="00DB4AEE">
        <w:t>ORDER ON REHEARING AND CLARIFICATION</w:t>
      </w:r>
    </w:p>
    <w:p w14:paraId="5BB1D9F3" w14:textId="77777777" w:rsidR="007129A8" w:rsidRDefault="007129A8" w:rsidP="00B22DDA">
      <w:pPr>
        <w:pStyle w:val="FERCparanumber"/>
        <w:numPr>
          <w:ilvl w:val="0"/>
          <w:numId w:val="0"/>
        </w:numPr>
        <w:spacing w:line="240" w:lineRule="auto"/>
        <w:jc w:val="center"/>
        <w:rPr>
          <w:u w:val="single"/>
        </w:rPr>
      </w:pPr>
    </w:p>
    <w:p w14:paraId="5BB1D9F4" w14:textId="118C9D6F" w:rsidR="007129A8" w:rsidRPr="007129A8" w:rsidRDefault="007D347C" w:rsidP="007129A8">
      <w:pPr>
        <w:pStyle w:val="FERCparanumber"/>
        <w:numPr>
          <w:ilvl w:val="0"/>
          <w:numId w:val="0"/>
        </w:numPr>
        <w:spacing w:line="240" w:lineRule="auto"/>
        <w:jc w:val="center"/>
      </w:pPr>
      <w:r>
        <w:t>(Issued November 19</w:t>
      </w:r>
      <w:r w:rsidR="007129A8" w:rsidRPr="007129A8">
        <w:t>, 2015)</w:t>
      </w:r>
    </w:p>
    <w:p w14:paraId="5BB1D9F5" w14:textId="77777777" w:rsidR="007129A8" w:rsidRDefault="007129A8" w:rsidP="00B22DDA">
      <w:pPr>
        <w:pStyle w:val="FERCparanumber"/>
        <w:numPr>
          <w:ilvl w:val="0"/>
          <w:numId w:val="0"/>
        </w:numPr>
        <w:spacing w:line="240" w:lineRule="auto"/>
        <w:jc w:val="center"/>
        <w:rPr>
          <w:u w:val="single"/>
        </w:rPr>
      </w:pPr>
    </w:p>
    <w:p w14:paraId="5BB1D9F6" w14:textId="77777777" w:rsidR="00336DCF" w:rsidRDefault="00336DCF" w:rsidP="00B22DDA">
      <w:pPr>
        <w:pStyle w:val="FERCparanumber"/>
        <w:numPr>
          <w:ilvl w:val="0"/>
          <w:numId w:val="0"/>
        </w:numPr>
        <w:spacing w:line="240" w:lineRule="auto"/>
        <w:jc w:val="center"/>
        <w:rPr>
          <w:u w:val="single"/>
        </w:rPr>
      </w:pPr>
      <w:r w:rsidRPr="00336DCF">
        <w:rPr>
          <w:u w:val="single"/>
        </w:rPr>
        <w:t>TABLE OF CONTENTS</w:t>
      </w:r>
    </w:p>
    <w:p w14:paraId="5BB1D9F7" w14:textId="77777777" w:rsidR="007129A8" w:rsidRDefault="007129A8" w:rsidP="00B22DDA">
      <w:pPr>
        <w:pStyle w:val="FERCparanumber"/>
        <w:numPr>
          <w:ilvl w:val="0"/>
          <w:numId w:val="0"/>
        </w:numPr>
        <w:spacing w:line="240" w:lineRule="auto"/>
        <w:jc w:val="center"/>
        <w:rPr>
          <w:u w:val="single"/>
        </w:rPr>
      </w:pPr>
    </w:p>
    <w:p w14:paraId="5BB1D9F8" w14:textId="77777777" w:rsidR="007129A8" w:rsidRPr="00336DCF" w:rsidRDefault="007129A8" w:rsidP="00B22DDA">
      <w:pPr>
        <w:pStyle w:val="FERCparanumber"/>
        <w:numPr>
          <w:ilvl w:val="0"/>
          <w:numId w:val="0"/>
        </w:numPr>
        <w:spacing w:line="240" w:lineRule="auto"/>
        <w:jc w:val="center"/>
        <w:rPr>
          <w:u w:val="single"/>
        </w:rPr>
      </w:pPr>
    </w:p>
    <w:p w14:paraId="5BB1D9F9" w14:textId="77777777" w:rsidR="00336DCF" w:rsidRDefault="00B22DDA" w:rsidP="00B22DDA">
      <w:pPr>
        <w:pStyle w:val="FERCparanumber"/>
        <w:numPr>
          <w:ilvl w:val="0"/>
          <w:numId w:val="0"/>
        </w:numPr>
        <w:tabs>
          <w:tab w:val="right" w:pos="9648"/>
        </w:tabs>
        <w:spacing w:line="240" w:lineRule="auto"/>
      </w:pPr>
      <w:r>
        <w:tab/>
      </w:r>
      <w:r>
        <w:rPr>
          <w:u w:val="single"/>
        </w:rPr>
        <w:t>Paragraph Numbers</w:t>
      </w:r>
    </w:p>
    <w:p w14:paraId="5BB1D9FA" w14:textId="77777777" w:rsidR="00800F40" w:rsidRDefault="00800F40" w:rsidP="00800F40">
      <w:pPr>
        <w:pStyle w:val="myTOC1"/>
      </w:pPr>
      <w:bookmarkStart w:id="1" w:name="_Start_TOC"/>
      <w:bookmarkEnd w:id="1"/>
      <w:r>
        <w:t xml:space="preserve">I.  </w:t>
      </w:r>
      <w:r w:rsidRPr="00DB4AEE">
        <w:t>Background</w:t>
      </w:r>
      <w:r>
        <w:tab/>
      </w:r>
      <w:hyperlink w:anchor="_bmk1" w:history="1">
        <w:r>
          <w:rPr>
            <w:rStyle w:val="Hyperlink"/>
            <w:szCs w:val="24"/>
          </w:rPr>
          <w:t>2.</w:t>
        </w:r>
      </w:hyperlink>
    </w:p>
    <w:p w14:paraId="5BB1D9FB" w14:textId="77777777" w:rsidR="00800F40" w:rsidRDefault="00800F40" w:rsidP="00800F40">
      <w:pPr>
        <w:pStyle w:val="myTOC2"/>
      </w:pPr>
      <w:r>
        <w:t xml:space="preserve">A.  </w:t>
      </w:r>
      <w:r w:rsidRPr="00DB4AEE">
        <w:t>Order No. 771 and E-Tags</w:t>
      </w:r>
      <w:r>
        <w:tab/>
      </w:r>
      <w:hyperlink w:anchor="_bmk2" w:history="1">
        <w:r>
          <w:rPr>
            <w:rStyle w:val="Hyperlink"/>
            <w:szCs w:val="24"/>
          </w:rPr>
          <w:t>4.</w:t>
        </w:r>
      </w:hyperlink>
    </w:p>
    <w:p w14:paraId="5BB1D9FC" w14:textId="77777777" w:rsidR="00800F40" w:rsidRDefault="00800F40" w:rsidP="00800F40">
      <w:pPr>
        <w:pStyle w:val="myTOC1"/>
      </w:pPr>
      <w:r>
        <w:t>II</w:t>
      </w:r>
      <w:proofErr w:type="gramStart"/>
      <w:r>
        <w:t xml:space="preserve">.  </w:t>
      </w:r>
      <w:r w:rsidRPr="00DB4AEE">
        <w:t>Discussion</w:t>
      </w:r>
      <w:proofErr w:type="gramEnd"/>
      <w:r>
        <w:tab/>
      </w:r>
      <w:hyperlink w:anchor="_bmk3" w:history="1">
        <w:r>
          <w:rPr>
            <w:rStyle w:val="Hyperlink"/>
            <w:szCs w:val="24"/>
          </w:rPr>
          <w:t>11.</w:t>
        </w:r>
      </w:hyperlink>
    </w:p>
    <w:p w14:paraId="5BB1D9FD" w14:textId="77777777" w:rsidR="00800F40" w:rsidRDefault="00800F40" w:rsidP="00800F40">
      <w:pPr>
        <w:pStyle w:val="myTOC2"/>
      </w:pPr>
      <w:r>
        <w:t xml:space="preserve">A.  </w:t>
      </w:r>
      <w:r w:rsidRPr="00DB4AEE">
        <w:t>Legal Authority to Require E-Tag Access</w:t>
      </w:r>
      <w:r>
        <w:tab/>
      </w:r>
      <w:hyperlink w:anchor="_bmk4" w:history="1">
        <w:r>
          <w:rPr>
            <w:rStyle w:val="Hyperlink"/>
            <w:szCs w:val="24"/>
          </w:rPr>
          <w:t>11.</w:t>
        </w:r>
      </w:hyperlink>
    </w:p>
    <w:p w14:paraId="5BB1D9FE" w14:textId="77777777" w:rsidR="00800F40" w:rsidRDefault="00800F40" w:rsidP="00800F40">
      <w:pPr>
        <w:pStyle w:val="myTOC3"/>
      </w:pPr>
      <w:r>
        <w:t xml:space="preserve">1.  </w:t>
      </w:r>
      <w:r w:rsidRPr="00DB4AEE">
        <w:t>Requests for Rehearing and Clarification</w:t>
      </w:r>
      <w:r>
        <w:tab/>
      </w:r>
      <w:hyperlink w:anchor="_bmk5" w:history="1">
        <w:r>
          <w:rPr>
            <w:rStyle w:val="Hyperlink"/>
            <w:szCs w:val="24"/>
          </w:rPr>
          <w:t>11.</w:t>
        </w:r>
      </w:hyperlink>
    </w:p>
    <w:p w14:paraId="5BB1D9FF" w14:textId="77777777" w:rsidR="00800F40" w:rsidRDefault="00800F40" w:rsidP="00800F40">
      <w:pPr>
        <w:pStyle w:val="myTOC3"/>
      </w:pPr>
      <w:r>
        <w:t xml:space="preserve">2.  </w:t>
      </w:r>
      <w:r w:rsidRPr="00DB4AEE">
        <w:t>Commission Determination</w:t>
      </w:r>
      <w:r>
        <w:tab/>
      </w:r>
      <w:hyperlink w:anchor="_bmk6" w:history="1">
        <w:r>
          <w:rPr>
            <w:rStyle w:val="Hyperlink"/>
            <w:szCs w:val="24"/>
          </w:rPr>
          <w:t>20.</w:t>
        </w:r>
      </w:hyperlink>
    </w:p>
    <w:p w14:paraId="5BB1DA00" w14:textId="77777777" w:rsidR="00800F40" w:rsidRDefault="00800F40" w:rsidP="00800F40">
      <w:pPr>
        <w:pStyle w:val="myTOC2"/>
      </w:pPr>
      <w:r>
        <w:t xml:space="preserve">B.  </w:t>
      </w:r>
      <w:r w:rsidRPr="00DB4AEE">
        <w:t>Opportunity to Comment on Proposals Adopted in Final Rule</w:t>
      </w:r>
      <w:r>
        <w:tab/>
      </w:r>
      <w:hyperlink w:anchor="_bmk7" w:history="1">
        <w:r>
          <w:rPr>
            <w:rStyle w:val="Hyperlink"/>
            <w:szCs w:val="24"/>
          </w:rPr>
          <w:t>38.</w:t>
        </w:r>
      </w:hyperlink>
    </w:p>
    <w:p w14:paraId="5BB1DA01" w14:textId="77777777" w:rsidR="00800F40" w:rsidRDefault="00800F40" w:rsidP="00800F40">
      <w:pPr>
        <w:pStyle w:val="myTOC3"/>
      </w:pPr>
      <w:r>
        <w:t xml:space="preserve">1.  </w:t>
      </w:r>
      <w:r w:rsidRPr="00DB4AEE">
        <w:t>Requests for Rehearing and Clarification</w:t>
      </w:r>
      <w:r>
        <w:tab/>
      </w:r>
      <w:hyperlink w:anchor="_bmk8" w:history="1">
        <w:r>
          <w:rPr>
            <w:rStyle w:val="Hyperlink"/>
            <w:szCs w:val="24"/>
          </w:rPr>
          <w:t>38.</w:t>
        </w:r>
      </w:hyperlink>
    </w:p>
    <w:p w14:paraId="5BB1DA02" w14:textId="77777777" w:rsidR="00800F40" w:rsidRDefault="00800F40" w:rsidP="00800F40">
      <w:pPr>
        <w:pStyle w:val="myTOC3"/>
      </w:pPr>
      <w:r>
        <w:t xml:space="preserve">2.  </w:t>
      </w:r>
      <w:r w:rsidRPr="00DB4AEE">
        <w:t>Commission Determination</w:t>
      </w:r>
      <w:r>
        <w:tab/>
      </w:r>
      <w:hyperlink w:anchor="_bmk9" w:history="1">
        <w:r>
          <w:rPr>
            <w:rStyle w:val="Hyperlink"/>
            <w:szCs w:val="24"/>
          </w:rPr>
          <w:t>39.</w:t>
        </w:r>
      </w:hyperlink>
    </w:p>
    <w:p w14:paraId="5BB1DA03" w14:textId="77777777" w:rsidR="00800F40" w:rsidRDefault="00800F40" w:rsidP="00800F40">
      <w:pPr>
        <w:pStyle w:val="myTOC2"/>
      </w:pPr>
      <w:r>
        <w:t xml:space="preserve">C.  </w:t>
      </w:r>
      <w:r w:rsidRPr="00DB4AEE">
        <w:t>Responsibilities of Balancing Authorities</w:t>
      </w:r>
      <w:r>
        <w:tab/>
      </w:r>
      <w:hyperlink w:anchor="_bmk10" w:history="1">
        <w:r>
          <w:rPr>
            <w:rStyle w:val="Hyperlink"/>
            <w:szCs w:val="24"/>
          </w:rPr>
          <w:t>43.</w:t>
        </w:r>
      </w:hyperlink>
    </w:p>
    <w:p w14:paraId="5BB1DA04" w14:textId="77777777" w:rsidR="00800F40" w:rsidRDefault="00800F40" w:rsidP="00800F40">
      <w:pPr>
        <w:pStyle w:val="myTOC3"/>
      </w:pPr>
      <w:r>
        <w:t xml:space="preserve">1.  </w:t>
      </w:r>
      <w:r w:rsidRPr="00DB4AEE">
        <w:t>Requests for Rehearing and Clarification</w:t>
      </w:r>
      <w:r>
        <w:tab/>
      </w:r>
      <w:hyperlink w:anchor="_bmk11" w:history="1">
        <w:r>
          <w:rPr>
            <w:rStyle w:val="Hyperlink"/>
            <w:szCs w:val="24"/>
          </w:rPr>
          <w:t>43.</w:t>
        </w:r>
      </w:hyperlink>
    </w:p>
    <w:p w14:paraId="5BB1DA05" w14:textId="77777777" w:rsidR="00800F40" w:rsidRDefault="00800F40" w:rsidP="00800F40">
      <w:pPr>
        <w:pStyle w:val="myTOC3"/>
      </w:pPr>
      <w:r>
        <w:t xml:space="preserve">2.  </w:t>
      </w:r>
      <w:r w:rsidRPr="00DB4AEE">
        <w:t>Commission Determination</w:t>
      </w:r>
      <w:r>
        <w:tab/>
      </w:r>
      <w:hyperlink w:anchor="_bmk12" w:history="1">
        <w:r>
          <w:rPr>
            <w:rStyle w:val="Hyperlink"/>
            <w:szCs w:val="24"/>
          </w:rPr>
          <w:t>44.</w:t>
        </w:r>
      </w:hyperlink>
    </w:p>
    <w:p w14:paraId="5BB1DA06" w14:textId="77777777" w:rsidR="00800F40" w:rsidRDefault="00800F40" w:rsidP="00800F40">
      <w:pPr>
        <w:pStyle w:val="myTOC2"/>
      </w:pPr>
      <w:r>
        <w:t xml:space="preserve">D.  </w:t>
      </w:r>
      <w:r w:rsidRPr="00DB4AEE">
        <w:t>Providing Access to RTOs, ISOs and MMUs</w:t>
      </w:r>
      <w:r>
        <w:tab/>
      </w:r>
      <w:hyperlink w:anchor="_bmk13" w:history="1">
        <w:r>
          <w:rPr>
            <w:rStyle w:val="Hyperlink"/>
            <w:szCs w:val="24"/>
          </w:rPr>
          <w:t>46.</w:t>
        </w:r>
      </w:hyperlink>
    </w:p>
    <w:p w14:paraId="5BB1DA07" w14:textId="77777777" w:rsidR="00800F40" w:rsidRDefault="00800F40" w:rsidP="00800F40">
      <w:pPr>
        <w:pStyle w:val="myTOC3"/>
      </w:pPr>
      <w:r>
        <w:t xml:space="preserve">1.  </w:t>
      </w:r>
      <w:r w:rsidRPr="00DB4AEE">
        <w:t>Requests for Rehearing and Clarification</w:t>
      </w:r>
      <w:r>
        <w:tab/>
      </w:r>
      <w:hyperlink w:anchor="_bmk14" w:history="1">
        <w:r>
          <w:rPr>
            <w:rStyle w:val="Hyperlink"/>
            <w:szCs w:val="24"/>
          </w:rPr>
          <w:t>46.</w:t>
        </w:r>
      </w:hyperlink>
    </w:p>
    <w:p w14:paraId="5BB1DA08" w14:textId="77777777" w:rsidR="00800F40" w:rsidRDefault="00800F40" w:rsidP="00800F40">
      <w:pPr>
        <w:pStyle w:val="myTOC3"/>
      </w:pPr>
      <w:r>
        <w:t xml:space="preserve">2.  </w:t>
      </w:r>
      <w:r w:rsidRPr="00DB4AEE">
        <w:t>Commission Determination</w:t>
      </w:r>
      <w:r>
        <w:tab/>
      </w:r>
      <w:hyperlink w:anchor="_bmk15" w:history="1">
        <w:r>
          <w:rPr>
            <w:rStyle w:val="Hyperlink"/>
            <w:szCs w:val="24"/>
          </w:rPr>
          <w:t>51.</w:t>
        </w:r>
      </w:hyperlink>
    </w:p>
    <w:p w14:paraId="5BB1DA09" w14:textId="77777777" w:rsidR="00800F40" w:rsidRDefault="00800F40" w:rsidP="00800F40">
      <w:pPr>
        <w:pStyle w:val="myTOC2"/>
      </w:pPr>
      <w:r>
        <w:t xml:space="preserve">E.  </w:t>
      </w:r>
      <w:r w:rsidRPr="00DB4AEE">
        <w:t>Clarification of E-Tag Access</w:t>
      </w:r>
      <w:r>
        <w:tab/>
      </w:r>
      <w:hyperlink w:anchor="_bmk16" w:history="1">
        <w:r>
          <w:rPr>
            <w:rStyle w:val="Hyperlink"/>
            <w:szCs w:val="24"/>
          </w:rPr>
          <w:t>59.</w:t>
        </w:r>
      </w:hyperlink>
    </w:p>
    <w:p w14:paraId="5BB1DA0A" w14:textId="77777777" w:rsidR="00800F40" w:rsidRDefault="00800F40" w:rsidP="00800F40">
      <w:pPr>
        <w:pStyle w:val="myTOC3"/>
      </w:pPr>
      <w:r>
        <w:t xml:space="preserve">1.  </w:t>
      </w:r>
      <w:r w:rsidRPr="00DB4AEE">
        <w:t>Request for Rehearing or Clarification</w:t>
      </w:r>
      <w:r>
        <w:tab/>
      </w:r>
      <w:hyperlink w:anchor="_bmk17" w:history="1">
        <w:r>
          <w:rPr>
            <w:rStyle w:val="Hyperlink"/>
            <w:szCs w:val="24"/>
          </w:rPr>
          <w:t>59.</w:t>
        </w:r>
      </w:hyperlink>
    </w:p>
    <w:p w14:paraId="5BB1DA0B" w14:textId="77777777" w:rsidR="007B57BD" w:rsidRDefault="00800F40" w:rsidP="00800F40">
      <w:pPr>
        <w:pStyle w:val="myTOC3"/>
      </w:pPr>
      <w:r>
        <w:t xml:space="preserve">2.  </w:t>
      </w:r>
      <w:r w:rsidRPr="00DB4AEE">
        <w:t>Commission Determination</w:t>
      </w:r>
      <w:r>
        <w:tab/>
      </w:r>
      <w:hyperlink w:anchor="_bmk18" w:history="1">
        <w:r>
          <w:rPr>
            <w:rStyle w:val="Hyperlink"/>
            <w:szCs w:val="24"/>
          </w:rPr>
          <w:t>60.</w:t>
        </w:r>
      </w:hyperlink>
    </w:p>
    <w:p w14:paraId="5BB1DA0C" w14:textId="77777777" w:rsidR="007B57BD" w:rsidRDefault="007B57BD" w:rsidP="007B57BD">
      <w:pPr>
        <w:pStyle w:val="FERCparanumber"/>
        <w:rPr>
          <w:szCs w:val="26"/>
        </w:rPr>
      </w:pPr>
      <w:r>
        <w:br w:type="page"/>
      </w:r>
    </w:p>
    <w:p w14:paraId="5BB1DA0D" w14:textId="77777777" w:rsidR="00BE1407" w:rsidRPr="00DB4AEE" w:rsidRDefault="001F573A" w:rsidP="007B57BD">
      <w:pPr>
        <w:pStyle w:val="FERCparanumber"/>
        <w:numPr>
          <w:ilvl w:val="0"/>
          <w:numId w:val="44"/>
        </w:numPr>
      </w:pPr>
      <w:r w:rsidRPr="00DB4AEE">
        <w:lastRenderedPageBreak/>
        <w:t xml:space="preserve">In this order, the Federal Energy Regulatory Commission (Commission) </w:t>
      </w:r>
      <w:r w:rsidR="004915BD" w:rsidRPr="00DB4AEE">
        <w:t>denies rehearing of</w:t>
      </w:r>
      <w:r w:rsidRPr="00DB4AEE">
        <w:t xml:space="preserve"> Order No. 771</w:t>
      </w:r>
      <w:r w:rsidR="006533AA">
        <w:rPr>
          <w:rStyle w:val="FootnoteReference"/>
        </w:rPr>
        <w:footnoteReference w:id="2"/>
      </w:r>
      <w:r w:rsidR="00FC633A" w:rsidRPr="00DB4AEE">
        <w:t xml:space="preserve"> </w:t>
      </w:r>
      <w:r w:rsidRPr="00DB4AEE">
        <w:t>with respect to access to e-Tag data for the Commission</w:t>
      </w:r>
      <w:r w:rsidR="00C8463C" w:rsidRPr="00DB4AEE">
        <w:t>,</w:t>
      </w:r>
      <w:r w:rsidRPr="00DB4AEE">
        <w:t xml:space="preserve"> and for Regional Transmission Organizations (RTOs), Independent System Operators (ISOs)</w:t>
      </w:r>
      <w:r w:rsidR="00066140" w:rsidRPr="00DB4AEE">
        <w:t>,</w:t>
      </w:r>
      <w:r w:rsidRPr="00DB4AEE">
        <w:t xml:space="preserve"> and Market Monitoring Units (MMUs)</w:t>
      </w:r>
      <w:r w:rsidR="00066140" w:rsidRPr="00DB4AEE">
        <w:t xml:space="preserve">.  This order also clarifies </w:t>
      </w:r>
      <w:r w:rsidR="009E3FA7" w:rsidRPr="00DB4AEE">
        <w:t>certain issues</w:t>
      </w:r>
      <w:r w:rsidR="00082822" w:rsidRPr="00DB4AEE">
        <w:t>.</w:t>
      </w:r>
    </w:p>
    <w:p w14:paraId="5BB1DA0E" w14:textId="77777777" w:rsidR="00BE1407" w:rsidRPr="00DB4AEE" w:rsidRDefault="00BE1407" w:rsidP="007C14E6">
      <w:pPr>
        <w:pStyle w:val="Heading1"/>
      </w:pPr>
      <w:r w:rsidRPr="00DB4AEE">
        <w:t>Background</w:t>
      </w:r>
      <w:bookmarkStart w:id="2" w:name="_bmk1"/>
    </w:p>
    <w:bookmarkEnd w:id="2"/>
    <w:p w14:paraId="5BB1DA0F" w14:textId="77777777" w:rsidR="00172981" w:rsidRPr="00DB4AEE" w:rsidRDefault="00D03B9A" w:rsidP="00DB4AEE">
      <w:pPr>
        <w:pStyle w:val="FERCparanumber"/>
      </w:pPr>
      <w:r w:rsidRPr="00DB4AEE">
        <w:t xml:space="preserve">On </w:t>
      </w:r>
      <w:r w:rsidR="00E83510" w:rsidRPr="00DB4AEE">
        <w:t>December 2</w:t>
      </w:r>
      <w:r w:rsidR="00C25ED3" w:rsidRPr="00DB4AEE">
        <w:t>0</w:t>
      </w:r>
      <w:r w:rsidRPr="00DB4AEE">
        <w:t>, 2012, the Commission issue</w:t>
      </w:r>
      <w:r w:rsidR="006F1975" w:rsidRPr="00DB4AEE">
        <w:t>d</w:t>
      </w:r>
      <w:r w:rsidR="005E3CCC" w:rsidRPr="00DB4AEE">
        <w:t xml:space="preserve"> Order No. 771,</w:t>
      </w:r>
      <w:r w:rsidRPr="00DB4AEE">
        <w:t xml:space="preserve"> a Final Rule</w:t>
      </w:r>
      <w:r w:rsidR="005E3CCC" w:rsidRPr="00DB4AEE">
        <w:t xml:space="preserve"> that </w:t>
      </w:r>
      <w:r w:rsidR="00E83510" w:rsidRPr="00DB4AEE">
        <w:t>amend</w:t>
      </w:r>
      <w:r w:rsidR="005E3CCC" w:rsidRPr="00DB4AEE">
        <w:t>ed the Commission’s</w:t>
      </w:r>
      <w:r w:rsidR="00E83510" w:rsidRPr="00DB4AEE">
        <w:t xml:space="preserve"> regulations to grant the Commission access, on a non-public and ongoing basis, to the complete electronic tags (e-Tags) used to schedule the transmission of electric power interchange transactions in wholesale markets. </w:t>
      </w:r>
      <w:r w:rsidR="00172981" w:rsidRPr="00DB4AEE">
        <w:t xml:space="preserve"> </w:t>
      </w:r>
      <w:r w:rsidR="00E83510" w:rsidRPr="00DB4AEE">
        <w:t xml:space="preserve">Order </w:t>
      </w:r>
      <w:r w:rsidR="007129A8">
        <w:br/>
      </w:r>
      <w:r w:rsidR="00E83510" w:rsidRPr="00DB4AEE">
        <w:t xml:space="preserve">No. 771 </w:t>
      </w:r>
      <w:r w:rsidR="00691152" w:rsidRPr="00DB4AEE">
        <w:t xml:space="preserve">required </w:t>
      </w:r>
      <w:r w:rsidR="007E0963" w:rsidRPr="00DB4AEE">
        <w:t>e-Tag Authors (through their Agent Service) and Balancing Authorities (through their Authority Service), beginning on March 15, 2013, to take appropriate steps to ensure Commission access to the e-Tags covered by this Final Rule by designating the Commission as an addressee on the e-Tags.</w:t>
      </w:r>
      <w:r w:rsidR="00FC633A" w:rsidRPr="00DB4AEE">
        <w:t xml:space="preserve">  In response to this rule, requests for rehearing</w:t>
      </w:r>
      <w:r w:rsidR="002A435A" w:rsidRPr="00DB4AEE">
        <w:t xml:space="preserve"> and/or clarification</w:t>
      </w:r>
      <w:r w:rsidR="00FC633A" w:rsidRPr="00DB4AEE">
        <w:t xml:space="preserve"> were filed by four entities</w:t>
      </w:r>
      <w:r w:rsidR="00E1352D" w:rsidRPr="00DB4AEE">
        <w:t>.  The National Rural Electric Cooperative Association (NRECA) individually filed a request for rehearing and also filed, together with Edison Electric Institute (EEI), a joint request for rehearing and clarification that included a motion for an expedited response to its motion for an extension of the compliance deadlines prescribed in the rule.  Southern Company Services, Inc. (Southern</w:t>
      </w:r>
      <w:r w:rsidR="001B0159">
        <w:t xml:space="preserve"> Companies</w:t>
      </w:r>
      <w:r w:rsidR="00E1352D" w:rsidRPr="00DB4AEE">
        <w:t xml:space="preserve">) similarly filed a request for rehearing and </w:t>
      </w:r>
      <w:r w:rsidR="00E1352D" w:rsidRPr="00DB4AEE">
        <w:lastRenderedPageBreak/>
        <w:t xml:space="preserve">clarification that included a request for expedited consideration of a request for a time extension.  In addition, Open Access Technology International, Inc. (OATI) filed a request for clarification.  A </w:t>
      </w:r>
      <w:r w:rsidR="00555271" w:rsidRPr="00DB4AEE">
        <w:t xml:space="preserve">motion for leave to answer and answer was filed by </w:t>
      </w:r>
      <w:r w:rsidR="00036827" w:rsidRPr="00DB4AEE">
        <w:t>PJM Interconnection, L.L.C. (</w:t>
      </w:r>
      <w:r w:rsidR="00555271" w:rsidRPr="00DB4AEE">
        <w:t>PJM</w:t>
      </w:r>
      <w:r w:rsidR="00036827" w:rsidRPr="00DB4AEE">
        <w:t>)</w:t>
      </w:r>
      <w:r w:rsidR="00555271" w:rsidRPr="00DB4AEE">
        <w:t xml:space="preserve"> and </w:t>
      </w:r>
      <w:r w:rsidR="00036827" w:rsidRPr="00DB4AEE">
        <w:t>Southwest Power Pool, Inc. (</w:t>
      </w:r>
      <w:r w:rsidR="00555271" w:rsidRPr="00DB4AEE">
        <w:t>SPP</w:t>
      </w:r>
      <w:r w:rsidR="00036827" w:rsidRPr="00DB4AEE">
        <w:t>)</w:t>
      </w:r>
      <w:r w:rsidR="00555271" w:rsidRPr="00DB4AEE">
        <w:t xml:space="preserve"> (</w:t>
      </w:r>
      <w:r w:rsidR="00036827" w:rsidRPr="00DB4AEE">
        <w:t xml:space="preserve">collectively, </w:t>
      </w:r>
      <w:r w:rsidR="00555271" w:rsidRPr="00DB4AEE">
        <w:t>PJM/SPP).</w:t>
      </w:r>
      <w:r w:rsidR="00B35883">
        <w:rPr>
          <w:rStyle w:val="FootnoteReference"/>
        </w:rPr>
        <w:footnoteReference w:id="3"/>
      </w:r>
    </w:p>
    <w:p w14:paraId="5BB1DA10" w14:textId="77777777" w:rsidR="007C14E6" w:rsidRPr="00DB4AEE" w:rsidRDefault="00F32427" w:rsidP="00DB4AEE">
      <w:pPr>
        <w:pStyle w:val="FERCparanumber"/>
      </w:pPr>
      <w:r w:rsidRPr="00F32427">
        <w:t xml:space="preserve">In Order No. 771-A, issued on March 8, 2013, the Commission addressed </w:t>
      </w:r>
      <w:r>
        <w:t>t</w:t>
      </w:r>
      <w:r w:rsidR="00EB4759" w:rsidRPr="00DB4AEE">
        <w:t xml:space="preserve">he </w:t>
      </w:r>
      <w:r w:rsidR="00942DCD" w:rsidRPr="00DB4AEE">
        <w:t xml:space="preserve">issues raised in </w:t>
      </w:r>
      <w:r w:rsidR="00EB4759" w:rsidRPr="00DB4AEE">
        <w:t xml:space="preserve">the requests for rehearing of Order No. 771 that required resolution in order for the industry to comply with the prescribed compliance schedule in Order </w:t>
      </w:r>
      <w:r w:rsidR="001A22C3">
        <w:br/>
        <w:t xml:space="preserve"> </w:t>
      </w:r>
      <w:r w:rsidR="00EB4759" w:rsidRPr="00DB4AEE">
        <w:t>No. 771.</w:t>
      </w:r>
      <w:r w:rsidR="00EB4759" w:rsidRPr="00DB4AEE">
        <w:rPr>
          <w:rStyle w:val="FootnoteReference"/>
        </w:rPr>
        <w:footnoteReference w:id="4"/>
      </w:r>
      <w:r w:rsidR="00EB4759" w:rsidRPr="00DB4AEE">
        <w:t xml:space="preserve">  </w:t>
      </w:r>
      <w:r w:rsidR="006A5B11" w:rsidRPr="00DB4AEE">
        <w:t>In this order, the Commission a</w:t>
      </w:r>
      <w:r w:rsidR="006347E0" w:rsidRPr="00DB4AEE">
        <w:t xml:space="preserve">ddresses </w:t>
      </w:r>
      <w:r w:rsidR="00585FE5" w:rsidRPr="00DB4AEE">
        <w:t xml:space="preserve">the </w:t>
      </w:r>
      <w:r w:rsidR="001A43A0" w:rsidRPr="00DB4AEE">
        <w:t xml:space="preserve">issues raised on rehearing and clarification </w:t>
      </w:r>
      <w:r w:rsidR="00A0667B" w:rsidRPr="00DB4AEE">
        <w:t>in this proceeding that were not</w:t>
      </w:r>
      <w:r w:rsidR="001A43A0" w:rsidRPr="00DB4AEE">
        <w:t xml:space="preserve"> addressed in Order No. 771-A.</w:t>
      </w:r>
      <w:bookmarkStart w:id="3" w:name="_Toc358812822"/>
    </w:p>
    <w:p w14:paraId="5BB1DA11" w14:textId="77777777" w:rsidR="00242335" w:rsidRPr="00DB4AEE" w:rsidRDefault="00585FE5" w:rsidP="001A22C3">
      <w:pPr>
        <w:pStyle w:val="Heading2"/>
      </w:pPr>
      <w:r w:rsidRPr="00DB4AEE">
        <w:t xml:space="preserve">Order No. 771 and </w:t>
      </w:r>
      <w:r w:rsidR="00457036" w:rsidRPr="00DB4AEE">
        <w:t>E</w:t>
      </w:r>
      <w:r w:rsidRPr="00DB4AEE">
        <w:t>-Tags</w:t>
      </w:r>
      <w:bookmarkStart w:id="4" w:name="_bmk2"/>
      <w:bookmarkEnd w:id="3"/>
    </w:p>
    <w:bookmarkEnd w:id="4"/>
    <w:p w14:paraId="5BB1DA12" w14:textId="77777777" w:rsidR="00F750E6" w:rsidRPr="00DB4AEE" w:rsidRDefault="00E0514E" w:rsidP="00DB4AEE">
      <w:pPr>
        <w:pStyle w:val="FERCparanumber"/>
      </w:pPr>
      <w:r w:rsidRPr="00DB4AEE">
        <w:t>E-Tags, also known as Requests for Interchange</w:t>
      </w:r>
      <w:r w:rsidR="00F826D7" w:rsidRPr="00DB4AEE">
        <w:t xml:space="preserve"> (RFI)</w:t>
      </w:r>
      <w:r w:rsidRPr="00DB4AEE">
        <w:t xml:space="preserve">, are used to schedule interchange transactions in wholesale markets.  </w:t>
      </w:r>
      <w:r w:rsidR="00EE6C4D" w:rsidRPr="00DB4AEE">
        <w:t>Generally, e</w:t>
      </w:r>
      <w:r w:rsidR="005E6843" w:rsidRPr="00DB4AEE">
        <w:t xml:space="preserve">-Tags document the movement of energy across an interchange over prescribed physical paths, for a given duration, and for a given energy profile(s), and include information about those entities with financial responsibilities for the receipt and delivery of the energy.  </w:t>
      </w:r>
      <w:r w:rsidR="00BA2864" w:rsidRPr="00DB4AEE">
        <w:t xml:space="preserve">E-Tags contain </w:t>
      </w:r>
      <w:r w:rsidR="00BA2864" w:rsidRPr="00DB4AEE">
        <w:lastRenderedPageBreak/>
        <w:t xml:space="preserve">information about the different types of entities involved in moving power across interchanges, including generators, transmission system operators, energy traders, and Load Serving Entities. </w:t>
      </w:r>
      <w:r w:rsidR="00865FA0" w:rsidRPr="00DB4AEE">
        <w:t xml:space="preserve"> </w:t>
      </w:r>
      <w:r w:rsidR="00EE0F0E" w:rsidRPr="00DB4AEE">
        <w:t xml:space="preserve">The entities listed on e-Tags </w:t>
      </w:r>
      <w:r w:rsidR="00E8530D" w:rsidRPr="00DB4AEE">
        <w:t xml:space="preserve">may </w:t>
      </w:r>
      <w:r w:rsidR="00EE0F0E" w:rsidRPr="00DB4AEE">
        <w:t>include public utilities a</w:t>
      </w:r>
      <w:r w:rsidR="00487350" w:rsidRPr="00DB4AEE">
        <w:t>s well as</w:t>
      </w:r>
      <w:r w:rsidR="00EE0F0E" w:rsidRPr="00DB4AEE">
        <w:t xml:space="preserve"> entities</w:t>
      </w:r>
      <w:r w:rsidR="005A138F" w:rsidRPr="00DB4AEE">
        <w:t xml:space="preserve"> covered by</w:t>
      </w:r>
      <w:r w:rsidR="00EE0F0E" w:rsidRPr="00DB4AEE">
        <w:t xml:space="preserve"> section 201(f)</w:t>
      </w:r>
      <w:r w:rsidR="008621C3" w:rsidRPr="008621C3">
        <w:t xml:space="preserve"> </w:t>
      </w:r>
      <w:r w:rsidR="008621C3">
        <w:t xml:space="preserve">of the </w:t>
      </w:r>
      <w:r w:rsidR="008621C3" w:rsidRPr="008621C3">
        <w:t>Federal Power Act</w:t>
      </w:r>
      <w:r w:rsidR="008621C3">
        <w:t xml:space="preserve"> (FPA)</w:t>
      </w:r>
      <w:r w:rsidR="00EE0F0E" w:rsidRPr="00DB4AEE">
        <w:t>.</w:t>
      </w:r>
      <w:r w:rsidR="00E8530D" w:rsidRPr="00DB4AEE">
        <w:rPr>
          <w:rStyle w:val="FootnoteReference"/>
        </w:rPr>
        <w:footnoteReference w:id="5"/>
      </w:r>
      <w:r w:rsidR="00865FA0" w:rsidRPr="00DB4AEE">
        <w:t xml:space="preserve"> </w:t>
      </w:r>
      <w:r w:rsidR="00BA2864" w:rsidRPr="00DB4AEE">
        <w:t xml:space="preserve"> </w:t>
      </w:r>
      <w:r w:rsidR="00585FE5" w:rsidRPr="00DB4AEE">
        <w:t>I</w:t>
      </w:r>
      <w:r w:rsidR="005E6843" w:rsidRPr="00DB4AEE">
        <w:t>n</w:t>
      </w:r>
      <w:r w:rsidR="00430362" w:rsidRPr="00DB4AEE">
        <w:t xml:space="preserve"> Order No. 771, the Commission </w:t>
      </w:r>
      <w:r w:rsidR="00585FE5" w:rsidRPr="00DB4AEE">
        <w:t xml:space="preserve">found </w:t>
      </w:r>
      <w:r w:rsidR="00430362" w:rsidRPr="00DB4AEE">
        <w:t xml:space="preserve">that access to </w:t>
      </w:r>
      <w:r w:rsidR="00FD16F6" w:rsidRPr="00DB4AEE">
        <w:t xml:space="preserve">complete </w:t>
      </w:r>
      <w:r w:rsidR="00430362" w:rsidRPr="00DB4AEE">
        <w:t>e-Tag data</w:t>
      </w:r>
      <w:r w:rsidR="00FD16F6" w:rsidRPr="00DB4AEE">
        <w:rPr>
          <w:rStyle w:val="FootnoteReference"/>
        </w:rPr>
        <w:footnoteReference w:id="6"/>
      </w:r>
      <w:r w:rsidR="00430362" w:rsidRPr="00DB4AEE">
        <w:t xml:space="preserve"> will help the Commission in its efforts to detect market manipulation and anti-competitive behavior, monitor the efficiency of the markets,</w:t>
      </w:r>
      <w:r w:rsidR="008F0379" w:rsidRPr="00DB4AEE">
        <w:t xml:space="preserve"> </w:t>
      </w:r>
      <w:r w:rsidR="00430362" w:rsidRPr="00DB4AEE">
        <w:t>and better inform Commission policies and decision</w:t>
      </w:r>
      <w:r w:rsidR="00F750E6" w:rsidRPr="00DB4AEE">
        <w:t>-</w:t>
      </w:r>
      <w:r w:rsidR="00430362" w:rsidRPr="00DB4AEE">
        <w:t>making.</w:t>
      </w:r>
      <w:r w:rsidR="00430362" w:rsidRPr="00DB4AEE">
        <w:rPr>
          <w:rStyle w:val="FootnoteReference"/>
        </w:rPr>
        <w:footnoteReference w:id="7"/>
      </w:r>
      <w:r w:rsidR="00887930" w:rsidRPr="00DB4AEE">
        <w:t xml:space="preserve">  Order No. 771 relied on the Commission’s anti-manipulation authority under FPA </w:t>
      </w:r>
      <w:r w:rsidR="001A22C3">
        <w:br/>
      </w:r>
      <w:r w:rsidR="00887930" w:rsidRPr="00DB4AEE">
        <w:lastRenderedPageBreak/>
        <w:t xml:space="preserve">section 222, in conjunction with its investigative authority under FPA section 307(a), </w:t>
      </w:r>
      <w:r w:rsidR="003377B2" w:rsidRPr="00DB4AEE">
        <w:t>to gain</w:t>
      </w:r>
      <w:r w:rsidR="00887930" w:rsidRPr="00DB4AEE">
        <w:t xml:space="preserve"> </w:t>
      </w:r>
      <w:r w:rsidR="00047514" w:rsidRPr="00DB4AEE">
        <w:t xml:space="preserve">Commission </w:t>
      </w:r>
      <w:r w:rsidR="00887930" w:rsidRPr="00DB4AEE">
        <w:t xml:space="preserve">access </w:t>
      </w:r>
      <w:r w:rsidR="00BF5387" w:rsidRPr="00DB4AEE">
        <w:t xml:space="preserve">to </w:t>
      </w:r>
      <w:r w:rsidR="00887930" w:rsidRPr="00DB4AEE">
        <w:t>e-Tag information related to wholesale electricity market transactions.</w:t>
      </w:r>
    </w:p>
    <w:p w14:paraId="5BB1DA13" w14:textId="77777777" w:rsidR="002C0F39" w:rsidRPr="00DB4AEE" w:rsidRDefault="002C0F39" w:rsidP="00DB4AEE">
      <w:pPr>
        <w:pStyle w:val="FERCparanumber"/>
      </w:pPr>
      <w:r w:rsidRPr="00DB4AEE">
        <w:t>Order No. 771 required e-Tag Authors, through their Agent Service, and Balancing Authorities, through their Authority Service, to take appropriate steps to ensure that the Commission is included as an addressee on all e-Tags for interchange transactions scheduled to flow into, out of, or within the United States’ portion of the Eastern or Western Interconnection, or into Electric Reliability Council of Texas</w:t>
      </w:r>
      <w:r w:rsidRPr="00DB4AEE">
        <w:rPr>
          <w:szCs w:val="26"/>
        </w:rPr>
        <w:t xml:space="preserve"> (ERCOT) and</w:t>
      </w:r>
      <w:r w:rsidRPr="00DB4AEE">
        <w:rPr>
          <w:color w:val="FF0000"/>
          <w:szCs w:val="26"/>
        </w:rPr>
        <w:t xml:space="preserve"> </w:t>
      </w:r>
      <w:r w:rsidRPr="00DB4AEE">
        <w:rPr>
          <w:szCs w:val="26"/>
        </w:rPr>
        <w:t>from the United States’ portion of the Eastern or Western Interconnection</w:t>
      </w:r>
      <w:r w:rsidRPr="00DB4AEE">
        <w:t>; or from ERCOT into the United States’ portion of the Eastern or Western Interconnection.</w:t>
      </w:r>
      <w:r w:rsidRPr="00DB4AEE">
        <w:rPr>
          <w:rStyle w:val="FootnoteReference"/>
        </w:rPr>
        <w:footnoteReference w:id="8"/>
      </w:r>
      <w:r w:rsidRPr="00DB4AEE">
        <w:t xml:space="preserve">  The Commission required that the e-Tag Authors include the Commission on the CC list of entities with view-only rights to the e-Tags described above.  Further, the Commission required that the Balancing Authorities (located within the United States) validate the inclusion of the Commission on the CC list of the e-Tags before those e-Tags are electronically delivered to an address specified by the Commission.</w:t>
      </w:r>
      <w:r w:rsidRPr="00DB4AEE">
        <w:rPr>
          <w:rStyle w:val="FootnoteReference"/>
        </w:rPr>
        <w:footnoteReference w:id="9"/>
      </w:r>
    </w:p>
    <w:p w14:paraId="5BB1DA14" w14:textId="77777777" w:rsidR="002C0F39" w:rsidRPr="00DB4AEE" w:rsidRDefault="002C0F39" w:rsidP="00DB4AEE">
      <w:pPr>
        <w:pStyle w:val="FERCparanumber"/>
      </w:pPr>
      <w:r w:rsidRPr="00DB4AEE">
        <w:t>Order No. 771 also required that RTOs, ISOs and their MMUs be afforded access to complete e-Tags, upon request to e-Tag Authors and Authority Services, subject</w:t>
      </w:r>
      <w:r w:rsidR="0013158B" w:rsidRPr="00DB4AEE">
        <w:t xml:space="preserve"> to </w:t>
      </w:r>
      <w:r w:rsidR="0013158B" w:rsidRPr="00DB4AEE">
        <w:lastRenderedPageBreak/>
        <w:t>appropriate confidentiality restrictions</w:t>
      </w:r>
      <w:r w:rsidRPr="00DB4AEE">
        <w:t>.</w:t>
      </w:r>
      <w:r w:rsidR="0013158B" w:rsidRPr="00DB4AEE">
        <w:t xml:space="preserve">  On August 26, 2013, the Commission accepted PJM’s tariff revisions to codify the authority and obligations of PJM and its MMU with respect to obtaining and providing access to complete e-Tags under Order No. 771, subject to the Commission’s order addressing the remaining requests for rehearing of Order No. 771.</w:t>
      </w:r>
      <w:r w:rsidR="0013158B" w:rsidRPr="00DB4AEE">
        <w:rPr>
          <w:rStyle w:val="FootnoteReference"/>
        </w:rPr>
        <w:footnoteReference w:id="10"/>
      </w:r>
      <w:r w:rsidR="0013158B" w:rsidRPr="00DB4AEE">
        <w:t xml:space="preserve">  </w:t>
      </w:r>
      <w:r w:rsidR="0013158B" w:rsidRPr="0053181C">
        <w:t xml:space="preserve">Similarly, </w:t>
      </w:r>
      <w:r w:rsidR="00F32427" w:rsidRPr="00F32427">
        <w:t xml:space="preserve">the </w:t>
      </w:r>
      <w:r w:rsidR="008C1E04">
        <w:t>RTO</w:t>
      </w:r>
      <w:r w:rsidR="00F32427" w:rsidRPr="00F32427">
        <w:t xml:space="preserve"> now known as the Midcontinent Independent System Operator, Inc. (</w:t>
      </w:r>
      <w:r w:rsidR="0013158B" w:rsidRPr="0053181C">
        <w:t>MISO</w:t>
      </w:r>
      <w:r w:rsidR="00F32427">
        <w:t>)</w:t>
      </w:r>
      <w:r w:rsidR="001543CC" w:rsidRPr="00DB4AEE">
        <w:t xml:space="preserve"> filed revisions to its tariff </w:t>
      </w:r>
      <w:r w:rsidR="0013158B" w:rsidRPr="00DB4AEE">
        <w:t>to codify the authority and obligations</w:t>
      </w:r>
      <w:r w:rsidR="0013158B" w:rsidRPr="0053181C">
        <w:t xml:space="preserve"> </w:t>
      </w:r>
      <w:r w:rsidR="00F32427">
        <w:t xml:space="preserve">of MISO and its MMU </w:t>
      </w:r>
      <w:r w:rsidR="0013158B" w:rsidRPr="0053181C">
        <w:t>under Order No. 771</w:t>
      </w:r>
      <w:r w:rsidR="0013158B" w:rsidRPr="00DB4AEE">
        <w:t>.</w:t>
      </w:r>
      <w:r w:rsidR="00854FEF" w:rsidRPr="00DB4AEE">
        <w:rPr>
          <w:rStyle w:val="FootnoteReference"/>
        </w:rPr>
        <w:footnoteReference w:id="11"/>
      </w:r>
    </w:p>
    <w:p w14:paraId="5BB1DA15" w14:textId="77777777" w:rsidR="0044779E" w:rsidRDefault="00F750E6" w:rsidP="00DB4AEE">
      <w:pPr>
        <w:pStyle w:val="FERCparanumber"/>
      </w:pPr>
      <w:r w:rsidRPr="00DB4AEE">
        <w:t>As t</w:t>
      </w:r>
      <w:r w:rsidR="00430362" w:rsidRPr="00DB4AEE">
        <w:t xml:space="preserve">he Commission explained </w:t>
      </w:r>
      <w:r w:rsidRPr="00DB4AEE">
        <w:t xml:space="preserve">in Order No. 771, </w:t>
      </w:r>
      <w:r w:rsidR="00CE0915" w:rsidRPr="00DB4AEE">
        <w:t xml:space="preserve">the Commission </w:t>
      </w:r>
      <w:r w:rsidR="00430362" w:rsidRPr="00DB4AEE">
        <w:t>need</w:t>
      </w:r>
      <w:r w:rsidR="00CE0915" w:rsidRPr="00DB4AEE">
        <w:t>s</w:t>
      </w:r>
      <w:r w:rsidR="00430362" w:rsidRPr="00DB4AEE">
        <w:t xml:space="preserve"> e-Tag data covering all transactions involving interconnected entities listed on the e-Tag because the information is necessary to understand the use of the interconnected electricity grid, and particularly those transactions occurring at interchanges.</w:t>
      </w:r>
      <w:r w:rsidR="00430362" w:rsidRPr="00DB4AEE">
        <w:rPr>
          <w:rStyle w:val="FootnoteReference"/>
        </w:rPr>
        <w:footnoteReference w:id="12"/>
      </w:r>
      <w:r w:rsidR="00430362" w:rsidRPr="00DB4AEE">
        <w:t xml:space="preserve">  </w:t>
      </w:r>
      <w:r w:rsidR="009C476E" w:rsidRPr="00DB4AEE">
        <w:t xml:space="preserve">The Commission also </w:t>
      </w:r>
      <w:r w:rsidR="00CE0915" w:rsidRPr="00DB4AEE">
        <w:t>found in Order No. 771</w:t>
      </w:r>
      <w:r w:rsidR="009C476E" w:rsidRPr="00DB4AEE">
        <w:t xml:space="preserve"> that regular access to e-Tags for power flows across interchanges will make it possible for the Commission to identify or analyze various behavior</w:t>
      </w:r>
      <w:r w:rsidR="008418BA" w:rsidRPr="00DB4AEE">
        <w:t>s</w:t>
      </w:r>
      <w:r w:rsidR="009C476E" w:rsidRPr="00DB4AEE">
        <w:t xml:space="preserve"> by market participants to determine if they are part of a potentially manipulative scheme(s).</w:t>
      </w:r>
      <w:r w:rsidR="009C476E" w:rsidRPr="00DB4AEE">
        <w:rPr>
          <w:rStyle w:val="FootnoteReference"/>
        </w:rPr>
        <w:footnoteReference w:id="13"/>
      </w:r>
      <w:r w:rsidR="00264825" w:rsidRPr="00DB4AEE">
        <w:t xml:space="preserve">  </w:t>
      </w:r>
      <w:r w:rsidR="00113644" w:rsidRPr="00DB4AEE">
        <w:t>As demonstrated by investigations by the Commission’s Office of Enforcement, f</w:t>
      </w:r>
      <w:r w:rsidR="00264825" w:rsidRPr="00DB4AEE">
        <w:t xml:space="preserve">or </w:t>
      </w:r>
      <w:r w:rsidR="00264825" w:rsidRPr="00DB4AEE">
        <w:lastRenderedPageBreak/>
        <w:t>example, e-Tag information can enable the Commission to investigate whether entities may be engaging in manipulative schemes involving the circular scheduling of imports and exports into a market to benefit other positions held by these entities.</w:t>
      </w:r>
      <w:r w:rsidR="00264825" w:rsidRPr="00DB4AEE">
        <w:rPr>
          <w:rStyle w:val="FootnoteReference"/>
        </w:rPr>
        <w:footnoteReference w:id="14"/>
      </w:r>
      <w:r w:rsidR="00CE0915" w:rsidRPr="00DB4AEE">
        <w:t xml:space="preserve"> </w:t>
      </w:r>
      <w:r w:rsidR="00264825" w:rsidRPr="00DB4AEE">
        <w:t xml:space="preserve"> The Commission also noted that e-Tag access will help the Commission to understand, identify, and address instances where interchange pricing methodologies or scheduling rules result in inefficiencies and increased costs to market participants collectively.</w:t>
      </w:r>
      <w:r w:rsidR="00264825" w:rsidRPr="00DB4AEE">
        <w:rPr>
          <w:rStyle w:val="FootnoteReference"/>
        </w:rPr>
        <w:footnoteReference w:id="15"/>
      </w:r>
      <w:r w:rsidR="00264825" w:rsidRPr="00DB4AEE">
        <w:t xml:space="preserve">  </w:t>
      </w:r>
      <w:r w:rsidR="00AD0DA5" w:rsidRPr="00DB4AEE">
        <w:t>The Commission also noted that access to e-Tag information will allow the Commission to determine whether the requirements of the mandatory business practice standard</w:t>
      </w:r>
      <w:r w:rsidR="00113644" w:rsidRPr="00DB4AEE">
        <w:t>s</w:t>
      </w:r>
      <w:r w:rsidR="00AD0DA5" w:rsidRPr="00DB4AEE">
        <w:t xml:space="preserve"> related to e-Tags have been met.</w:t>
      </w:r>
      <w:r w:rsidR="00AD0DA5" w:rsidRPr="00DB4AEE">
        <w:rPr>
          <w:rStyle w:val="FootnoteReference"/>
        </w:rPr>
        <w:footnoteReference w:id="16"/>
      </w:r>
    </w:p>
    <w:p w14:paraId="5BB1DA16" w14:textId="77777777" w:rsidR="00AD0DA5" w:rsidRPr="00DB4AEE" w:rsidRDefault="00EC6BCE" w:rsidP="00DB4AEE">
      <w:pPr>
        <w:pStyle w:val="FERCparanumber"/>
      </w:pPr>
      <w:r w:rsidRPr="00DB4AEE">
        <w:t xml:space="preserve">Since issuance of Order No. 771, the Commission’s experience with obtaining and reviewing e-Tags has shown that this information </w:t>
      </w:r>
      <w:r w:rsidR="0075077B" w:rsidRPr="00DB4AEE">
        <w:t>is</w:t>
      </w:r>
      <w:r w:rsidRPr="00DB4AEE">
        <w:t xml:space="preserve"> helpful in </w:t>
      </w:r>
      <w:r w:rsidR="00CF5BBE" w:rsidRPr="00DB4AEE">
        <w:t>determining whether entities are engaged in certain manipulative schemes, such as the circular scheduling of imports and exports into a market to benefit other positions held by these entities or the</w:t>
      </w:r>
      <w:r w:rsidR="00BF26C2" w:rsidRPr="00DB4AEE">
        <w:t xml:space="preserve"> false designation of transactions to ensure awards of bids at multiple interties</w:t>
      </w:r>
      <w:r w:rsidR="002A169B" w:rsidRPr="00DB4AEE">
        <w:t>.</w:t>
      </w:r>
      <w:r w:rsidR="00F85649" w:rsidRPr="00DB4AEE">
        <w:t xml:space="preserve">  </w:t>
      </w:r>
      <w:r w:rsidR="00F864AF" w:rsidRPr="00DB4AEE">
        <w:t xml:space="preserve">In </w:t>
      </w:r>
      <w:r w:rsidR="00F864AF" w:rsidRPr="00DB4AEE">
        <w:lastRenderedPageBreak/>
        <w:t>addition, t</w:t>
      </w:r>
      <w:r w:rsidR="00F85649" w:rsidRPr="00DB4AEE">
        <w:t xml:space="preserve">he Commission has used e-Tag data to better understand certain aspects of </w:t>
      </w:r>
      <w:r w:rsidR="00562DA0" w:rsidRPr="0053181C">
        <w:t xml:space="preserve">market design and to inform the Commission about </w:t>
      </w:r>
      <w:r w:rsidR="00F864AF" w:rsidRPr="0053181C">
        <w:t>various proceedings</w:t>
      </w:r>
      <w:r w:rsidR="00562DA0" w:rsidRPr="0053181C">
        <w:t>.</w:t>
      </w:r>
      <w:r w:rsidR="00CC1A01" w:rsidRPr="0053181C">
        <w:rPr>
          <w:rStyle w:val="FootnoteReference"/>
        </w:rPr>
        <w:footnoteReference w:id="17"/>
      </w:r>
    </w:p>
    <w:p w14:paraId="5BB1DA17" w14:textId="77777777" w:rsidR="009B6592" w:rsidRPr="0053181C" w:rsidRDefault="00557FAB" w:rsidP="00DB4AEE">
      <w:pPr>
        <w:pStyle w:val="FERCparanumber"/>
        <w:rPr>
          <w:b/>
          <w:u w:val="single"/>
        </w:rPr>
      </w:pPr>
      <w:r w:rsidRPr="00DB4AEE">
        <w:t>R</w:t>
      </w:r>
      <w:r w:rsidR="004650FD" w:rsidRPr="00DB4AEE">
        <w:t xml:space="preserve">equests for rehearing and/or clarification of Order No. 771 were filed by </w:t>
      </w:r>
      <w:r w:rsidR="00707FC2">
        <w:br/>
      </w:r>
      <w:r w:rsidR="004650FD" w:rsidRPr="00DB4AEE">
        <w:t>four entities.</w:t>
      </w:r>
      <w:r w:rsidR="004650FD" w:rsidRPr="00DB4AEE">
        <w:rPr>
          <w:rStyle w:val="FootnoteReference"/>
        </w:rPr>
        <w:footnoteReference w:id="18"/>
      </w:r>
      <w:r w:rsidR="004650FD" w:rsidRPr="00DB4AEE">
        <w:t xml:space="preserve">  </w:t>
      </w:r>
      <w:r w:rsidR="00B928DC" w:rsidRPr="00DB4AEE">
        <w:t xml:space="preserve">On March 8, 2013, the Commission issued an order on rehearing and </w:t>
      </w:r>
      <w:r w:rsidR="00C516EE" w:rsidRPr="00DB4AEE">
        <w:t xml:space="preserve">clarification, </w:t>
      </w:r>
      <w:r w:rsidR="00B928DC" w:rsidRPr="00DB4AEE">
        <w:t>Order No. 771-A</w:t>
      </w:r>
      <w:r w:rsidR="00AD2D24" w:rsidRPr="00DB4AEE">
        <w:t>,</w:t>
      </w:r>
      <w:r w:rsidR="00B928DC" w:rsidRPr="00DB4AEE">
        <w:t xml:space="preserve"> </w:t>
      </w:r>
      <w:r w:rsidR="004837E3" w:rsidRPr="00DB4AEE">
        <w:t>addressing</w:t>
      </w:r>
      <w:r w:rsidR="00B928DC" w:rsidRPr="00DB4AEE">
        <w:t xml:space="preserve"> requests for extensions of time and certain other issues raised in the rehearing </w:t>
      </w:r>
      <w:r w:rsidR="00D73D63" w:rsidRPr="00DB4AEE">
        <w:t xml:space="preserve">and clarification </w:t>
      </w:r>
      <w:r w:rsidR="00B928DC" w:rsidRPr="00DB4AEE">
        <w:t xml:space="preserve">requests, </w:t>
      </w:r>
      <w:r w:rsidR="0044779E">
        <w:t>and</w:t>
      </w:r>
      <w:r w:rsidR="00AB6A82">
        <w:t xml:space="preserve"> clarified</w:t>
      </w:r>
      <w:r w:rsidR="00F32427">
        <w:t>:</w:t>
      </w:r>
      <w:r w:rsidR="00B928DC" w:rsidRPr="00DB4AEE">
        <w:t xml:space="preserve"> </w:t>
      </w:r>
      <w:r w:rsidR="00F32427">
        <w:t xml:space="preserve"> (1) </w:t>
      </w:r>
      <w:r w:rsidR="00B928DC" w:rsidRPr="00DB4AEE">
        <w:t xml:space="preserve">the </w:t>
      </w:r>
      <w:r w:rsidR="00F32427">
        <w:t xml:space="preserve">specifics of the </w:t>
      </w:r>
      <w:r w:rsidR="00D73D63" w:rsidRPr="00DB4AEE">
        <w:t xml:space="preserve">e-Tag </w:t>
      </w:r>
      <w:r w:rsidR="00B928DC" w:rsidRPr="00DB4AEE">
        <w:t>validation requirements of Order No. 771</w:t>
      </w:r>
      <w:r w:rsidR="00D73D63" w:rsidRPr="00DB4AEE">
        <w:t>;</w:t>
      </w:r>
      <w:r w:rsidR="00B928DC" w:rsidRPr="00DB4AEE">
        <w:t xml:space="preserve"> </w:t>
      </w:r>
      <w:r w:rsidR="00F32427">
        <w:t>(2)</w:t>
      </w:r>
      <w:r w:rsidR="00AB6A82">
        <w:t> </w:t>
      </w:r>
      <w:r w:rsidR="00B928DC" w:rsidRPr="00DB4AEE">
        <w:t>the prospective effect of the requirement that the Commission be included in the CC field on e-Tags created on or after March 15, 2013</w:t>
      </w:r>
      <w:r w:rsidR="00D73D63" w:rsidRPr="00DB4AEE">
        <w:t>;</w:t>
      </w:r>
      <w:r w:rsidR="00B928DC" w:rsidRPr="00DB4AEE">
        <w:t xml:space="preserve"> </w:t>
      </w:r>
      <w:r w:rsidR="00AB6A82">
        <w:t xml:space="preserve">(3) </w:t>
      </w:r>
      <w:r w:rsidR="00B928DC" w:rsidRPr="00DB4AEE">
        <w:t xml:space="preserve">the privileged and confidential treatment </w:t>
      </w:r>
      <w:r w:rsidR="00AB6A82">
        <w:t xml:space="preserve">to be afforded to </w:t>
      </w:r>
      <w:r w:rsidR="00B928DC" w:rsidRPr="00DB4AEE">
        <w:t>e-Tag information made available to the Commission under Order No. 771</w:t>
      </w:r>
      <w:r w:rsidR="00D73D63" w:rsidRPr="00DB4AEE">
        <w:t>;</w:t>
      </w:r>
      <w:r w:rsidR="00B928DC" w:rsidRPr="00DB4AEE">
        <w:t xml:space="preserve"> </w:t>
      </w:r>
      <w:r w:rsidR="00AB6A82">
        <w:t>(4) that</w:t>
      </w:r>
      <w:r w:rsidR="00B928DC" w:rsidRPr="00DB4AEE">
        <w:t xml:space="preserve"> the Commission </w:t>
      </w:r>
      <w:r w:rsidR="00AB6A82">
        <w:t xml:space="preserve">is to be afforded </w:t>
      </w:r>
      <w:r w:rsidR="00B928DC" w:rsidRPr="00DB4AEE">
        <w:t xml:space="preserve">access to the Intra-Balancing Authority e-Tags in the same manner as </w:t>
      </w:r>
      <w:r w:rsidR="00AB6A82">
        <w:t xml:space="preserve">for </w:t>
      </w:r>
      <w:r w:rsidR="00B928DC" w:rsidRPr="00DB4AEE">
        <w:t xml:space="preserve">interchange e-Tags; and </w:t>
      </w:r>
      <w:r w:rsidR="00AB6A82">
        <w:t xml:space="preserve">(5) that </w:t>
      </w:r>
      <w:r w:rsidR="00B928DC" w:rsidRPr="00DB4AEE">
        <w:t xml:space="preserve">the requirement </w:t>
      </w:r>
      <w:r w:rsidR="0044779E">
        <w:t>that</w:t>
      </w:r>
      <w:r w:rsidR="00B928DC" w:rsidRPr="00DB4AEE">
        <w:t xml:space="preserve"> Balancing Authorities  ensure </w:t>
      </w:r>
      <w:r w:rsidR="0044779E">
        <w:t xml:space="preserve">the </w:t>
      </w:r>
      <w:r w:rsidR="00B928DC" w:rsidRPr="00DB4AEE">
        <w:t xml:space="preserve">Commission access to e-Tags pertains to the Sink Balancing Authority and not </w:t>
      </w:r>
      <w:r w:rsidR="00B80361" w:rsidRPr="00DB4AEE">
        <w:t xml:space="preserve">to </w:t>
      </w:r>
      <w:r w:rsidR="00B928DC" w:rsidRPr="00DB4AEE">
        <w:t>other Balancing Authorities that may be listed on the e-Tag.</w:t>
      </w:r>
    </w:p>
    <w:p w14:paraId="5BB1DA18" w14:textId="77777777" w:rsidR="00B928DC" w:rsidRPr="00DB4AEE" w:rsidRDefault="00B928DC" w:rsidP="00DB4AEE">
      <w:pPr>
        <w:pStyle w:val="FERCparanumber"/>
        <w:rPr>
          <w:b/>
          <w:u w:val="single"/>
        </w:rPr>
      </w:pPr>
      <w:r w:rsidRPr="00DB4AEE">
        <w:t xml:space="preserve">As </w:t>
      </w:r>
      <w:r w:rsidR="00AB6A82">
        <w:t xml:space="preserve">these issues were already addressed in </w:t>
      </w:r>
      <w:r w:rsidRPr="00DB4AEE">
        <w:t xml:space="preserve">Order No. 771-A, we will not address them again in this order.  This order addresses the remaining issues raised on rehearing, </w:t>
      </w:r>
      <w:r w:rsidRPr="00DB4AEE">
        <w:lastRenderedPageBreak/>
        <w:t xml:space="preserve">including the Commission’s legal authority to access e-Tag data, </w:t>
      </w:r>
      <w:r w:rsidR="00E14DE2" w:rsidRPr="00DB4AEE">
        <w:t xml:space="preserve">the notice and comment procedures used in this proceeding, </w:t>
      </w:r>
      <w:r w:rsidRPr="00DB4AEE">
        <w:t xml:space="preserve">and what confidentiality restrictions should </w:t>
      </w:r>
      <w:r w:rsidRPr="0053181C">
        <w:t>apply to</w:t>
      </w:r>
      <w:r w:rsidR="00C16E13" w:rsidRPr="0053181C">
        <w:t xml:space="preserve"> </w:t>
      </w:r>
      <w:r w:rsidRPr="0053181C">
        <w:t>requests</w:t>
      </w:r>
      <w:r w:rsidR="00C16E13" w:rsidRPr="0053181C">
        <w:t xml:space="preserve"> for e-Tag data by RTOs, ISOs and </w:t>
      </w:r>
      <w:r w:rsidR="00C16E13" w:rsidRPr="00DB4AEE">
        <w:t>MMUs.</w:t>
      </w:r>
    </w:p>
    <w:p w14:paraId="5BB1DA19" w14:textId="77777777" w:rsidR="00335D82" w:rsidRPr="00DB4AEE" w:rsidRDefault="00335D82" w:rsidP="007C14E6">
      <w:pPr>
        <w:pStyle w:val="Heading1"/>
      </w:pPr>
      <w:bookmarkStart w:id="5" w:name="_Toc358812823"/>
      <w:r w:rsidRPr="00DB4AEE">
        <w:t>Discussion</w:t>
      </w:r>
      <w:bookmarkStart w:id="6" w:name="_bmk3"/>
      <w:bookmarkEnd w:id="5"/>
    </w:p>
    <w:bookmarkEnd w:id="6"/>
    <w:p w14:paraId="5BB1DA1A" w14:textId="77777777" w:rsidR="00A72B9E" w:rsidRPr="00DB4AEE" w:rsidRDefault="003F0637" w:rsidP="007C14E6">
      <w:pPr>
        <w:pStyle w:val="Heading2"/>
      </w:pPr>
      <w:r w:rsidRPr="00DB4AEE">
        <w:t>Legal Authority to Require E-Tag Access</w:t>
      </w:r>
      <w:bookmarkStart w:id="7" w:name="_bmk4"/>
    </w:p>
    <w:bookmarkEnd w:id="7"/>
    <w:p w14:paraId="5BB1DA1B" w14:textId="77777777" w:rsidR="00A2208F" w:rsidRPr="00DB4AEE" w:rsidRDefault="003F0637" w:rsidP="00707FC2">
      <w:pPr>
        <w:pStyle w:val="Heading3"/>
      </w:pPr>
      <w:r w:rsidRPr="00DB4AEE">
        <w:t>Requests for Rehearing and Clarification</w:t>
      </w:r>
      <w:bookmarkStart w:id="8" w:name="_bmk5"/>
    </w:p>
    <w:bookmarkEnd w:id="8"/>
    <w:p w14:paraId="5BB1DA1C" w14:textId="77777777" w:rsidR="00491F0C" w:rsidRPr="00DB4AEE" w:rsidRDefault="009A4EE5" w:rsidP="00DB4AEE">
      <w:pPr>
        <w:pStyle w:val="FERCparanumber"/>
      </w:pPr>
      <w:r w:rsidRPr="00DB4AEE">
        <w:t>NRECA argues that Order No. 771 reads sections 222 and 307 of the FPA</w:t>
      </w:r>
      <w:r w:rsidR="00975965" w:rsidRPr="00DB4AEE">
        <w:t xml:space="preserve"> too expansively</w:t>
      </w:r>
      <w:r w:rsidRPr="00DB4AEE">
        <w:t>.</w:t>
      </w:r>
      <w:r w:rsidRPr="00DB4AEE">
        <w:rPr>
          <w:rStyle w:val="FootnoteReference"/>
        </w:rPr>
        <w:footnoteReference w:id="19"/>
      </w:r>
      <w:r w:rsidRPr="00DB4AEE">
        <w:t xml:space="preserve"> </w:t>
      </w:r>
      <w:r w:rsidR="00975965" w:rsidRPr="00DB4AEE">
        <w:t xml:space="preserve"> </w:t>
      </w:r>
      <w:r w:rsidRPr="00DB4AEE">
        <w:t xml:space="preserve">NRECA </w:t>
      </w:r>
      <w:r w:rsidR="0053033C" w:rsidRPr="00DB4AEE">
        <w:t>argue</w:t>
      </w:r>
      <w:r w:rsidRPr="00DB4AEE">
        <w:t>s that</w:t>
      </w:r>
      <w:r w:rsidR="003F59A3" w:rsidRPr="00DB4AEE">
        <w:t>, even if</w:t>
      </w:r>
      <w:r w:rsidRPr="00DB4AEE">
        <w:t xml:space="preserve"> FPA sections 222 and 307(a) give the Commission the authority to obtain e-Tag data in connection with a Commission investigation of a violation of its regulations implementing section 222</w:t>
      </w:r>
      <w:r w:rsidR="003F59A3" w:rsidRPr="00DB4AEE">
        <w:t xml:space="preserve">, </w:t>
      </w:r>
      <w:r w:rsidR="00022B77" w:rsidRPr="00DB4AEE">
        <w:t xml:space="preserve">Order No. 771 requires market participants to turn over information to the Commission on an ongoing basis </w:t>
      </w:r>
      <w:r w:rsidR="00AF310E" w:rsidRPr="00DB4AEE">
        <w:t>without initiating an</w:t>
      </w:r>
      <w:r w:rsidR="00022B77" w:rsidRPr="00DB4AEE">
        <w:t xml:space="preserve"> </w:t>
      </w:r>
      <w:r w:rsidR="00975965" w:rsidRPr="00DB4AEE">
        <w:t>investigation of a statutory violation</w:t>
      </w:r>
      <w:r w:rsidRPr="00DB4AEE">
        <w:t>.</w:t>
      </w:r>
      <w:r w:rsidRPr="00DB4AEE">
        <w:rPr>
          <w:rStyle w:val="FootnoteReference"/>
        </w:rPr>
        <w:footnoteReference w:id="20"/>
      </w:r>
      <w:r w:rsidRPr="00DB4AEE">
        <w:t xml:space="preserve">  </w:t>
      </w:r>
      <w:r w:rsidR="0053033C" w:rsidRPr="00DB4AEE">
        <w:t xml:space="preserve">Furthermore, </w:t>
      </w:r>
      <w:r w:rsidRPr="00DB4AEE">
        <w:t>NRECA</w:t>
      </w:r>
      <w:r w:rsidR="00975965" w:rsidRPr="00DB4AEE">
        <w:t xml:space="preserve"> </w:t>
      </w:r>
      <w:r w:rsidR="0053033C" w:rsidRPr="00DB4AEE">
        <w:t>argues</w:t>
      </w:r>
      <w:r w:rsidR="00975965" w:rsidRPr="00DB4AEE">
        <w:t xml:space="preserve"> that,</w:t>
      </w:r>
      <w:r w:rsidRPr="00DB4AEE">
        <w:t xml:space="preserve"> even if </w:t>
      </w:r>
      <w:r w:rsidR="00975965" w:rsidRPr="00DB4AEE">
        <w:t xml:space="preserve">FPA sections 222 and 307(a) </w:t>
      </w:r>
      <w:r w:rsidRPr="00DB4AEE">
        <w:t>give the Commission the authority to impose this blanket reporting requirement on market participants that are public utilities, the</w:t>
      </w:r>
      <w:r w:rsidR="00BD7238" w:rsidRPr="00DB4AEE">
        <w:t>se provisions</w:t>
      </w:r>
      <w:r w:rsidRPr="00DB4AEE">
        <w:t xml:space="preserve"> do not give the Commission the authority to extend that reporting requirement to the entities listed in FPA section 201(f).</w:t>
      </w:r>
      <w:r w:rsidRPr="00DB4AEE">
        <w:rPr>
          <w:rStyle w:val="FootnoteReference"/>
        </w:rPr>
        <w:footnoteReference w:id="21"/>
      </w:r>
    </w:p>
    <w:p w14:paraId="5BB1DA1D" w14:textId="77777777" w:rsidR="002E0341" w:rsidRPr="00DB4AEE" w:rsidRDefault="006B19B2" w:rsidP="00DB4AEE">
      <w:pPr>
        <w:pStyle w:val="FERCparanumber"/>
      </w:pPr>
      <w:r w:rsidRPr="00DB4AEE">
        <w:t>NRECA also argues that Order No. 771 erroneously conclude</w:t>
      </w:r>
      <w:r w:rsidR="00BB43A0" w:rsidRPr="00DB4AEE">
        <w:t>s</w:t>
      </w:r>
      <w:r w:rsidRPr="00DB4AEE">
        <w:t xml:space="preserve"> that the Commission’s surveillance efforts are encompassed within the Commission’s </w:t>
      </w:r>
      <w:r w:rsidRPr="00DB4AEE">
        <w:lastRenderedPageBreak/>
        <w:t xml:space="preserve">investigative authority under FPA section 307 because section 307(a) does not use the term </w:t>
      </w:r>
      <w:r w:rsidR="002E0341" w:rsidRPr="00DB4AEE">
        <w:t>“</w:t>
      </w:r>
      <w:r w:rsidRPr="00DB4AEE">
        <w:t>surveillance</w:t>
      </w:r>
      <w:r w:rsidR="002E0341" w:rsidRPr="00DB4AEE">
        <w:t xml:space="preserve">” </w:t>
      </w:r>
      <w:r w:rsidRPr="00DB4AEE">
        <w:t>or imply a power to conduct permanent surveillance outside of an actual investigation.</w:t>
      </w:r>
      <w:r w:rsidRPr="00DB4AEE">
        <w:rPr>
          <w:rStyle w:val="FootnoteReference"/>
        </w:rPr>
        <w:footnoteReference w:id="22"/>
      </w:r>
      <w:r w:rsidR="005407A9" w:rsidRPr="00DB4AEE">
        <w:t xml:space="preserve"> </w:t>
      </w:r>
      <w:r w:rsidR="0053181C">
        <w:t xml:space="preserve"> </w:t>
      </w:r>
      <w:r w:rsidR="00EE1328" w:rsidRPr="00DB4AEE">
        <w:t>NRECA contends that the Commission’s</w:t>
      </w:r>
      <w:r w:rsidR="00FD349A" w:rsidRPr="00DB4AEE">
        <w:t xml:space="preserve"> </w:t>
      </w:r>
      <w:r w:rsidR="00CE4EEB" w:rsidRPr="00DB4AEE">
        <w:t>reading of section 307(a) reads the word “investigate” out of the statute</w:t>
      </w:r>
      <w:r w:rsidR="0044779E">
        <w:t>,</w:t>
      </w:r>
      <w:r w:rsidR="00CE4EEB" w:rsidRPr="00DB4AEE">
        <w:t xml:space="preserve"> contrary to principles of statutory construction.</w:t>
      </w:r>
      <w:r w:rsidR="00CE4EEB" w:rsidRPr="00DB4AEE">
        <w:rPr>
          <w:rStyle w:val="FootnoteReference"/>
        </w:rPr>
        <w:footnoteReference w:id="23"/>
      </w:r>
    </w:p>
    <w:p w14:paraId="5BB1DA1E" w14:textId="77777777" w:rsidR="00CE4EEB" w:rsidRPr="00DB4AEE" w:rsidRDefault="00CE4EEB" w:rsidP="00DB4AEE">
      <w:pPr>
        <w:pStyle w:val="FERCparanumber"/>
      </w:pPr>
      <w:r w:rsidRPr="00DB4AEE">
        <w:t xml:space="preserve">NRECA </w:t>
      </w:r>
      <w:r w:rsidR="00491F0C" w:rsidRPr="00DB4AEE">
        <w:t>state</w:t>
      </w:r>
      <w:r w:rsidRPr="00DB4AEE">
        <w:t>s that</w:t>
      </w:r>
      <w:r w:rsidR="00AB6A82">
        <w:t>,</w:t>
      </w:r>
      <w:r w:rsidRPr="00DB4AEE">
        <w:t xml:space="preserve"> by ordering access to e-Tag data on an ongoing basis, </w:t>
      </w:r>
      <w:r w:rsidR="00ED5D09">
        <w:br/>
      </w:r>
      <w:r w:rsidRPr="00DB4AEE">
        <w:t xml:space="preserve">the Commission did not “investigate” a matter as Congress used that term in FPA </w:t>
      </w:r>
      <w:r w:rsidR="00ED5D09">
        <w:br/>
      </w:r>
      <w:r w:rsidRPr="00DB4AEE">
        <w:t>section 307.</w:t>
      </w:r>
      <w:r w:rsidRPr="00DB4AEE">
        <w:rPr>
          <w:rStyle w:val="FootnoteReference"/>
        </w:rPr>
        <w:footnoteReference w:id="24"/>
      </w:r>
      <w:r w:rsidRPr="00DB4AEE">
        <w:t xml:space="preserve">  NRECA </w:t>
      </w:r>
      <w:r w:rsidR="00D632BA" w:rsidRPr="00DB4AEE">
        <w:t>add</w:t>
      </w:r>
      <w:r w:rsidRPr="00DB4AEE">
        <w:t>s that the dictionary meaning of “investigate” is “[t]o observe or inquire into in detail” or “examine systematically”</w:t>
      </w:r>
      <w:r w:rsidRPr="00DB4AEE">
        <w:rPr>
          <w:rStyle w:val="FootnoteReference"/>
        </w:rPr>
        <w:footnoteReference w:id="25"/>
      </w:r>
      <w:r w:rsidRPr="00DB4AEE">
        <w:t xml:space="preserve"> or “to observe or study closely” or “inquire into systematically,” and “to subject to an official probe.”</w:t>
      </w:r>
      <w:r w:rsidRPr="00DB4AEE">
        <w:rPr>
          <w:rStyle w:val="FootnoteReference"/>
        </w:rPr>
        <w:footnoteReference w:id="26"/>
      </w:r>
      <w:r w:rsidRPr="00DB4AEE">
        <w:t xml:space="preserve">  NRECA also states that Black’s Law Dictionary defines “investigate” as “To inquire into (a matter) systematically” or “make an official inquiry.”</w:t>
      </w:r>
      <w:r w:rsidRPr="00DB4AEE">
        <w:rPr>
          <w:rStyle w:val="FootnoteReference"/>
        </w:rPr>
        <w:footnoteReference w:id="27"/>
      </w:r>
      <w:r w:rsidRPr="00DB4AEE">
        <w:t xml:space="preserve">  NRECA argues that Order No. 771 does not use the word in this traditional sense because it orders the “blanket release of a broad class of information on an ongoing basis for purposes of permanent surveillance of an </w:t>
      </w:r>
      <w:r w:rsidRPr="00DB4AEE">
        <w:lastRenderedPageBreak/>
        <w:t>entire industry” rather than conducting a systematic, or detailed inquiry, observation, study or examination of a matter, or official probe or inquiry.</w:t>
      </w:r>
      <w:r w:rsidRPr="00DB4AEE">
        <w:rPr>
          <w:rStyle w:val="FootnoteReference"/>
        </w:rPr>
        <w:footnoteReference w:id="28"/>
      </w:r>
    </w:p>
    <w:p w14:paraId="5BB1DA1F" w14:textId="77777777" w:rsidR="00CE4EEB" w:rsidRPr="00DB4AEE" w:rsidRDefault="00CE4EEB" w:rsidP="00DB4AEE">
      <w:pPr>
        <w:pStyle w:val="FERCparanumber"/>
      </w:pPr>
      <w:r w:rsidRPr="00DB4AEE">
        <w:t xml:space="preserve">NRECA states that </w:t>
      </w:r>
      <w:r w:rsidR="00EE68FD" w:rsidRPr="00DB4AEE">
        <w:t>Order No. 771’s</w:t>
      </w:r>
      <w:r w:rsidRPr="00DB4AEE">
        <w:t xml:space="preserve"> reading of section 307(a) ignores another canon of statutory construction that a particular provision must be read in its context in the overall statute.</w:t>
      </w:r>
      <w:r w:rsidRPr="00DB4AEE">
        <w:rPr>
          <w:rStyle w:val="FootnoteReference"/>
        </w:rPr>
        <w:footnoteReference w:id="29"/>
      </w:r>
      <w:r w:rsidRPr="00DB4AEE">
        <w:t xml:space="preserve">  NRECA argues that </w:t>
      </w:r>
      <w:r w:rsidR="00EE1328" w:rsidRPr="00DB4AEE">
        <w:t xml:space="preserve">the </w:t>
      </w:r>
      <w:r w:rsidRPr="00DB4AEE">
        <w:t xml:space="preserve">FPA’s procedural and administrative provisions in Part III of the FPA distinguish between investigations by the Commission, which are the subject of </w:t>
      </w:r>
      <w:r w:rsidR="006B19B2" w:rsidRPr="00DB4AEE">
        <w:t xml:space="preserve">FPA </w:t>
      </w:r>
      <w:r w:rsidRPr="00DB4AEE">
        <w:t xml:space="preserve">section 307, and periodic and special reporting, the subject </w:t>
      </w:r>
      <w:r w:rsidR="00877E9E" w:rsidRPr="00DB4AEE">
        <w:t>of</w:t>
      </w:r>
      <w:r w:rsidR="006B19B2" w:rsidRPr="00DB4AEE">
        <w:t xml:space="preserve"> FPA</w:t>
      </w:r>
      <w:r w:rsidRPr="00DB4AEE">
        <w:t xml:space="preserve"> section 304.  NRECA states that the structure suggests Congress did not intend the grant of investigative authority in section 307 to carry an implied authority to require the ongoing reporting of information to the Commission without conducting an investigation under section 307 and without complying with the reporting requirements of section 304.</w:t>
      </w:r>
      <w:r w:rsidRPr="00DB4AEE">
        <w:rPr>
          <w:rStyle w:val="FootnoteReference"/>
        </w:rPr>
        <w:footnoteReference w:id="30"/>
      </w:r>
    </w:p>
    <w:p w14:paraId="5BB1DA20" w14:textId="77777777" w:rsidR="00ED17C6" w:rsidRPr="00DB4AEE" w:rsidRDefault="00ED17C6" w:rsidP="00DB4AEE">
      <w:pPr>
        <w:pStyle w:val="FERCparanumber"/>
      </w:pPr>
      <w:r w:rsidRPr="00DB4AEE">
        <w:t xml:space="preserve">NRECA states that FPA section 307(a) only gives the Commission authority to investigate a section 201(f) entity if the Commission independently has jurisdiction to act – </w:t>
      </w:r>
      <w:r w:rsidRPr="00ED5D09">
        <w:t>i.e</w:t>
      </w:r>
      <w:r w:rsidRPr="00DB4AEE">
        <w:rPr>
          <w:i/>
        </w:rPr>
        <w:t>.</w:t>
      </w:r>
      <w:r w:rsidRPr="00DB4AEE">
        <w:t xml:space="preserve">, if the investigation relates to a FPA provision or Commission regulation that applies to a section 201(f) entity.  NRECA contends that, because the Commission’s anti-manipulation rules under FPA section 222 apply to section 201(f) entities, section 307(a) </w:t>
      </w:r>
      <w:r w:rsidRPr="00DB4AEE">
        <w:lastRenderedPageBreak/>
        <w:t xml:space="preserve">authorizes an investigation “in order to determine whether” a section 201(f) entity </w:t>
      </w:r>
      <w:r w:rsidR="00ED5D09">
        <w:br/>
      </w:r>
      <w:r w:rsidRPr="00DB4AEE">
        <w:t xml:space="preserve">“has violated or is about to violate” those Commission rules.  NRECA states that Order No. 771, however, does not initiate or authorize an investigation “in order to determine whether” any entity “has violated or is about to violate” those rules; it imposes an ongoing reporting requirement and does not provide for determinations of such violations.  Therefore, concludes NRECA, FPA section 307(a) does not authorize the Commission to impose reporting requirements on section 201(f) entities.  NRECA states that, even if section 307(a) authorizes investigations “in order . . . to aid . . . in obtaining information about the sale of electric energy at wholesale in interstate commerce and the transmission of electric energy in interstate commerce,” which may justify obtaining </w:t>
      </w:r>
      <w:r w:rsidR="00ED5D09">
        <w:br/>
      </w:r>
      <w:r w:rsidRPr="00DB4AEE">
        <w:t>e-Tag data from public utilities about their sales at wholesale and transmission service, it does not give the Commission the authority to gather e-Tag data from section 201(f) entities because Part II of the FPA does not give the Commission such general regulatory or information-gathering authority as to section 201(f) entities.</w:t>
      </w:r>
    </w:p>
    <w:p w14:paraId="5BB1DA21" w14:textId="77777777" w:rsidR="00CE4EEB" w:rsidRPr="00DB4AEE" w:rsidRDefault="00CE4EEB" w:rsidP="00DB4AEE">
      <w:pPr>
        <w:pStyle w:val="FERCparanumber"/>
      </w:pPr>
      <w:r w:rsidRPr="00DB4AEE">
        <w:t xml:space="preserve">NRECA adds that </w:t>
      </w:r>
      <w:r w:rsidR="005460B8" w:rsidRPr="00DB4AEE">
        <w:t>Order No. 771’s</w:t>
      </w:r>
      <w:r w:rsidRPr="00DB4AEE">
        <w:t xml:space="preserve"> focus on section 307(a) ignores </w:t>
      </w:r>
      <w:r w:rsidR="00ED5D09">
        <w:br/>
      </w:r>
      <w:r w:rsidRPr="00DB4AEE">
        <w:t xml:space="preserve">sections 307(b), 307(c) and 307(d), </w:t>
      </w:r>
      <w:r w:rsidR="00517799" w:rsidRPr="00DB4AEE">
        <w:t>which grant the Commission</w:t>
      </w:r>
      <w:r w:rsidRPr="00DB4AEE">
        <w:t xml:space="preserve"> the power to </w:t>
      </w:r>
      <w:r w:rsidR="00ED5D09">
        <w:br/>
      </w:r>
      <w:r w:rsidRPr="00DB4AEE">
        <w:t xml:space="preserve">administer oaths, subpoena witnesses, and require the production of records under FPA section 307(b), the power to seek the aid of courts to compel testimony or production of </w:t>
      </w:r>
      <w:r w:rsidRPr="00DB4AEE">
        <w:lastRenderedPageBreak/>
        <w:t>documents under section 307(c)</w:t>
      </w:r>
      <w:r w:rsidR="00274549">
        <w:t>,</w:t>
      </w:r>
      <w:r w:rsidRPr="00DB4AEE">
        <w:t xml:space="preserve"> and </w:t>
      </w:r>
      <w:r w:rsidR="00274549">
        <w:t xml:space="preserve">the power to </w:t>
      </w:r>
      <w:r w:rsidRPr="00DB4AEE">
        <w:t>order the taking of testimony by deposition under 307(d)</w:t>
      </w:r>
      <w:r w:rsidR="00517799" w:rsidRPr="00DB4AEE">
        <w:t xml:space="preserve"> in connection with Commission investigations</w:t>
      </w:r>
      <w:r w:rsidRPr="00DB4AEE">
        <w:t>.</w:t>
      </w:r>
      <w:r w:rsidRPr="00DB4AEE">
        <w:rPr>
          <w:rStyle w:val="FootnoteReference"/>
        </w:rPr>
        <w:footnoteReference w:id="31"/>
      </w:r>
    </w:p>
    <w:p w14:paraId="5BB1DA22" w14:textId="77777777" w:rsidR="009A4EE5" w:rsidRPr="00DB4AEE" w:rsidRDefault="009A4EE5" w:rsidP="00DB4AEE">
      <w:pPr>
        <w:pStyle w:val="FERCparanumber"/>
      </w:pPr>
      <w:r w:rsidRPr="00DB4AEE">
        <w:t>In addition, NRECA argues that the Final Rule’s reading of section 307(a) is inconsistent with the Commission’s rules relating to investigations contained in Part 1b of its regulations.</w:t>
      </w:r>
      <w:r w:rsidRPr="00DB4AEE">
        <w:rPr>
          <w:rStyle w:val="FootnoteReference"/>
        </w:rPr>
        <w:footnoteReference w:id="32"/>
      </w:r>
      <w:r w:rsidRPr="00DB4AEE">
        <w:t xml:space="preserve">  NRECA states that these rules apply to all “investigations conducted by the Commission,” including those instituted under FPA section 307(a).  NRECA contends that these rules provide for “formal” and “preliminary” investigations and that the Final Rule does not order an investigation.  NRECA takes issue with the Final Rule’s statement that the Commission need not follow the procedures set forth in Part 1b of the Commission’s regulations because section 307(a) does not prescribe the manner in which the Commission must obtain such information.</w:t>
      </w:r>
      <w:r w:rsidRPr="00DB4AEE">
        <w:rPr>
          <w:rStyle w:val="FootnoteReference"/>
        </w:rPr>
        <w:footnoteReference w:id="33"/>
      </w:r>
      <w:r w:rsidRPr="00DB4AEE">
        <w:t xml:space="preserve">  NRECA states that this suggests the Commission is not bound by its own regulations, but only by statute and that it ignores that Part 1b of the Commission’s regulations applies to all investigations conducted by the Commission.</w:t>
      </w:r>
      <w:r w:rsidRPr="00DB4AEE">
        <w:rPr>
          <w:rStyle w:val="FootnoteReference"/>
        </w:rPr>
        <w:footnoteReference w:id="34"/>
      </w:r>
    </w:p>
    <w:p w14:paraId="5BB1DA23" w14:textId="77777777" w:rsidR="00F112D1" w:rsidRPr="00DB4AEE" w:rsidRDefault="00F112D1" w:rsidP="00DB4AEE">
      <w:pPr>
        <w:pStyle w:val="FERCparanumber"/>
      </w:pPr>
      <w:r w:rsidRPr="00DB4AEE">
        <w:t xml:space="preserve">NRECA also argues that the precedent cited in Order No. 771 does not support the Commission’s reading of its authority under FPA section 307 because those cases did not </w:t>
      </w:r>
      <w:r w:rsidRPr="00DB4AEE">
        <w:lastRenderedPageBreak/>
        <w:t xml:space="preserve">rely on section 307 as the sole or primary legal authority for imposing an ongoing reporting obligation on industry participants and the Commission’s authority in those cases was not challenged.  </w:t>
      </w:r>
      <w:r w:rsidR="00EB092D" w:rsidRPr="00DB4AEE">
        <w:t xml:space="preserve">Furthermore, </w:t>
      </w:r>
      <w:r w:rsidRPr="00DB4AEE">
        <w:t xml:space="preserve">NRECA </w:t>
      </w:r>
      <w:r w:rsidR="007A1207" w:rsidRPr="00DB4AEE">
        <w:t xml:space="preserve">contends that </w:t>
      </w:r>
      <w:r w:rsidRPr="00DB4AEE">
        <w:rPr>
          <w:i/>
        </w:rPr>
        <w:t>United States v. Morton Salt Company</w:t>
      </w:r>
      <w:r w:rsidR="000D67DE" w:rsidRPr="00DB4AEE">
        <w:rPr>
          <w:rStyle w:val="FootnoteReference"/>
        </w:rPr>
        <w:footnoteReference w:id="35"/>
      </w:r>
      <w:r w:rsidR="00F5725E" w:rsidRPr="00DB4AEE">
        <w:t xml:space="preserve"> </w:t>
      </w:r>
      <w:r w:rsidR="007A1207" w:rsidRPr="00DB4AEE">
        <w:t xml:space="preserve">is not precedent for Order No. 771 </w:t>
      </w:r>
      <w:r w:rsidR="00F5725E" w:rsidRPr="00DB4AEE">
        <w:t>because it involved a specific investigation</w:t>
      </w:r>
      <w:r w:rsidR="001F4B89" w:rsidRPr="00DB4AEE">
        <w:t xml:space="preserve"> by the Federal Trade Commission</w:t>
      </w:r>
      <w:r w:rsidR="00F37A2F" w:rsidRPr="00DB4AEE">
        <w:t xml:space="preserve"> (FTC)</w:t>
      </w:r>
      <w:r w:rsidR="00F5725E" w:rsidRPr="00DB4AEE">
        <w:t xml:space="preserve">, not an agency order requiring ongoing reporting </w:t>
      </w:r>
      <w:r w:rsidR="007A1207" w:rsidRPr="00DB4AEE">
        <w:t>by market participants</w:t>
      </w:r>
      <w:r w:rsidR="00F5725E" w:rsidRPr="00DB4AEE">
        <w:t xml:space="preserve"> unconnected to any particular investigation.</w:t>
      </w:r>
      <w:r w:rsidR="00F5725E" w:rsidRPr="00DB4AEE">
        <w:rPr>
          <w:rStyle w:val="FootnoteReference"/>
        </w:rPr>
        <w:footnoteReference w:id="36"/>
      </w:r>
    </w:p>
    <w:p w14:paraId="5BB1DA24" w14:textId="77777777" w:rsidR="00A262F2" w:rsidRPr="00DB4AEE" w:rsidRDefault="00A262F2" w:rsidP="00DB4AEE">
      <w:pPr>
        <w:pStyle w:val="FERCparanumber"/>
      </w:pPr>
      <w:r w:rsidRPr="00DB4AEE">
        <w:t>NRECA also argues that FPA sections 222 and 307(a) do not give the Commission authority to require section 201(f) entities to provide information to the Commission except in connection with a Commission investigation or enforcement proceeding under section 222.</w:t>
      </w:r>
      <w:r w:rsidR="00356202" w:rsidRPr="00DB4AEE">
        <w:rPr>
          <w:rStyle w:val="FootnoteReference"/>
        </w:rPr>
        <w:footnoteReference w:id="37"/>
      </w:r>
      <w:r w:rsidR="00064829" w:rsidRPr="00DB4AEE">
        <w:t xml:space="preserve">  NRECA states that, under FPA section 201(f), no provision in Part II of the FPA applies to FPA section 201(f) without a specific reference to a provision and that FPA section 201(b)(2) confirms that section 222 applies to </w:t>
      </w:r>
      <w:r w:rsidR="00ED5D09">
        <w:br/>
      </w:r>
      <w:r w:rsidR="00064829" w:rsidRPr="00DB4AEE">
        <w:t>section 201(f) entities.  NRECA states that FPA section 307, contained in the procedural and administrative provisions of Part III, does not specifically refer to section 201(f) entities</w:t>
      </w:r>
      <w:r w:rsidR="0016607B" w:rsidRPr="00DB4AEE">
        <w:t xml:space="preserve">.  NRECA states that, while section 307(a) authorizes an investigation by the Commission to determine whether a section 201(f) entity has violated or is about to </w:t>
      </w:r>
      <w:r w:rsidR="0016607B" w:rsidRPr="00DB4AEE">
        <w:lastRenderedPageBreak/>
        <w:t>violate the Commission’s rules under FPA section 222, section 307(a) does not authorize the Commission to gather information from section 201(f) entities on an ongoing basis.</w:t>
      </w:r>
    </w:p>
    <w:p w14:paraId="5BB1DA25" w14:textId="77777777" w:rsidR="00B46D99" w:rsidRPr="00DB4AEE" w:rsidRDefault="00B46D99" w:rsidP="007C14E6">
      <w:pPr>
        <w:pStyle w:val="Heading3"/>
      </w:pPr>
      <w:r w:rsidRPr="00DB4AEE">
        <w:t xml:space="preserve">Commission </w:t>
      </w:r>
      <w:r w:rsidR="008E2E6F" w:rsidRPr="00DB4AEE">
        <w:t>D</w:t>
      </w:r>
      <w:r w:rsidRPr="00DB4AEE">
        <w:t>etermination</w:t>
      </w:r>
      <w:bookmarkStart w:id="9" w:name="_bmk6"/>
    </w:p>
    <w:bookmarkEnd w:id="9"/>
    <w:p w14:paraId="5BB1DA26" w14:textId="77777777" w:rsidR="00EB538F" w:rsidRPr="00DB4AEE" w:rsidRDefault="00E862C4" w:rsidP="00DF56D1">
      <w:pPr>
        <w:pStyle w:val="FERCparanumber"/>
      </w:pPr>
      <w:r w:rsidRPr="00DB4AEE">
        <w:t xml:space="preserve">We deny rehearing.  </w:t>
      </w:r>
      <w:r w:rsidR="002347AE" w:rsidRPr="00DB4AEE">
        <w:t xml:space="preserve">After reviewing the arguments advanced on rehearing, as well as the statutory language of FPA sections 222 and 307(a), we find without merit the arguments that the Commission lacked authority to </w:t>
      </w:r>
      <w:r w:rsidR="00352302" w:rsidRPr="00DB4AEE">
        <w:t>promulgate</w:t>
      </w:r>
      <w:r w:rsidR="002347AE" w:rsidRPr="00DB4AEE">
        <w:t xml:space="preserve"> the regulations that it adopted in Order No. 771.  We believe that </w:t>
      </w:r>
      <w:r w:rsidR="002A7147" w:rsidRPr="00DB4AEE">
        <w:t>Order No. 771</w:t>
      </w:r>
      <w:r w:rsidR="002347AE" w:rsidRPr="00DB4AEE">
        <w:t xml:space="preserve"> is based on a reasonable interpretation of the statutes.</w:t>
      </w:r>
      <w:r w:rsidR="002347AE" w:rsidRPr="00DB4AEE">
        <w:rPr>
          <w:rStyle w:val="FootnoteReference"/>
        </w:rPr>
        <w:footnoteReference w:id="38"/>
      </w:r>
      <w:r w:rsidR="002347AE" w:rsidRPr="00DB4AEE">
        <w:t xml:space="preserve">  </w:t>
      </w:r>
      <w:r w:rsidR="002F2E44" w:rsidRPr="00DB4AEE">
        <w:t>T</w:t>
      </w:r>
      <w:r w:rsidR="00EB538F" w:rsidRPr="00DB4AEE">
        <w:t xml:space="preserve">he arguments on rehearing on this topic </w:t>
      </w:r>
      <w:r w:rsidR="002F2E44" w:rsidRPr="00DB4AEE">
        <w:t xml:space="preserve">raise two main </w:t>
      </w:r>
      <w:r w:rsidR="002A7147" w:rsidRPr="00DB4AEE">
        <w:t>issues</w:t>
      </w:r>
      <w:r w:rsidR="002F2E44" w:rsidRPr="00DB4AEE">
        <w:t xml:space="preserve">.  First, they </w:t>
      </w:r>
      <w:r w:rsidR="00EB538F" w:rsidRPr="00DB4AEE">
        <w:t xml:space="preserve">point to </w:t>
      </w:r>
      <w:r w:rsidR="00B80361" w:rsidRPr="00DB4AEE">
        <w:t xml:space="preserve">one </w:t>
      </w:r>
      <w:r w:rsidR="00EB538F" w:rsidRPr="00DB4AEE">
        <w:t>type of investigation (i.e., an investigation</w:t>
      </w:r>
      <w:r w:rsidR="00B80361" w:rsidRPr="00DB4AEE">
        <w:t xml:space="preserve"> initiated under 18 C</w:t>
      </w:r>
      <w:r w:rsidR="006E0D58" w:rsidRPr="00DB4AEE">
        <w:t>.</w:t>
      </w:r>
      <w:r w:rsidR="00B80361" w:rsidRPr="00DB4AEE">
        <w:t>F</w:t>
      </w:r>
      <w:r w:rsidR="006E0D58" w:rsidRPr="00DB4AEE">
        <w:t>.</w:t>
      </w:r>
      <w:r w:rsidR="00B80361" w:rsidRPr="00DB4AEE">
        <w:t>R</w:t>
      </w:r>
      <w:r w:rsidR="006E0D58" w:rsidRPr="00DB4AEE">
        <w:t>.</w:t>
      </w:r>
      <w:r w:rsidR="00B80361" w:rsidRPr="00DB4AEE">
        <w:t xml:space="preserve"> § 1b) and argue that all </w:t>
      </w:r>
      <w:r w:rsidR="00352302" w:rsidRPr="00DB4AEE">
        <w:t xml:space="preserve">Commission </w:t>
      </w:r>
      <w:r w:rsidR="00B80361" w:rsidRPr="00DB4AEE">
        <w:t xml:space="preserve">investigations must fit this model.  </w:t>
      </w:r>
      <w:r w:rsidR="002F2E44" w:rsidRPr="00DB4AEE">
        <w:t>Second, they assert that the Commission may only collect information</w:t>
      </w:r>
      <w:r w:rsidR="00352302" w:rsidRPr="00DB4AEE">
        <w:t xml:space="preserve"> concerning</w:t>
      </w:r>
      <w:r w:rsidR="00942DCD" w:rsidRPr="00DB4AEE">
        <w:t xml:space="preserve"> public utilities</w:t>
      </w:r>
      <w:r w:rsidR="003C6FB2" w:rsidRPr="00DB4AEE">
        <w:t xml:space="preserve"> </w:t>
      </w:r>
      <w:r w:rsidR="00942DCD" w:rsidRPr="00DB4AEE">
        <w:t xml:space="preserve">and </w:t>
      </w:r>
      <w:r w:rsidR="002F2E44" w:rsidRPr="00DB4AEE">
        <w:t xml:space="preserve">not </w:t>
      </w:r>
      <w:r w:rsidR="00352302" w:rsidRPr="00DB4AEE">
        <w:t xml:space="preserve">information about </w:t>
      </w:r>
      <w:r w:rsidR="002F2E44" w:rsidRPr="00DB4AEE">
        <w:t xml:space="preserve">other entities </w:t>
      </w:r>
      <w:r w:rsidR="00942DCD" w:rsidRPr="00DB4AEE">
        <w:t xml:space="preserve">participating </w:t>
      </w:r>
      <w:r w:rsidR="002F2E44" w:rsidRPr="00DB4AEE">
        <w:t>in wholesale electric markets subject to the Commission’s jurisdiction</w:t>
      </w:r>
      <w:r w:rsidR="00352302" w:rsidRPr="00DB4AEE">
        <w:t>.</w:t>
      </w:r>
      <w:r w:rsidR="002347AE" w:rsidRPr="00DB4AEE">
        <w:t xml:space="preserve">  For the reasons discussed below, we find neither of these arguments persuasive.</w:t>
      </w:r>
      <w:r w:rsidR="00EA38E7" w:rsidRPr="00DB4AEE">
        <w:t xml:space="preserve">  </w:t>
      </w:r>
      <w:r w:rsidR="002F2E44" w:rsidRPr="00DB4AEE">
        <w:t>As to the argument that the Commission may not conduct ongoing investigations, th</w:t>
      </w:r>
      <w:r w:rsidR="009D5575" w:rsidRPr="00DB4AEE">
        <w:t>i</w:t>
      </w:r>
      <w:r w:rsidR="00B80361" w:rsidRPr="00DB4AEE">
        <w:t>s argument ignore</w:t>
      </w:r>
      <w:r w:rsidR="009D5575" w:rsidRPr="00DB4AEE">
        <w:t>s</w:t>
      </w:r>
      <w:r w:rsidR="00B80361" w:rsidRPr="00DB4AEE">
        <w:t xml:space="preserve"> the purposes for which Congress enacted </w:t>
      </w:r>
      <w:r w:rsidR="009D5575" w:rsidRPr="00DB4AEE">
        <w:t>the Energy Policy Act of 2005 (</w:t>
      </w:r>
      <w:proofErr w:type="spellStart"/>
      <w:r w:rsidR="009D5575" w:rsidRPr="00DB4AEE">
        <w:t>EPAct</w:t>
      </w:r>
      <w:proofErr w:type="spellEnd"/>
      <w:r w:rsidR="009D5575" w:rsidRPr="00DB4AEE">
        <w:t xml:space="preserve"> 2005)</w:t>
      </w:r>
      <w:r w:rsidR="00E85FBA" w:rsidRPr="00DB4AEE">
        <w:t xml:space="preserve"> and</w:t>
      </w:r>
      <w:r w:rsidR="00412697" w:rsidRPr="00DB4AEE">
        <w:t xml:space="preserve"> </w:t>
      </w:r>
      <w:r w:rsidR="009D5575" w:rsidRPr="00DB4AEE">
        <w:t xml:space="preserve">the tasks that Congress </w:t>
      </w:r>
      <w:r w:rsidR="00412697" w:rsidRPr="00DB4AEE">
        <w:t>set for</w:t>
      </w:r>
      <w:r w:rsidR="00276CB1" w:rsidRPr="00DB4AEE">
        <w:t>th for</w:t>
      </w:r>
      <w:r w:rsidR="00412697" w:rsidRPr="00DB4AEE">
        <w:t xml:space="preserve"> </w:t>
      </w:r>
      <w:r w:rsidR="009D5575" w:rsidRPr="00DB4AEE">
        <w:t>the Commission to accomplish</w:t>
      </w:r>
      <w:r w:rsidR="0002294B" w:rsidRPr="00DB4AEE">
        <w:t>, including the prevention of market manipulation in energy markets</w:t>
      </w:r>
      <w:r w:rsidR="00E85FBA" w:rsidRPr="00DB4AEE">
        <w:t>.  To accomplish these tasks, Congress granted the Commission greater</w:t>
      </w:r>
      <w:r w:rsidR="009D5575" w:rsidRPr="00DB4AEE">
        <w:t xml:space="preserve"> authority to </w:t>
      </w:r>
      <w:r w:rsidR="00E85FBA" w:rsidRPr="00DB4AEE">
        <w:t xml:space="preserve">investigate and prevent market manipulation and </w:t>
      </w:r>
      <w:r w:rsidR="00276CB1" w:rsidRPr="00DB4AEE">
        <w:t xml:space="preserve">to </w:t>
      </w:r>
      <w:r w:rsidR="00786BEA" w:rsidRPr="00DB4AEE">
        <w:lastRenderedPageBreak/>
        <w:t>assess</w:t>
      </w:r>
      <w:r w:rsidR="00E85FBA" w:rsidRPr="00DB4AEE">
        <w:t xml:space="preserve"> substantial civil fines and criminal penalties</w:t>
      </w:r>
      <w:r w:rsidR="00276CB1" w:rsidRPr="00DB4AEE">
        <w:t>, when</w:t>
      </w:r>
      <w:r w:rsidR="00BB037F" w:rsidRPr="00DB4AEE">
        <w:t xml:space="preserve"> necessary,</w:t>
      </w:r>
      <w:r w:rsidR="00786BEA" w:rsidRPr="00DB4AEE">
        <w:t xml:space="preserve"> to address market manipulation</w:t>
      </w:r>
      <w:r w:rsidR="009D5575" w:rsidRPr="00DB4AEE">
        <w:t>.</w:t>
      </w:r>
    </w:p>
    <w:p w14:paraId="5BB1DA27" w14:textId="77777777" w:rsidR="00FC546F" w:rsidRPr="0053181C" w:rsidRDefault="003532F9" w:rsidP="00FC546F">
      <w:pPr>
        <w:pStyle w:val="FERCparanumber"/>
      </w:pPr>
      <w:r w:rsidRPr="00DB4AEE">
        <w:t xml:space="preserve">Following the restructuring of the wholesale natural gas and electric power industries in the 1990s and 2000s, </w:t>
      </w:r>
      <w:r w:rsidR="00421554" w:rsidRPr="0053181C">
        <w:t xml:space="preserve">the Commission’s enforcement </w:t>
      </w:r>
      <w:r w:rsidR="003338F9" w:rsidRPr="0053181C">
        <w:t>mission became much more complicated</w:t>
      </w:r>
      <w:r w:rsidRPr="00DB4AEE">
        <w:t xml:space="preserve">. </w:t>
      </w:r>
      <w:r w:rsidR="00E01DB0" w:rsidRPr="00DB4AEE">
        <w:t xml:space="preserve"> </w:t>
      </w:r>
      <w:r w:rsidR="007C3F59" w:rsidRPr="00DB4AEE">
        <w:t>In particular</w:t>
      </w:r>
      <w:r w:rsidRPr="00DB4AEE">
        <w:t>,</w:t>
      </w:r>
      <w:r w:rsidR="00421554" w:rsidRPr="0053181C">
        <w:t xml:space="preserve"> </w:t>
      </w:r>
      <w:r w:rsidR="002A7147" w:rsidRPr="00DB4AEE">
        <w:t xml:space="preserve">the </w:t>
      </w:r>
      <w:r w:rsidR="00421554" w:rsidRPr="0053181C">
        <w:t>Commission</w:t>
      </w:r>
      <w:r w:rsidR="003338F9" w:rsidRPr="0053181C">
        <w:t xml:space="preserve"> </w:t>
      </w:r>
      <w:r w:rsidR="00C50DC9" w:rsidRPr="0053181C">
        <w:t>needed</w:t>
      </w:r>
      <w:r w:rsidR="003338F9" w:rsidRPr="0053181C">
        <w:t xml:space="preserve"> to address a new set of enforcement challenges</w:t>
      </w:r>
      <w:r w:rsidR="00E85FBA" w:rsidRPr="00DB4AEE">
        <w:t>, including</w:t>
      </w:r>
      <w:r w:rsidR="00D57EA8" w:rsidRPr="00DB4AEE">
        <w:t xml:space="preserve"> the emergence of </w:t>
      </w:r>
      <w:r w:rsidR="003338F9" w:rsidRPr="0053181C">
        <w:t>new market p</w:t>
      </w:r>
      <w:r w:rsidR="00E85FBA" w:rsidRPr="00DB4AEE">
        <w:t xml:space="preserve">articipants, such </w:t>
      </w:r>
      <w:r w:rsidR="002A7147" w:rsidRPr="00DB4AEE">
        <w:t>as sophisticated energy traders</w:t>
      </w:r>
      <w:r w:rsidR="00D06AB7">
        <w:t xml:space="preserve">, </w:t>
      </w:r>
      <w:r w:rsidR="003338F9" w:rsidRPr="0053181C">
        <w:t>electronic trading tools and platforms</w:t>
      </w:r>
      <w:r w:rsidR="00D06AB7">
        <w:t xml:space="preserve">, </w:t>
      </w:r>
      <w:r w:rsidR="003338F9" w:rsidRPr="0053181C">
        <w:t xml:space="preserve">and new markets involving both physical and financial products related to the power and natural gas industries. </w:t>
      </w:r>
      <w:r w:rsidR="00245311" w:rsidRPr="0053181C">
        <w:t xml:space="preserve"> </w:t>
      </w:r>
      <w:r w:rsidR="00E85FBA" w:rsidRPr="00DB4AEE">
        <w:t xml:space="preserve">Enron and other companies developed manipulation schemes that took advantage of the </w:t>
      </w:r>
      <w:r w:rsidR="00FB45D6">
        <w:t>more</w:t>
      </w:r>
      <w:r w:rsidR="00E85FBA" w:rsidRPr="00DB4AEE">
        <w:t xml:space="preserve"> limited </w:t>
      </w:r>
      <w:r w:rsidR="00FB45D6">
        <w:t>investigative and penalty authorities that the Commission possessed at that time</w:t>
      </w:r>
      <w:r w:rsidR="00102832" w:rsidRPr="00DB4AEE">
        <w:t>.</w:t>
      </w:r>
      <w:r w:rsidR="003101D4">
        <w:t xml:space="preserve">  </w:t>
      </w:r>
      <w:r w:rsidR="009A4E6C" w:rsidRPr="00DB4AEE">
        <w:t>Partly as a result</w:t>
      </w:r>
      <w:r w:rsidR="008F69D7" w:rsidRPr="00DB4AEE">
        <w:t xml:space="preserve"> of the</w:t>
      </w:r>
      <w:r w:rsidR="0009670C">
        <w:t>se</w:t>
      </w:r>
      <w:r w:rsidR="008F69D7" w:rsidRPr="00DB4AEE">
        <w:t xml:space="preserve"> manipulation schemes and the Western Energy Crisis of 2000-2001, Congress </w:t>
      </w:r>
      <w:r w:rsidR="00E44EBD">
        <w:t>directed</w:t>
      </w:r>
      <w:r w:rsidR="008F69D7" w:rsidRPr="00DB4AEE">
        <w:t xml:space="preserve"> </w:t>
      </w:r>
      <w:r w:rsidR="00FC546F" w:rsidRPr="0053181C">
        <w:t xml:space="preserve">the </w:t>
      </w:r>
      <w:r w:rsidR="00804AB1" w:rsidRPr="00DB4AEE">
        <w:t>C</w:t>
      </w:r>
      <w:r w:rsidR="00FC546F" w:rsidRPr="0053181C">
        <w:t xml:space="preserve">ommission </w:t>
      </w:r>
      <w:r w:rsidR="00E46FDC" w:rsidRPr="00DB4AEE">
        <w:t xml:space="preserve">to </w:t>
      </w:r>
      <w:r w:rsidR="00FC546F" w:rsidRPr="0053181C">
        <w:t>take its enforcement responsibilities in a “far bolder” direction.</w:t>
      </w:r>
      <w:r w:rsidR="00464B4B" w:rsidRPr="00DB4AEE">
        <w:rPr>
          <w:rStyle w:val="FootnoteReference"/>
        </w:rPr>
        <w:footnoteReference w:id="39"/>
      </w:r>
      <w:r w:rsidR="00FC546F" w:rsidRPr="0053181C">
        <w:t xml:space="preserve">  </w:t>
      </w:r>
      <w:r w:rsidR="00E73F5E">
        <w:t xml:space="preserve">At a </w:t>
      </w:r>
      <w:r w:rsidR="00A01E96">
        <w:t xml:space="preserve">Congressional </w:t>
      </w:r>
      <w:r w:rsidR="00E73F5E">
        <w:t>hearing on the Commission’s oversight of Enron, t</w:t>
      </w:r>
      <w:r w:rsidR="00A01E96">
        <w:t>he Chairman of t</w:t>
      </w:r>
      <w:r w:rsidR="00FC546F" w:rsidRPr="0053181C">
        <w:t xml:space="preserve">he Senate Governmental Affairs Committee </w:t>
      </w:r>
      <w:r w:rsidR="00A01E96">
        <w:t>stated</w:t>
      </w:r>
      <w:r w:rsidR="00A32164">
        <w:t xml:space="preserve"> </w:t>
      </w:r>
      <w:r w:rsidR="00FC546F" w:rsidRPr="0053181C">
        <w:t>that</w:t>
      </w:r>
      <w:r w:rsidR="00A32164">
        <w:t xml:space="preserve">: </w:t>
      </w:r>
      <w:r w:rsidR="00FC546F" w:rsidRPr="0053181C">
        <w:t xml:space="preserve"> “Members of both parties on the Committee [share the interest] </w:t>
      </w:r>
      <w:r w:rsidR="00FC546F" w:rsidRPr="0053181C">
        <w:lastRenderedPageBreak/>
        <w:t>that FERC learn . . . from the Enron scandal and . . . [be] as aggressive and sophisticated as the players out in the deregulated energy market . . . .”</w:t>
      </w:r>
      <w:r w:rsidR="009B68BC">
        <w:rPr>
          <w:rStyle w:val="FootnoteReference"/>
        </w:rPr>
        <w:footnoteReference w:id="40"/>
      </w:r>
    </w:p>
    <w:p w14:paraId="5BB1DA28" w14:textId="77777777" w:rsidR="00496187" w:rsidRPr="0053181C" w:rsidRDefault="00E44EBD" w:rsidP="00DB4AEE">
      <w:pPr>
        <w:pStyle w:val="FERCparanumber"/>
      </w:pPr>
      <w:r>
        <w:t xml:space="preserve">In response to these developments, </w:t>
      </w:r>
      <w:r w:rsidR="00FC546F" w:rsidRPr="0053181C">
        <w:t>Congress</w:t>
      </w:r>
      <w:r w:rsidR="00454E33">
        <w:t xml:space="preserve"> </w:t>
      </w:r>
      <w:r w:rsidR="00FC546F" w:rsidRPr="0053181C">
        <w:t>enact</w:t>
      </w:r>
      <w:r>
        <w:t>ed</w:t>
      </w:r>
      <w:r w:rsidR="00FC546F" w:rsidRPr="0053181C">
        <w:t xml:space="preserve"> </w:t>
      </w:r>
      <w:proofErr w:type="spellStart"/>
      <w:r w:rsidR="00412697" w:rsidRPr="0053181C">
        <w:t>EPAct</w:t>
      </w:r>
      <w:proofErr w:type="spellEnd"/>
      <w:r w:rsidR="00412697" w:rsidRPr="0053181C">
        <w:t xml:space="preserve"> 2005, </w:t>
      </w:r>
      <w:r w:rsidR="00FC546F" w:rsidRPr="0053181C">
        <w:t>which</w:t>
      </w:r>
      <w:r w:rsidR="004F5CD3" w:rsidRPr="0053181C">
        <w:t xml:space="preserve"> gave the Commission significant new authority to police energy markets and energy market manipulation.  Congress also enhanced </w:t>
      </w:r>
      <w:r w:rsidR="00FC546F" w:rsidRPr="0053181C">
        <w:t xml:space="preserve">the Commission’s </w:t>
      </w:r>
      <w:r w:rsidR="004F5CD3" w:rsidRPr="0053181C">
        <w:t>penalty authorities to ensure that adequate sanctions c</w:t>
      </w:r>
      <w:r w:rsidR="00412697" w:rsidRPr="0053181C">
        <w:t>ould</w:t>
      </w:r>
      <w:r w:rsidR="004F5CD3" w:rsidRPr="0053181C">
        <w:t xml:space="preserve"> be levied for unlawful conduct.</w:t>
      </w:r>
      <w:r w:rsidR="00FC546F" w:rsidRPr="0053181C">
        <w:t xml:space="preserve"> </w:t>
      </w:r>
      <w:r w:rsidR="004F5CD3" w:rsidRPr="0053181C">
        <w:t xml:space="preserve"> </w:t>
      </w:r>
      <w:r w:rsidR="00942DCD" w:rsidRPr="0053181C">
        <w:t xml:space="preserve">It was </w:t>
      </w:r>
      <w:r w:rsidR="00483C93" w:rsidRPr="0053181C">
        <w:t>in</w:t>
      </w:r>
      <w:r>
        <w:t xml:space="preserve"> response to </w:t>
      </w:r>
      <w:r w:rsidR="009B68BC">
        <w:br/>
      </w:r>
      <w:r>
        <w:t>this Congressional direction</w:t>
      </w:r>
      <w:r w:rsidR="00483C93" w:rsidRPr="0053181C">
        <w:t xml:space="preserve"> </w:t>
      </w:r>
      <w:r w:rsidR="00412697" w:rsidRPr="0053181C">
        <w:t xml:space="preserve">that the Commission undertook </w:t>
      </w:r>
      <w:r>
        <w:t>its</w:t>
      </w:r>
      <w:r w:rsidR="00412697" w:rsidRPr="0053181C">
        <w:t xml:space="preserve"> new </w:t>
      </w:r>
      <w:r>
        <w:t xml:space="preserve">enforcement </w:t>
      </w:r>
      <w:r w:rsidR="00412697" w:rsidRPr="0053181C">
        <w:t>responsibilities</w:t>
      </w:r>
      <w:r>
        <w:t xml:space="preserve"> and</w:t>
      </w:r>
      <w:r w:rsidR="00412697" w:rsidRPr="0053181C">
        <w:t xml:space="preserve"> interpreted </w:t>
      </w:r>
      <w:r w:rsidR="00E63443" w:rsidRPr="00DB4AEE">
        <w:t>its anti-manipulation authority under FPA section 222 and its investigative authority under FPA section 307(a),</w:t>
      </w:r>
      <w:r w:rsidR="00BB4A8C" w:rsidRPr="0053181C">
        <w:t xml:space="preserve"> </w:t>
      </w:r>
      <w:r w:rsidR="00412697" w:rsidRPr="0053181C">
        <w:t>a</w:t>
      </w:r>
      <w:r w:rsidR="00BB4A8C" w:rsidRPr="0053181C">
        <w:t>s</w:t>
      </w:r>
      <w:r w:rsidR="00412697" w:rsidRPr="0053181C">
        <w:t xml:space="preserve"> rev</w:t>
      </w:r>
      <w:r w:rsidR="00BB4A8C" w:rsidRPr="0053181C">
        <w:t xml:space="preserve">ised by </w:t>
      </w:r>
      <w:proofErr w:type="spellStart"/>
      <w:r w:rsidR="00BB4A8C" w:rsidRPr="0053181C">
        <w:t>EPAct</w:t>
      </w:r>
      <w:proofErr w:type="spellEnd"/>
      <w:r w:rsidR="00BB4A8C" w:rsidRPr="0053181C">
        <w:t xml:space="preserve"> 2005</w:t>
      </w:r>
      <w:r w:rsidR="00BD556F" w:rsidRPr="0053181C">
        <w:t>.</w:t>
      </w:r>
      <w:r w:rsidR="005A4080">
        <w:rPr>
          <w:rStyle w:val="FootnoteReference"/>
        </w:rPr>
        <w:footnoteReference w:id="41"/>
      </w:r>
      <w:r w:rsidR="00496187">
        <w:t xml:space="preserve">  </w:t>
      </w:r>
    </w:p>
    <w:p w14:paraId="5BB1DA29" w14:textId="77777777" w:rsidR="00CF510A" w:rsidRPr="00DB4AEE" w:rsidRDefault="00BD556F" w:rsidP="00496187">
      <w:pPr>
        <w:pStyle w:val="FERCparanumber"/>
      </w:pPr>
      <w:r w:rsidRPr="0053181C">
        <w:t xml:space="preserve">We believe that Congress intended </w:t>
      </w:r>
      <w:r w:rsidR="005219B1">
        <w:t xml:space="preserve">to </w:t>
      </w:r>
      <w:r w:rsidRPr="0053181C">
        <w:t>g</w:t>
      </w:r>
      <w:r w:rsidR="005219B1">
        <w:t>i</w:t>
      </w:r>
      <w:r w:rsidRPr="0053181C">
        <w:t xml:space="preserve">ve the Commission </w:t>
      </w:r>
      <w:r w:rsidR="00D06AB7">
        <w:t>more powerful</w:t>
      </w:r>
      <w:r w:rsidRPr="0053181C">
        <w:t xml:space="preserve"> tools to </w:t>
      </w:r>
      <w:r w:rsidR="00E44EBD">
        <w:t xml:space="preserve">proactively </w:t>
      </w:r>
      <w:r w:rsidRPr="0053181C">
        <w:t xml:space="preserve">investigate and </w:t>
      </w:r>
      <w:r w:rsidR="00E44EBD">
        <w:t xml:space="preserve">prevent market manipulation </w:t>
      </w:r>
      <w:r w:rsidRPr="0053181C">
        <w:t xml:space="preserve">by </w:t>
      </w:r>
      <w:r w:rsidR="00950EF0" w:rsidRPr="0053181C">
        <w:t xml:space="preserve">enacting </w:t>
      </w:r>
      <w:proofErr w:type="spellStart"/>
      <w:r w:rsidR="00950EF0" w:rsidRPr="0053181C">
        <w:t>EPAct</w:t>
      </w:r>
      <w:proofErr w:type="spellEnd"/>
      <w:r w:rsidR="00950EF0" w:rsidRPr="0053181C">
        <w:t xml:space="preserve"> 2005.</w:t>
      </w:r>
      <w:r w:rsidR="00C644F2" w:rsidRPr="0053181C">
        <w:t xml:space="preserve"> </w:t>
      </w:r>
      <w:r w:rsidR="00510C92" w:rsidRPr="00DB4AEE">
        <w:t xml:space="preserve"> </w:t>
      </w:r>
      <w:r w:rsidR="00A40243" w:rsidRPr="00DB4AEE">
        <w:t>At</w:t>
      </w:r>
      <w:r w:rsidR="00B564ED" w:rsidRPr="00DB4AEE">
        <w:t xml:space="preserve"> the same time</w:t>
      </w:r>
      <w:r w:rsidR="00437178" w:rsidRPr="00DB4AEE">
        <w:t xml:space="preserve"> that Congres</w:t>
      </w:r>
      <w:r w:rsidR="00CB12C5" w:rsidRPr="00DB4AEE">
        <w:t xml:space="preserve">s </w:t>
      </w:r>
      <w:r w:rsidR="00AB14FC" w:rsidRPr="00DB4AEE">
        <w:t>granted the</w:t>
      </w:r>
      <w:r w:rsidR="009C360E" w:rsidRPr="00DB4AEE">
        <w:t xml:space="preserve"> Commission </w:t>
      </w:r>
      <w:r w:rsidR="002E0341" w:rsidRPr="00DB4AEE">
        <w:t xml:space="preserve">significant </w:t>
      </w:r>
      <w:r w:rsidR="00CB12C5" w:rsidRPr="00DB4AEE">
        <w:t>anti-manipulation authority</w:t>
      </w:r>
      <w:r w:rsidR="00437178" w:rsidRPr="00DB4AEE">
        <w:t xml:space="preserve">, </w:t>
      </w:r>
      <w:r w:rsidR="00B6303F" w:rsidRPr="00DB4AEE">
        <w:t xml:space="preserve">it also </w:t>
      </w:r>
      <w:r w:rsidR="00B564ED" w:rsidRPr="00DB4AEE">
        <w:t>amended section 307(a) of the FPA</w:t>
      </w:r>
      <w:r w:rsidR="00B6303F" w:rsidRPr="00DB4AEE">
        <w:t xml:space="preserve"> </w:t>
      </w:r>
      <w:r w:rsidR="00223A0A" w:rsidRPr="00DB4AEE">
        <w:t>to expand</w:t>
      </w:r>
      <w:r w:rsidR="00B6303F" w:rsidRPr="00DB4AEE">
        <w:t xml:space="preserve"> the Commission’s investigative authority</w:t>
      </w:r>
      <w:r w:rsidR="00486AB4" w:rsidRPr="00DB4AEE">
        <w:t>.</w:t>
      </w:r>
      <w:r w:rsidR="000C0176" w:rsidRPr="00DB4AEE">
        <w:rPr>
          <w:rStyle w:val="FootnoteReference"/>
        </w:rPr>
        <w:footnoteReference w:id="42"/>
      </w:r>
      <w:r w:rsidR="00486AB4" w:rsidRPr="00DB4AEE">
        <w:t xml:space="preserve">  In particular, Congress authorized</w:t>
      </w:r>
      <w:r w:rsidR="00AB14FC" w:rsidRPr="00DB4AEE">
        <w:t xml:space="preserve"> the Commission</w:t>
      </w:r>
      <w:r w:rsidR="00881E30" w:rsidRPr="00DB4AEE">
        <w:t xml:space="preserve"> to investigate in order to </w:t>
      </w:r>
      <w:r w:rsidR="00881E30" w:rsidRPr="00DB4AEE">
        <w:lastRenderedPageBreak/>
        <w:t>“</w:t>
      </w:r>
      <w:proofErr w:type="gramStart"/>
      <w:r w:rsidR="00881E30" w:rsidRPr="00DB4AEE">
        <w:t>obtain[</w:t>
      </w:r>
      <w:proofErr w:type="gramEnd"/>
      <w:r w:rsidR="00881E30" w:rsidRPr="00DB4AEE">
        <w:t>] information</w:t>
      </w:r>
      <w:r w:rsidR="00A03B09" w:rsidRPr="00DB4AEE">
        <w:t xml:space="preserve"> </w:t>
      </w:r>
      <w:r w:rsidR="00174239" w:rsidRPr="00DB4AEE">
        <w:t xml:space="preserve">about the sale of electric energy in interstate commerce and the transmission of electric energy in interstate commerce” </w:t>
      </w:r>
      <w:r w:rsidR="00F80682" w:rsidRPr="00DB4AEE">
        <w:t xml:space="preserve">and </w:t>
      </w:r>
      <w:r w:rsidR="00174239" w:rsidRPr="00DB4AEE">
        <w:t xml:space="preserve">to determine whether any person, </w:t>
      </w:r>
      <w:r w:rsidR="005B5B7C" w:rsidRPr="00DB4AEE">
        <w:t>“</w:t>
      </w:r>
      <w:r w:rsidR="00F80682" w:rsidRPr="00DB4AEE">
        <w:t>electric utility, transmitting utility, or other entity</w:t>
      </w:r>
      <w:r w:rsidR="0072252B" w:rsidRPr="00DB4AEE">
        <w:t>”</w:t>
      </w:r>
      <w:r w:rsidR="00F80682" w:rsidRPr="00DB4AEE">
        <w:t xml:space="preserve"> has violated or is about to violate any provisions of the FPA, Commission rules, regulations or orders</w:t>
      </w:r>
      <w:r w:rsidR="00B6303F" w:rsidRPr="00DB4AEE">
        <w:t>.</w:t>
      </w:r>
      <w:r w:rsidR="00B6303F" w:rsidRPr="00DB4AEE">
        <w:rPr>
          <w:rStyle w:val="FootnoteReference"/>
        </w:rPr>
        <w:footnoteReference w:id="43"/>
      </w:r>
      <w:r w:rsidR="00CF510A" w:rsidRPr="00DB4AEE">
        <w:t xml:space="preserve"> </w:t>
      </w:r>
      <w:r w:rsidR="00CB12C5" w:rsidRPr="00DB4AEE">
        <w:t xml:space="preserve"> </w:t>
      </w:r>
      <w:r w:rsidR="00BE2EDF" w:rsidRPr="00DB4AEE">
        <w:t>Thus, u</w:t>
      </w:r>
      <w:r w:rsidR="009C360E" w:rsidRPr="00DB4AEE">
        <w:t>nder FPA section 307(a), the Commission “may investigate any facts, conditions, practices, or matters which it may find necessary or proper”</w:t>
      </w:r>
      <w:r w:rsidR="000D301A" w:rsidRPr="00DB4AEE">
        <w:t xml:space="preserve"> </w:t>
      </w:r>
      <w:r w:rsidR="00D66EF2" w:rsidRPr="00DB4AEE">
        <w:t>in furtherance of</w:t>
      </w:r>
      <w:r w:rsidR="00533FEE" w:rsidRPr="00DB4AEE">
        <w:t xml:space="preserve"> the following goals</w:t>
      </w:r>
      <w:r w:rsidR="000D301A" w:rsidRPr="00DB4AEE">
        <w:t>:</w:t>
      </w:r>
      <w:r w:rsidR="00677995" w:rsidRPr="00DB4AEE">
        <w:t xml:space="preserve">  (1)</w:t>
      </w:r>
      <w:r w:rsidR="00D66EF2" w:rsidRPr="00DB4AEE">
        <w:t xml:space="preserve"> to</w:t>
      </w:r>
      <w:r w:rsidR="00677995" w:rsidRPr="00DB4AEE">
        <w:t xml:space="preserve"> </w:t>
      </w:r>
      <w:r w:rsidR="009C360E" w:rsidRPr="00DB4AEE">
        <w:t>determine whether any person</w:t>
      </w:r>
      <w:r w:rsidR="005B23B0" w:rsidRPr="00DB4AEE">
        <w:t xml:space="preserve">, electric utility, transmitting utility, or other </w:t>
      </w:r>
      <w:r w:rsidR="009C360E" w:rsidRPr="00DB4AEE">
        <w:t>entity has violated or is about to violate any provisions of the FPA or Commission rules, regulations or orders; (2)</w:t>
      </w:r>
      <w:r w:rsidR="00D66EF2" w:rsidRPr="00DB4AEE">
        <w:t xml:space="preserve"> to</w:t>
      </w:r>
      <w:r w:rsidR="009C360E" w:rsidRPr="00DB4AEE">
        <w:t xml:space="preserve"> aid in the enforcement of provisions of the FPA or in prescribing rules or regulations; (3) </w:t>
      </w:r>
      <w:r w:rsidR="00D66EF2" w:rsidRPr="00DB4AEE">
        <w:t xml:space="preserve">to </w:t>
      </w:r>
      <w:r w:rsidR="00677995" w:rsidRPr="00DB4AEE">
        <w:t>obtain</w:t>
      </w:r>
      <w:r w:rsidR="009C360E" w:rsidRPr="00DB4AEE">
        <w:t xml:space="preserve"> information to serve as a basis for recommending legislation; or</w:t>
      </w:r>
      <w:r w:rsidR="00677995" w:rsidRPr="00DB4AEE">
        <w:t xml:space="preserve"> (4) </w:t>
      </w:r>
      <w:r w:rsidR="00D66EF2" w:rsidRPr="00DB4AEE">
        <w:t xml:space="preserve">to </w:t>
      </w:r>
      <w:r w:rsidR="00677995" w:rsidRPr="00DB4AEE">
        <w:t>obtain information about the sale</w:t>
      </w:r>
      <w:r w:rsidR="003178DF" w:rsidRPr="00DB4AEE">
        <w:t xml:space="preserve"> and transmission</w:t>
      </w:r>
      <w:r w:rsidR="00677995" w:rsidRPr="00DB4AEE">
        <w:t xml:space="preserve"> of electric energy in interstate commerce.</w:t>
      </w:r>
      <w:r w:rsidR="00D06AB7" w:rsidRPr="00D06AB7">
        <w:t xml:space="preserve"> </w:t>
      </w:r>
      <w:r w:rsidR="00D06AB7">
        <w:t xml:space="preserve"> </w:t>
      </w:r>
      <w:r w:rsidR="00D06AB7" w:rsidRPr="00D06AB7">
        <w:t>Congress provided these tools so that the Commission could more effectively investigate and prevent market manipulation.</w:t>
      </w:r>
      <w:r w:rsidR="00F46459">
        <w:t xml:space="preserve">  </w:t>
      </w:r>
      <w:r w:rsidR="00F46459">
        <w:lastRenderedPageBreak/>
        <w:t>The broad language in the statute clearly reflects a Congressional directive to be proactive in understanding the markets and deterring manipulation.</w:t>
      </w:r>
    </w:p>
    <w:p w14:paraId="5BB1DA2A" w14:textId="77777777" w:rsidR="00B25645" w:rsidRPr="00DB4AEE" w:rsidRDefault="00CD1CC8" w:rsidP="00DB4AEE">
      <w:pPr>
        <w:pStyle w:val="FERCparanumber"/>
      </w:pPr>
      <w:r w:rsidRPr="00DB4AEE">
        <w:t xml:space="preserve">As </w:t>
      </w:r>
      <w:r w:rsidR="00CA0CE9" w:rsidRPr="00DB4AEE">
        <w:t>explaine</w:t>
      </w:r>
      <w:r w:rsidRPr="00DB4AEE">
        <w:t xml:space="preserve">d in Order No. 771, </w:t>
      </w:r>
      <w:r w:rsidR="003178DF" w:rsidRPr="00DB4AEE">
        <w:t xml:space="preserve">e-Tag data, which is used to schedule the transmission of electric power interchange transactions in wholesale markets, </w:t>
      </w:r>
      <w:r w:rsidR="00CF510A" w:rsidRPr="00DB4AEE">
        <w:t>provides</w:t>
      </w:r>
      <w:r w:rsidR="003178DF" w:rsidRPr="00DB4AEE">
        <w:t xml:space="preserve"> information about the sale and transmission of electric energy in interstate commerce covered by FPA section 307(a).</w:t>
      </w:r>
      <w:r w:rsidRPr="00DB4AEE">
        <w:rPr>
          <w:rStyle w:val="FootnoteReference"/>
        </w:rPr>
        <w:footnoteReference w:id="44"/>
      </w:r>
      <w:r w:rsidRPr="00DB4AEE">
        <w:t xml:space="preserve">  </w:t>
      </w:r>
      <w:r w:rsidR="00ED0223" w:rsidRPr="00DB4AEE">
        <w:t>E</w:t>
      </w:r>
      <w:r w:rsidR="001A08C1" w:rsidRPr="00DB4AEE">
        <w:t xml:space="preserve">-Tag data falls </w:t>
      </w:r>
      <w:r w:rsidR="00533FEE" w:rsidRPr="00DB4AEE">
        <w:t xml:space="preserve">squarely </w:t>
      </w:r>
      <w:r w:rsidR="001A08C1" w:rsidRPr="00DB4AEE">
        <w:t xml:space="preserve">within the scope of information about electric sales and transmission </w:t>
      </w:r>
      <w:r w:rsidR="00D66EF2" w:rsidRPr="00DB4AEE">
        <w:t xml:space="preserve">described </w:t>
      </w:r>
      <w:r w:rsidR="001A08C1" w:rsidRPr="00DB4AEE">
        <w:t>in section 307(a)</w:t>
      </w:r>
      <w:r w:rsidR="000848B7" w:rsidRPr="00DB4AEE">
        <w:t xml:space="preserve"> that the Commission is authorized to obtain</w:t>
      </w:r>
      <w:r w:rsidR="001A08C1" w:rsidRPr="00DB4AEE">
        <w:t xml:space="preserve">.  </w:t>
      </w:r>
      <w:r w:rsidR="000848B7" w:rsidRPr="00DB4AEE">
        <w:t xml:space="preserve">In addition, </w:t>
      </w:r>
      <w:r w:rsidR="001A08C1" w:rsidRPr="00DB4AEE">
        <w:t>as explained in Order No. 771</w:t>
      </w:r>
      <w:r w:rsidR="008233EF" w:rsidRPr="00DB4AEE">
        <w:t>,</w:t>
      </w:r>
      <w:r w:rsidR="001A08C1" w:rsidRPr="00DB4AEE">
        <w:t xml:space="preserve"> </w:t>
      </w:r>
      <w:r w:rsidR="003178DF" w:rsidRPr="00DB4AEE">
        <w:t>e-Tag data will help the Commission ascertain whether “any person, electric utility, transmitting utility, or other entity has violated or is about to violate” the FPA or any Commission rule, regulation or order.</w:t>
      </w:r>
      <w:r w:rsidR="008233EF" w:rsidRPr="00DB4AEE">
        <w:rPr>
          <w:rStyle w:val="FootnoteReference"/>
        </w:rPr>
        <w:footnoteReference w:id="45"/>
      </w:r>
      <w:r w:rsidR="00ED2393" w:rsidRPr="00DB4AEE">
        <w:t xml:space="preserve">  </w:t>
      </w:r>
      <w:r w:rsidR="00B25645" w:rsidRPr="00DB4AEE">
        <w:t xml:space="preserve">In so doing, the Commission </w:t>
      </w:r>
      <w:proofErr w:type="gramStart"/>
      <w:r w:rsidR="00B25645" w:rsidRPr="00DB4AEE">
        <w:t>will</w:t>
      </w:r>
      <w:proofErr w:type="gramEnd"/>
      <w:r w:rsidR="00B25645" w:rsidRPr="00DB4AEE">
        <w:t xml:space="preserve"> </w:t>
      </w:r>
      <w:r w:rsidR="00C16E13" w:rsidRPr="00DB4AEE">
        <w:t xml:space="preserve">also further the goal </w:t>
      </w:r>
      <w:r w:rsidR="009D0FF5" w:rsidRPr="00DB4AEE">
        <w:t xml:space="preserve">in section 307(a) </w:t>
      </w:r>
      <w:r w:rsidR="00C16E13" w:rsidRPr="00DB4AEE">
        <w:t xml:space="preserve">of </w:t>
      </w:r>
      <w:r w:rsidR="00D06AB7">
        <w:t xml:space="preserve">conducting </w:t>
      </w:r>
      <w:r w:rsidR="00C16E13" w:rsidRPr="00DB4AEE">
        <w:t>investigati</w:t>
      </w:r>
      <w:r w:rsidR="00D06AB7">
        <w:t>o</w:t>
      </w:r>
      <w:r w:rsidR="00C16E13" w:rsidRPr="00DB4AEE">
        <w:t>n</w:t>
      </w:r>
      <w:r w:rsidR="00D06AB7">
        <w:t>s</w:t>
      </w:r>
      <w:r w:rsidR="00C16E13" w:rsidRPr="00DB4AEE">
        <w:t xml:space="preserve"> to </w:t>
      </w:r>
      <w:r w:rsidR="00D06AB7" w:rsidRPr="00D06AB7">
        <w:t>assess whether the Commission needs to take further actions to</w:t>
      </w:r>
      <w:r w:rsidR="00D06AB7">
        <w:t xml:space="preserve"> </w:t>
      </w:r>
      <w:r w:rsidR="00B25645" w:rsidRPr="00DB4AEE">
        <w:t>enforce provisions of the FPA, particularly the anti-manipulation rule in FPA section 222.</w:t>
      </w:r>
    </w:p>
    <w:p w14:paraId="5BB1DA2B" w14:textId="77777777" w:rsidR="007D07EE" w:rsidRPr="00DB4AEE" w:rsidRDefault="00CA1C81" w:rsidP="00DB4AEE">
      <w:pPr>
        <w:pStyle w:val="FERCparanumber"/>
      </w:pPr>
      <w:r w:rsidRPr="00DB4AEE">
        <w:t xml:space="preserve">Regular access to e-Tags for power flows across interchanges </w:t>
      </w:r>
      <w:r w:rsidR="00CF510A" w:rsidRPr="00DB4AEE">
        <w:t>has made</w:t>
      </w:r>
      <w:r w:rsidRPr="00DB4AEE">
        <w:t xml:space="preserve"> it possible for the Commission to identify </w:t>
      </w:r>
      <w:r w:rsidR="00CF510A" w:rsidRPr="00DB4AEE">
        <w:t>and</w:t>
      </w:r>
      <w:r w:rsidRPr="00DB4AEE">
        <w:t xml:space="preserve"> analyze various behaviors by market participants to determine if they are part of a potentially manipulative scheme.</w:t>
      </w:r>
      <w:r w:rsidRPr="00DB4AEE">
        <w:rPr>
          <w:rStyle w:val="FootnoteReference"/>
        </w:rPr>
        <w:footnoteReference w:id="46"/>
      </w:r>
      <w:r w:rsidRPr="00DB4AEE">
        <w:t xml:space="preserve">  For example, e-Tag </w:t>
      </w:r>
      <w:r w:rsidRPr="00DB4AEE">
        <w:lastRenderedPageBreak/>
        <w:t xml:space="preserve">information </w:t>
      </w:r>
      <w:r w:rsidR="00CF510A" w:rsidRPr="00DB4AEE">
        <w:t xml:space="preserve">has </w:t>
      </w:r>
      <w:r w:rsidRPr="00DB4AEE">
        <w:t>enable</w:t>
      </w:r>
      <w:r w:rsidR="00CF510A" w:rsidRPr="00DB4AEE">
        <w:t>d</w:t>
      </w:r>
      <w:r w:rsidRPr="00DB4AEE">
        <w:t xml:space="preserve"> the Commission to investigate whether entities may be engaging in manipulative schemes involving the circular scheduling of imports and exports into a market to benefit other positions held by these entities</w:t>
      </w:r>
      <w:r w:rsidR="00E17C53" w:rsidRPr="00DB4AEE">
        <w:t xml:space="preserve"> or whether entities are falsely designating transactions to ensure awards of bids at multiple interties</w:t>
      </w:r>
      <w:r w:rsidRPr="00DB4AEE">
        <w:t>, as demonstrated by investigations by the Commission’s Office of Enforcement.</w:t>
      </w:r>
      <w:r w:rsidRPr="00DB4AEE">
        <w:rPr>
          <w:rStyle w:val="FootnoteReference"/>
        </w:rPr>
        <w:footnoteReference w:id="47"/>
      </w:r>
      <w:r w:rsidRPr="00DB4AEE">
        <w:t xml:space="preserve">  Without access to e-Tags, the Commission</w:t>
      </w:r>
      <w:r w:rsidR="00550C4C">
        <w:t>’s ability to identify</w:t>
      </w:r>
      <w:r w:rsidRPr="00DB4AEE">
        <w:t xml:space="preserve"> </w:t>
      </w:r>
      <w:r w:rsidR="0043208A">
        <w:t xml:space="preserve">such </w:t>
      </w:r>
      <w:r w:rsidRPr="00DB4AEE">
        <w:t xml:space="preserve">manipulative schemes </w:t>
      </w:r>
      <w:r w:rsidR="00B97A46">
        <w:t>would</w:t>
      </w:r>
      <w:r w:rsidR="00550C4C">
        <w:t xml:space="preserve"> be hampered</w:t>
      </w:r>
      <w:r w:rsidRPr="00DB4AEE">
        <w:t xml:space="preserve">.  </w:t>
      </w:r>
      <w:r w:rsidR="003744AD" w:rsidRPr="00DB4AEE">
        <w:t xml:space="preserve">In short, without the ability to obtain e-Tag data, the Commission would lack the information necessary to carry out its statutory responsibility under FPA section 222 to prevent </w:t>
      </w:r>
      <w:r w:rsidR="00E906C7" w:rsidRPr="00DB4AEE">
        <w:t xml:space="preserve">energy </w:t>
      </w:r>
      <w:r w:rsidR="00CF510A" w:rsidRPr="00DB4AEE">
        <w:t>market manipulation.</w:t>
      </w:r>
    </w:p>
    <w:p w14:paraId="5BB1DA2C" w14:textId="77777777" w:rsidR="00E94ACE" w:rsidRPr="00DB4AEE" w:rsidRDefault="007D07EE" w:rsidP="00DB4AEE">
      <w:pPr>
        <w:pStyle w:val="FERCparanumber"/>
      </w:pPr>
      <w:r w:rsidRPr="00DB4AEE">
        <w:t>The</w:t>
      </w:r>
      <w:r w:rsidR="00ED2393" w:rsidRPr="00DB4AEE">
        <w:t xml:space="preserve"> Commission concluded </w:t>
      </w:r>
      <w:r w:rsidR="00D66EF2" w:rsidRPr="00DB4AEE">
        <w:t>in Order No. 771</w:t>
      </w:r>
      <w:r w:rsidRPr="00DB4AEE">
        <w:t xml:space="preserve"> that</w:t>
      </w:r>
      <w:r w:rsidR="00D66EF2" w:rsidRPr="00DB4AEE">
        <w:t xml:space="preserve"> </w:t>
      </w:r>
      <w:r w:rsidR="001C616B" w:rsidRPr="00DB4AEE">
        <w:t>its</w:t>
      </w:r>
      <w:r w:rsidRPr="00DB4AEE">
        <w:t xml:space="preserve"> “surveillance efforts </w:t>
      </w:r>
      <w:r w:rsidR="00445A78">
        <w:br/>
      </w:r>
      <w:r w:rsidRPr="00DB4AEE">
        <w:t xml:space="preserve">are encompassed within its broad investigative authority as they are precisely what section 307 is designed to permit- i.e., ‘to determine whether any person [or entity] . . . has violated or is about to violate any provisions of the [FPA] . . . or in obtaining information about the sale of electric energy at wholesale in interstate commerce and </w:t>
      </w:r>
      <w:r w:rsidR="00445A78">
        <w:br/>
      </w:r>
      <w:r w:rsidRPr="00DB4AEE">
        <w:t>the transmission of electric energy in interstate commerce.’”</w:t>
      </w:r>
      <w:r w:rsidR="001C616B" w:rsidRPr="00DB4AEE">
        <w:rPr>
          <w:rStyle w:val="FootnoteReference"/>
        </w:rPr>
        <w:t xml:space="preserve"> </w:t>
      </w:r>
      <w:r w:rsidR="001C616B" w:rsidRPr="00DB4AEE">
        <w:rPr>
          <w:rStyle w:val="FootnoteReference"/>
        </w:rPr>
        <w:footnoteReference w:id="48"/>
      </w:r>
      <w:r w:rsidRPr="00DB4AEE">
        <w:t xml:space="preserve">  NRECA </w:t>
      </w:r>
      <w:r w:rsidR="00550C4C">
        <w:t>argues</w:t>
      </w:r>
      <w:r w:rsidR="00D06AB7">
        <w:t xml:space="preserve"> </w:t>
      </w:r>
      <w:r w:rsidRPr="00DB4AEE">
        <w:t xml:space="preserve">that section 307(a) does not specifically use the word “surveillance” and </w:t>
      </w:r>
      <w:r w:rsidR="00D06AB7">
        <w:t xml:space="preserve">that section 307(a) </w:t>
      </w:r>
      <w:r w:rsidRPr="00DB4AEE">
        <w:t xml:space="preserve">does not imply a power to conduct </w:t>
      </w:r>
      <w:r w:rsidR="00C644F2" w:rsidRPr="00DB4AEE">
        <w:t>ongoing</w:t>
      </w:r>
      <w:r w:rsidRPr="00DB4AEE">
        <w:t xml:space="preserve"> </w:t>
      </w:r>
      <w:r w:rsidR="00550C4C">
        <w:t xml:space="preserve">market </w:t>
      </w:r>
      <w:r w:rsidRPr="00DB4AEE">
        <w:t xml:space="preserve">surveillance </w:t>
      </w:r>
      <w:r w:rsidR="00550C4C">
        <w:t>“</w:t>
      </w:r>
      <w:r w:rsidR="00C644F2" w:rsidRPr="00DB4AEE">
        <w:t xml:space="preserve">in lieu </w:t>
      </w:r>
      <w:r w:rsidRPr="00DB4AEE">
        <w:t xml:space="preserve">of an actual </w:t>
      </w:r>
      <w:r w:rsidRPr="00DB4AEE">
        <w:lastRenderedPageBreak/>
        <w:t>investigation.”</w:t>
      </w:r>
      <w:r w:rsidR="00CF510A" w:rsidRPr="00DB4AEE">
        <w:rPr>
          <w:rStyle w:val="FootnoteReference"/>
        </w:rPr>
        <w:footnoteReference w:id="49"/>
      </w:r>
      <w:r w:rsidRPr="00DB4AEE">
        <w:t xml:space="preserve">  </w:t>
      </w:r>
      <w:r w:rsidR="001C616B" w:rsidRPr="00DB4AEE">
        <w:t xml:space="preserve">In addition, </w:t>
      </w:r>
      <w:r w:rsidRPr="00DB4AEE">
        <w:t>NRECA argues that the use of the term “surveillance” reads the word “investigate” out of the statute, thereby violating a cardinal principle of statutory construction that a “statute ought, upon the whole, to be so construed that, if it can be prevented, no clause, sentence, or word shall be superfluous, void or insignificant.”</w:t>
      </w:r>
      <w:r w:rsidRPr="00DB4AEE">
        <w:rPr>
          <w:rStyle w:val="FootnoteReference"/>
        </w:rPr>
        <w:footnoteReference w:id="50"/>
      </w:r>
      <w:r w:rsidRPr="00DB4AEE">
        <w:t xml:space="preserve">  We disagree.  The Commission’s </w:t>
      </w:r>
      <w:r w:rsidR="00AD1249" w:rsidRPr="00DB4AEE">
        <w:t xml:space="preserve">reading </w:t>
      </w:r>
      <w:r w:rsidRPr="00DB4AEE">
        <w:t>of the word</w:t>
      </w:r>
      <w:r w:rsidR="00AD1249" w:rsidRPr="00DB4AEE">
        <w:t xml:space="preserve"> “investigate” as encompassing its</w:t>
      </w:r>
      <w:r w:rsidRPr="00DB4AEE">
        <w:t xml:space="preserve"> “surveillance” </w:t>
      </w:r>
      <w:r w:rsidR="00AD1249" w:rsidRPr="00DB4AEE">
        <w:t xml:space="preserve">activities </w:t>
      </w:r>
      <w:r w:rsidRPr="00DB4AEE">
        <w:t xml:space="preserve">in Order No. 771 was meant to </w:t>
      </w:r>
      <w:r w:rsidR="00550C4C">
        <w:t>include</w:t>
      </w:r>
      <w:r w:rsidR="00454E33">
        <w:t xml:space="preserve"> </w:t>
      </w:r>
      <w:r w:rsidRPr="00DB4AEE">
        <w:t xml:space="preserve">the Commission’s initial </w:t>
      </w:r>
      <w:r w:rsidR="00C233B9" w:rsidRPr="00DB4AEE">
        <w:t xml:space="preserve">close </w:t>
      </w:r>
      <w:r w:rsidR="00E578DB" w:rsidRPr="00DB4AEE">
        <w:t>observation or inquiry</w:t>
      </w:r>
      <w:r w:rsidRPr="00DB4AEE">
        <w:t xml:space="preserve"> into behavior by market participants to determine whether further investigation is needed.  The defin</w:t>
      </w:r>
      <w:r w:rsidR="00A40243" w:rsidRPr="00DB4AEE">
        <w:t>ition of</w:t>
      </w:r>
      <w:r w:rsidRPr="00DB4AEE">
        <w:t xml:space="preserve"> </w:t>
      </w:r>
      <w:r w:rsidR="00CF510A" w:rsidRPr="00DB4AEE">
        <w:t xml:space="preserve">“investigation” is “the act of examining </w:t>
      </w:r>
      <w:r w:rsidR="00541593" w:rsidRPr="00DB4AEE">
        <w:t>something</w:t>
      </w:r>
      <w:r w:rsidR="00CF510A" w:rsidRPr="00DB4AEE">
        <w:t xml:space="preserve"> carefully, especially to discover the truth</w:t>
      </w:r>
      <w:r w:rsidR="00541593" w:rsidRPr="00DB4AEE">
        <w:t xml:space="preserve"> about it</w:t>
      </w:r>
      <w:r w:rsidR="00CF510A" w:rsidRPr="00DB4AEE">
        <w:t>.”</w:t>
      </w:r>
      <w:r w:rsidR="00CF510A" w:rsidRPr="00DB4AEE">
        <w:rPr>
          <w:rStyle w:val="FootnoteReference"/>
        </w:rPr>
        <w:footnoteReference w:id="51"/>
      </w:r>
      <w:r w:rsidR="00CF510A" w:rsidRPr="00DB4AEE">
        <w:t xml:space="preserve">  </w:t>
      </w:r>
      <w:r w:rsidR="00A40243" w:rsidRPr="00DB4AEE">
        <w:t>Nothing in th</w:t>
      </w:r>
      <w:r w:rsidR="00C5561A">
        <w:t>is</w:t>
      </w:r>
      <w:r w:rsidR="00A40243" w:rsidRPr="00DB4AEE">
        <w:t xml:space="preserve"> definition limits the examination to a</w:t>
      </w:r>
      <w:r w:rsidR="00C5561A">
        <w:t xml:space="preserve"> specific</w:t>
      </w:r>
      <w:r w:rsidR="00454E33">
        <w:t xml:space="preserve"> </w:t>
      </w:r>
      <w:r w:rsidR="00CF510A" w:rsidRPr="00DB4AEE">
        <w:t>incident</w:t>
      </w:r>
      <w:r w:rsidR="00A40243" w:rsidRPr="00DB4AEE">
        <w:t xml:space="preserve"> </w:t>
      </w:r>
      <w:r w:rsidR="00CF510A" w:rsidRPr="00DB4AEE">
        <w:t>that the agency already has learned about from another source.</w:t>
      </w:r>
      <w:r w:rsidR="00201336" w:rsidRPr="00DB4AEE">
        <w:t xml:space="preserve">  Just as the Commission’s responsibilities cover the entire wholesale electric industry on an ongoing basis, so must its examination and investigation of market conditions to assure that the energy markets are operating properly, </w:t>
      </w:r>
      <w:r w:rsidR="00483C93" w:rsidRPr="00DB4AEE">
        <w:t xml:space="preserve">and </w:t>
      </w:r>
      <w:r w:rsidR="00201336" w:rsidRPr="00DB4AEE">
        <w:t>without market manipulation</w:t>
      </w:r>
      <w:r w:rsidR="006130C2" w:rsidRPr="00DB4AEE">
        <w:t>.</w:t>
      </w:r>
      <w:r w:rsidR="0079239B" w:rsidRPr="00DB4AEE">
        <w:t xml:space="preserve">  There is no inconsistency in conducting surveillance as part of the fact gathering of an investigation</w:t>
      </w:r>
      <w:r w:rsidR="0064712A" w:rsidRPr="00DB4AEE">
        <w:t xml:space="preserve">. </w:t>
      </w:r>
      <w:r w:rsidR="0079239B" w:rsidRPr="00DB4AEE">
        <w:t xml:space="preserve"> </w:t>
      </w:r>
      <w:r w:rsidR="009E4E88" w:rsidRPr="00DB4AEE">
        <w:t>“</w:t>
      </w:r>
      <w:r w:rsidR="0079239B" w:rsidRPr="00DB4AEE">
        <w:t>S</w:t>
      </w:r>
      <w:r w:rsidRPr="00DB4AEE">
        <w:t xml:space="preserve">urveillance” </w:t>
      </w:r>
      <w:r w:rsidR="0079239B" w:rsidRPr="00DB4AEE">
        <w:t>consists of</w:t>
      </w:r>
      <w:r w:rsidRPr="00DB4AEE">
        <w:t xml:space="preserve"> “</w:t>
      </w:r>
      <w:r w:rsidR="009B690B" w:rsidRPr="00DB4AEE">
        <w:t>the act of carefully watching someone or something esp</w:t>
      </w:r>
      <w:r w:rsidR="0043208A">
        <w:t>ecially</w:t>
      </w:r>
      <w:r w:rsidR="009B690B" w:rsidRPr="00DB4AEE">
        <w:t xml:space="preserve"> in order to prevent or </w:t>
      </w:r>
      <w:r w:rsidR="009B690B" w:rsidRPr="00DB4AEE">
        <w:lastRenderedPageBreak/>
        <w:t>detect a crime” or a “</w:t>
      </w:r>
      <w:r w:rsidRPr="00DB4AEE">
        <w:t>close watch kept over someone or something (as by a detective).”</w:t>
      </w:r>
      <w:r w:rsidRPr="00DB4AEE">
        <w:rPr>
          <w:rStyle w:val="FootnoteReference"/>
        </w:rPr>
        <w:footnoteReference w:id="52"/>
      </w:r>
      <w:r w:rsidR="0079239B" w:rsidRPr="00DB4AEE">
        <w:t xml:space="preserve">  </w:t>
      </w:r>
      <w:r w:rsidR="002A7147" w:rsidRPr="00DB4AEE">
        <w:t xml:space="preserve">Surveillance </w:t>
      </w:r>
      <w:r w:rsidR="0079239B" w:rsidRPr="00DB4AEE">
        <w:t>is part and parcel of many inve</w:t>
      </w:r>
      <w:r w:rsidR="0064712A" w:rsidRPr="00DB4AEE">
        <w:t>s</w:t>
      </w:r>
      <w:r w:rsidR="0079239B" w:rsidRPr="00DB4AEE">
        <w:t>tigations.</w:t>
      </w:r>
      <w:r w:rsidRPr="00DB4AEE">
        <w:t xml:space="preserve"> </w:t>
      </w:r>
      <w:r w:rsidR="00D557E8" w:rsidRPr="00DB4AEE">
        <w:t xml:space="preserve"> Without </w:t>
      </w:r>
      <w:r w:rsidR="00E471C3" w:rsidRPr="00DB4AEE">
        <w:t>access to complete e-Tag</w:t>
      </w:r>
      <w:r w:rsidR="00C233B9" w:rsidRPr="00DB4AEE">
        <w:t xml:space="preserve"> data</w:t>
      </w:r>
      <w:r w:rsidR="00E471C3" w:rsidRPr="00DB4AEE">
        <w:t xml:space="preserve"> to help conduct surveillance </w:t>
      </w:r>
      <w:r w:rsidR="00F5694D" w:rsidRPr="00DB4AEE">
        <w:t xml:space="preserve">and properly </w:t>
      </w:r>
      <w:r w:rsidR="00E471C3" w:rsidRPr="00DB4AEE">
        <w:t>investigate interchange transactions</w:t>
      </w:r>
      <w:r w:rsidR="00D557E8" w:rsidRPr="00DB4AEE">
        <w:t xml:space="preserve">, the Commission </w:t>
      </w:r>
      <w:r w:rsidR="001E3DF6" w:rsidRPr="00DB4AEE">
        <w:t>will</w:t>
      </w:r>
      <w:r w:rsidR="00D557E8" w:rsidRPr="00DB4AEE">
        <w:t xml:space="preserve"> </w:t>
      </w:r>
      <w:r w:rsidR="001E3DF6" w:rsidRPr="00DB4AEE">
        <w:t>be hampered in</w:t>
      </w:r>
      <w:r w:rsidR="00E471C3" w:rsidRPr="00DB4AEE">
        <w:t xml:space="preserve"> carry</w:t>
      </w:r>
      <w:r w:rsidR="001E3DF6" w:rsidRPr="00DB4AEE">
        <w:t>ing</w:t>
      </w:r>
      <w:r w:rsidR="00E471C3" w:rsidRPr="00DB4AEE">
        <w:t xml:space="preserve"> out its statutory responsibilities to </w:t>
      </w:r>
      <w:r w:rsidR="00D557E8" w:rsidRPr="00DB4AEE">
        <w:t xml:space="preserve">determine whether any person, electric utility, transmitting utility, or other entity has violated or is about to violate the anti-manipulation rule in </w:t>
      </w:r>
      <w:r w:rsidR="00201336" w:rsidRPr="00DB4AEE">
        <w:t xml:space="preserve">FPA </w:t>
      </w:r>
      <w:r w:rsidR="00D557E8" w:rsidRPr="00DB4AEE">
        <w:t>section 222.</w:t>
      </w:r>
    </w:p>
    <w:p w14:paraId="5BB1DA2D" w14:textId="77777777" w:rsidR="006F2002" w:rsidRPr="00DB4AEE" w:rsidRDefault="00AD1249" w:rsidP="00DC659D">
      <w:pPr>
        <w:pStyle w:val="FERCparanumber"/>
      </w:pPr>
      <w:r w:rsidRPr="00DB4AEE">
        <w:t xml:space="preserve">The Commission’s reading of the term “investigate” in this proceeding to </w:t>
      </w:r>
      <w:r w:rsidR="007C3FC5" w:rsidRPr="00DB4AEE">
        <w:t>include access to the</w:t>
      </w:r>
      <w:r w:rsidR="00F71B38" w:rsidRPr="00DB4AEE">
        <w:t xml:space="preserve"> information necessary </w:t>
      </w:r>
      <w:r w:rsidR="007C3FC5" w:rsidRPr="00DB4AEE">
        <w:t xml:space="preserve">to conduct </w:t>
      </w:r>
      <w:r w:rsidR="00B8039D">
        <w:t xml:space="preserve">an </w:t>
      </w:r>
      <w:r w:rsidRPr="00DB4AEE">
        <w:t xml:space="preserve">investigation into a particular matter is also consistent </w:t>
      </w:r>
      <w:r w:rsidR="00610629">
        <w:t xml:space="preserve">with </w:t>
      </w:r>
      <w:r w:rsidRPr="00DB4AEE">
        <w:t xml:space="preserve">the use of the term “investigation” found in other provisions in </w:t>
      </w:r>
      <w:r w:rsidR="000B15E0">
        <w:br/>
      </w:r>
      <w:r w:rsidRPr="00DB4AEE">
        <w:t xml:space="preserve">Part III of the FPA.  For example, FPA section 311, titled “Investigations Relating to Electric Energy,” provides that “[i]n order to </w:t>
      </w:r>
      <w:r w:rsidRPr="00DB4AEE">
        <w:rPr>
          <w:i/>
        </w:rPr>
        <w:t>secure information</w:t>
      </w:r>
      <w:r w:rsidRPr="00DB4AEE">
        <w:t xml:space="preserve"> necessary or appropriate as a basis for recommending legislation, the Commission is authorized and directed to conduct </w:t>
      </w:r>
      <w:r w:rsidRPr="00DB4AEE">
        <w:rPr>
          <w:i/>
        </w:rPr>
        <w:t>investigations</w:t>
      </w:r>
      <w:r w:rsidRPr="00DB4AEE">
        <w:t>” into the generation, transmission, distribution and sale of electric energy, regardless of whether it is jurisdictional.</w:t>
      </w:r>
      <w:r w:rsidR="002A29AD" w:rsidRPr="00DB4AEE">
        <w:rPr>
          <w:rStyle w:val="FootnoteReference"/>
        </w:rPr>
        <w:footnoteReference w:id="53"/>
      </w:r>
    </w:p>
    <w:p w14:paraId="5BB1DA2E" w14:textId="77777777" w:rsidR="0079239B" w:rsidRPr="00DB4AEE" w:rsidRDefault="00496187">
      <w:pPr>
        <w:pStyle w:val="FERCparanumber"/>
      </w:pPr>
      <w:r>
        <w:t>We also believe that the Commission has the authority under FPA sections 222 and 307(a)</w:t>
      </w:r>
      <w:r w:rsidR="00170005" w:rsidRPr="00DB4AEE">
        <w:t xml:space="preserve"> to require </w:t>
      </w:r>
      <w:r w:rsidR="006F1B77">
        <w:t xml:space="preserve">the </w:t>
      </w:r>
      <w:r w:rsidR="00170005" w:rsidRPr="00DB4AEE">
        <w:t xml:space="preserve">market participants </w:t>
      </w:r>
      <w:r w:rsidR="006F1B77">
        <w:t>listed in</w:t>
      </w:r>
      <w:r w:rsidR="00035017">
        <w:t xml:space="preserve"> </w:t>
      </w:r>
      <w:r>
        <w:t xml:space="preserve">FPA section 201(f) </w:t>
      </w:r>
      <w:r w:rsidR="00170005" w:rsidRPr="00DB4AEE">
        <w:t xml:space="preserve">to turn over information on an ongoing basis.  </w:t>
      </w:r>
      <w:r w:rsidR="00FA7CA9" w:rsidRPr="00DB4AEE">
        <w:t>FPA s</w:t>
      </w:r>
      <w:r w:rsidR="00201336" w:rsidRPr="00DB4AEE">
        <w:t>ection 222 prohibits energy market manipulation by “any entity (including an entity described in section 201(f)</w:t>
      </w:r>
      <w:r w:rsidR="0064712A" w:rsidRPr="00DB4AEE">
        <w:t>)</w:t>
      </w:r>
      <w:r w:rsidR="00201336" w:rsidRPr="00DB4AEE">
        <w:t xml:space="preserve">” in connection with the </w:t>
      </w:r>
      <w:r w:rsidR="00201336" w:rsidRPr="00DB4AEE">
        <w:lastRenderedPageBreak/>
        <w:t>purchase or sale of electric energy or the purchase or sale of transmission services subject to the Commission’s jurisdiction</w:t>
      </w:r>
      <w:r w:rsidR="009A779C" w:rsidRPr="00DB4AEE">
        <w:t>.</w:t>
      </w:r>
      <w:r w:rsidR="00FD2421" w:rsidRPr="00DB4AEE">
        <w:t xml:space="preserve">  </w:t>
      </w:r>
      <w:r w:rsidR="00201336" w:rsidRPr="00DB4AEE">
        <w:t>The application of this provision to “any entity” is further evidenced by FPA section 201(b)(2), which explicitly states that certain provisions, including section 222, shall apply to entities that fall within the scope of FPA section 201(f).</w:t>
      </w:r>
      <w:r w:rsidR="00201336" w:rsidRPr="00DB4AEE">
        <w:rPr>
          <w:rStyle w:val="FootnoteReference"/>
        </w:rPr>
        <w:footnoteReference w:id="54"/>
      </w:r>
      <w:r w:rsidR="00201336" w:rsidRPr="00DB4AEE">
        <w:t xml:space="preserve"> </w:t>
      </w:r>
      <w:r w:rsidR="00FA7CA9" w:rsidRPr="00DB4AEE">
        <w:t xml:space="preserve"> As explained in Order No. 771, regular access to e-Tags for power flows across interchanges make</w:t>
      </w:r>
      <w:r w:rsidR="0064712A" w:rsidRPr="00DB4AEE">
        <w:t>s</w:t>
      </w:r>
      <w:r w:rsidR="00FA7CA9" w:rsidRPr="00DB4AEE">
        <w:t xml:space="preserve"> it possible for the Commission to identify or analyze various behaviors by </w:t>
      </w:r>
      <w:r w:rsidR="00BA64B0" w:rsidRPr="00DB4AEE">
        <w:t>entities</w:t>
      </w:r>
      <w:r w:rsidR="00FA7CA9" w:rsidRPr="00DB4AEE">
        <w:t xml:space="preserve"> to determine if they are part of a potentially manipulative scheme(s) in violation of FPA section 222.</w:t>
      </w:r>
      <w:r w:rsidR="00FA7CA9" w:rsidRPr="00DB4AEE">
        <w:rPr>
          <w:rStyle w:val="FootnoteReference"/>
        </w:rPr>
        <w:footnoteReference w:id="55"/>
      </w:r>
      <w:r w:rsidR="00FA7CA9" w:rsidRPr="00DB4AEE">
        <w:t xml:space="preserve">  This information </w:t>
      </w:r>
      <w:r w:rsidR="0064712A" w:rsidRPr="00DB4AEE">
        <w:t>is</w:t>
      </w:r>
      <w:r w:rsidR="00FA7CA9" w:rsidRPr="00DB4AEE">
        <w:t xml:space="preserve"> used as part of investigations of possible violations of section 222.</w:t>
      </w:r>
      <w:r w:rsidR="00C54CD8" w:rsidRPr="00DB4AEE">
        <w:rPr>
          <w:rStyle w:val="FootnoteReference"/>
        </w:rPr>
        <w:footnoteReference w:id="56"/>
      </w:r>
      <w:r w:rsidR="00FD2421" w:rsidRPr="00DB4AEE">
        <w:t xml:space="preserve">  </w:t>
      </w:r>
      <w:proofErr w:type="spellStart"/>
      <w:r w:rsidR="00170005" w:rsidRPr="00DB4AEE">
        <w:t>EPAct</w:t>
      </w:r>
      <w:proofErr w:type="spellEnd"/>
      <w:r w:rsidR="00170005" w:rsidRPr="00DB4AEE">
        <w:t xml:space="preserve"> 2005 </w:t>
      </w:r>
      <w:r w:rsidR="00201336" w:rsidRPr="00DB4AEE">
        <w:t>also revised</w:t>
      </w:r>
      <w:r w:rsidR="00170005" w:rsidRPr="00DB4AEE">
        <w:t xml:space="preserve"> the </w:t>
      </w:r>
      <w:r w:rsidR="000B15E0">
        <w:br/>
      </w:r>
      <w:r w:rsidR="00170005" w:rsidRPr="00DB4AEE">
        <w:t xml:space="preserve">first sentence of section 307(a) </w:t>
      </w:r>
      <w:r w:rsidR="00FA7CA9" w:rsidRPr="00DB4AEE">
        <w:t xml:space="preserve">to </w:t>
      </w:r>
      <w:r w:rsidR="00170005" w:rsidRPr="00DB4AEE">
        <w:t xml:space="preserve">authorize the Commission to obtain information about wholesale </w:t>
      </w:r>
      <w:r w:rsidR="00282CD7" w:rsidRPr="00DB4AEE">
        <w:t>electricity</w:t>
      </w:r>
      <w:r w:rsidR="00170005" w:rsidRPr="00DB4AEE">
        <w:t xml:space="preserve"> sales and transmission and does not restrict the Commission to obtaining such information only in the context of a particular investigation of a statutory violation.</w:t>
      </w:r>
    </w:p>
    <w:p w14:paraId="5BB1DA2F" w14:textId="77777777" w:rsidR="008C50A1" w:rsidRPr="00DB4AEE" w:rsidRDefault="00851749">
      <w:pPr>
        <w:pStyle w:val="FERCparanumber"/>
      </w:pPr>
      <w:r w:rsidRPr="00DB4AEE">
        <w:t>The Commission</w:t>
      </w:r>
      <w:r w:rsidR="00496187">
        <w:t xml:space="preserve"> also</w:t>
      </w:r>
      <w:r w:rsidRPr="00DB4AEE">
        <w:t xml:space="preserve"> interprets </w:t>
      </w:r>
      <w:r w:rsidR="008C50A1" w:rsidRPr="00DB4AEE">
        <w:t>FPA section 307(a</w:t>
      </w:r>
      <w:r w:rsidRPr="00DB4AEE">
        <w:t>) to</w:t>
      </w:r>
      <w:r w:rsidR="008C50A1" w:rsidRPr="00DB4AEE">
        <w:t xml:space="preserve"> authorize the Commission to obtain information about the sale and transmission of electric energy in interstate commerce</w:t>
      </w:r>
      <w:r w:rsidRPr="00DB4AEE">
        <w:t xml:space="preserve"> from both public utilities and entities listed in section 201(f)</w:t>
      </w:r>
      <w:r w:rsidR="006E054B" w:rsidRPr="00DB4AEE">
        <w:t xml:space="preserve"> that will help</w:t>
      </w:r>
      <w:r w:rsidRPr="00DB4AEE">
        <w:t xml:space="preserve"> the Commission </w:t>
      </w:r>
      <w:r w:rsidR="004C3182" w:rsidRPr="00DB4AEE">
        <w:t>determine whether there is a</w:t>
      </w:r>
      <w:r w:rsidR="006E054B" w:rsidRPr="00DB4AEE">
        <w:t xml:space="preserve"> possible </w:t>
      </w:r>
      <w:r w:rsidR="004C3182" w:rsidRPr="00DB4AEE">
        <w:t xml:space="preserve">violation </w:t>
      </w:r>
      <w:r w:rsidRPr="00DB4AEE">
        <w:t xml:space="preserve">by any person or entity, </w:t>
      </w:r>
      <w:r w:rsidRPr="00DB4AEE">
        <w:lastRenderedPageBreak/>
        <w:t>including entitie</w:t>
      </w:r>
      <w:r w:rsidR="00AD73B7" w:rsidRPr="00DB4AEE">
        <w:t xml:space="preserve">s listed in section 201(f).  </w:t>
      </w:r>
      <w:r w:rsidR="00146B0E" w:rsidRPr="00DB4AEE">
        <w:t>In doing so, t</w:t>
      </w:r>
      <w:r w:rsidR="00F3206A" w:rsidRPr="00DB4AEE">
        <w:t xml:space="preserve">he </w:t>
      </w:r>
      <w:r w:rsidR="008C50A1" w:rsidRPr="00DB4AEE">
        <w:t xml:space="preserve">Commission’s interpretation of </w:t>
      </w:r>
      <w:r w:rsidR="00F3206A" w:rsidRPr="00DB4AEE">
        <w:t>section 307(a)</w:t>
      </w:r>
      <w:r w:rsidR="008C50A1" w:rsidRPr="00DB4AEE">
        <w:t xml:space="preserve"> conforms to the </w:t>
      </w:r>
      <w:r w:rsidR="00C52480" w:rsidRPr="00DB4AEE">
        <w:t xml:space="preserve">“cardinal </w:t>
      </w:r>
      <w:r w:rsidR="008C50A1" w:rsidRPr="00DB4AEE">
        <w:t>principle of statutory construction that a statute ought, upon the whole, to be so construed that, if it can be prevented, no clause, sentence, or word shall be superfluous, void or insignificant.”</w:t>
      </w:r>
      <w:r w:rsidR="008356D9" w:rsidRPr="00DB4AEE">
        <w:rPr>
          <w:rStyle w:val="FootnoteReference"/>
        </w:rPr>
        <w:footnoteReference w:id="57"/>
      </w:r>
      <w:r w:rsidR="008C50A1" w:rsidRPr="00DB4AEE">
        <w:t xml:space="preserve"> </w:t>
      </w:r>
      <w:r w:rsidR="0053181C">
        <w:t xml:space="preserve"> </w:t>
      </w:r>
      <w:r w:rsidR="008C50A1" w:rsidRPr="00DB4AEE">
        <w:t>By contrast, NRECA’s interpretation of section 307(a)</w:t>
      </w:r>
      <w:r w:rsidR="00D74A84" w:rsidRPr="00DB4AEE">
        <w:t xml:space="preserve"> as limiting the Commission to obtaining information only from jurisdictional public utilities </w:t>
      </w:r>
      <w:r w:rsidR="008C50A1" w:rsidRPr="00DB4AEE">
        <w:t>ignores or, at best, renders th</w:t>
      </w:r>
      <w:r w:rsidR="00C94F6E" w:rsidRPr="00DB4AEE">
        <w:t>e information collection</w:t>
      </w:r>
      <w:r w:rsidR="008C50A1" w:rsidRPr="00DB4AEE">
        <w:t xml:space="preserve"> clause</w:t>
      </w:r>
      <w:r w:rsidR="00107DC9" w:rsidRPr="00DB4AEE">
        <w:t xml:space="preserve"> </w:t>
      </w:r>
      <w:r w:rsidR="003647E6" w:rsidRPr="00DB4AEE">
        <w:t>superfluous</w:t>
      </w:r>
      <w:r w:rsidR="006C0366" w:rsidRPr="00DB4AEE">
        <w:t xml:space="preserve"> because, as NRECA notes, the Commission </w:t>
      </w:r>
      <w:r w:rsidR="009F644B" w:rsidRPr="00DB4AEE">
        <w:t>can</w:t>
      </w:r>
      <w:r w:rsidR="006C0366" w:rsidRPr="00DB4AEE">
        <w:t xml:space="preserve"> </w:t>
      </w:r>
      <w:r w:rsidR="00C94F6E" w:rsidRPr="00DB4AEE">
        <w:t xml:space="preserve">already </w:t>
      </w:r>
      <w:r w:rsidR="006C0366" w:rsidRPr="00DB4AEE">
        <w:t>require</w:t>
      </w:r>
      <w:r w:rsidR="00295CDA" w:rsidRPr="00DB4AEE">
        <w:t xml:space="preserve"> </w:t>
      </w:r>
      <w:r w:rsidR="00C94F6E" w:rsidRPr="00DB4AEE">
        <w:t xml:space="preserve">jurisdictional </w:t>
      </w:r>
      <w:r w:rsidR="006C0366" w:rsidRPr="00DB4AEE">
        <w:t>public utilities to report e-Tag information under FPA section 304</w:t>
      </w:r>
      <w:r w:rsidR="008C50A1" w:rsidRPr="00DB4AEE">
        <w:t>.</w:t>
      </w:r>
      <w:r w:rsidR="00FA7CA9" w:rsidRPr="00DB4AEE">
        <w:t xml:space="preserve">  </w:t>
      </w:r>
      <w:r w:rsidR="00600763" w:rsidRPr="00DB4AEE">
        <w:t xml:space="preserve">NRECA’s interpretation </w:t>
      </w:r>
      <w:r w:rsidR="00FA7CA9" w:rsidRPr="00DB4AEE">
        <w:t>would r</w:t>
      </w:r>
      <w:r w:rsidR="00600763" w:rsidRPr="00DB4AEE">
        <w:t xml:space="preserve">equire us to conclude that when </w:t>
      </w:r>
      <w:r w:rsidR="00FA7CA9" w:rsidRPr="00DB4AEE">
        <w:t>the statute</w:t>
      </w:r>
      <w:r w:rsidR="00600763" w:rsidRPr="00DB4AEE">
        <w:t xml:space="preserve"> referred to “any person, electric utility, transmitting utility, or other </w:t>
      </w:r>
      <w:r w:rsidR="00FA7CA9" w:rsidRPr="00DB4AEE">
        <w:t>entit</w:t>
      </w:r>
      <w:r w:rsidR="00600763" w:rsidRPr="00DB4AEE">
        <w:t>y</w:t>
      </w:r>
      <w:r w:rsidR="00C225FB" w:rsidRPr="00DB4AEE">
        <w:t>,</w:t>
      </w:r>
      <w:r w:rsidR="00FA7CA9" w:rsidRPr="00DB4AEE">
        <w:t xml:space="preserve">” </w:t>
      </w:r>
      <w:r w:rsidR="00600763" w:rsidRPr="00DB4AEE">
        <w:t xml:space="preserve">it really only meant to refer to </w:t>
      </w:r>
      <w:r w:rsidR="00C225FB" w:rsidRPr="00DB4AEE">
        <w:t>public</w:t>
      </w:r>
      <w:r w:rsidR="00600763" w:rsidRPr="00DB4AEE">
        <w:t xml:space="preserve"> utilities.  We find this interpretation </w:t>
      </w:r>
      <w:r w:rsidR="00D35B23" w:rsidRPr="00DB4AEE">
        <w:t>implausible</w:t>
      </w:r>
      <w:r w:rsidR="00600763" w:rsidRPr="00DB4AEE">
        <w:t xml:space="preserve"> and reject it.</w:t>
      </w:r>
      <w:r w:rsidR="00FA7CA9" w:rsidRPr="00DB4AEE">
        <w:t xml:space="preserve"> </w:t>
      </w:r>
      <w:r w:rsidR="00600763" w:rsidRPr="00DB4AEE">
        <w:t xml:space="preserve"> </w:t>
      </w:r>
      <w:r w:rsidR="00FA7CA9" w:rsidRPr="00DB4AEE">
        <w:t>Congress could have written the statute to only allow the collection of information from public utilities</w:t>
      </w:r>
      <w:r w:rsidR="00C54CD8" w:rsidRPr="00DB4AEE">
        <w:t>,</w:t>
      </w:r>
      <w:r w:rsidR="00FA7CA9" w:rsidRPr="00DB4AEE">
        <w:t xml:space="preserve"> if Congress had so desired.</w:t>
      </w:r>
      <w:r w:rsidR="00600763" w:rsidRPr="00DB4AEE">
        <w:t xml:space="preserve">  It did not do so.</w:t>
      </w:r>
    </w:p>
    <w:p w14:paraId="5BB1DA30" w14:textId="77777777" w:rsidR="00626BC4" w:rsidRPr="00DB4AEE" w:rsidRDefault="007C1614" w:rsidP="00DB4AEE">
      <w:pPr>
        <w:pStyle w:val="FERCparanumber"/>
      </w:pPr>
      <w:r w:rsidRPr="00DB4AEE">
        <w:t xml:space="preserve">NRECA </w:t>
      </w:r>
      <w:r w:rsidR="00B40060" w:rsidRPr="00DB4AEE">
        <w:t xml:space="preserve">also </w:t>
      </w:r>
      <w:r w:rsidRPr="00DB4AEE">
        <w:t>argues that FPA section 307, contained in the procedural and administrative provisions of Part III</w:t>
      </w:r>
      <w:r w:rsidR="000446EE">
        <w:t>,</w:t>
      </w:r>
      <w:r w:rsidRPr="00DB4AEE">
        <w:t xml:space="preserve"> does not specifically refer to section 201(f) entities and, therefore, does not apply to them.  We disagree.  </w:t>
      </w:r>
      <w:proofErr w:type="spellStart"/>
      <w:r w:rsidR="0045252A" w:rsidRPr="00DB4AEE">
        <w:t>EPAct</w:t>
      </w:r>
      <w:proofErr w:type="spellEnd"/>
      <w:r w:rsidR="0045252A" w:rsidRPr="00DB4AEE">
        <w:t xml:space="preserve"> 2005 expanded the entities that the Commission could investigate under section 307(a)</w:t>
      </w:r>
      <w:r w:rsidR="00EE11D7" w:rsidRPr="00DB4AEE">
        <w:t xml:space="preserve"> from “any person”</w:t>
      </w:r>
      <w:r w:rsidR="0045252A" w:rsidRPr="00DB4AEE">
        <w:t xml:space="preserve"> to include any “electric utility,” any “transmitting utility,” or any “other entity.</w:t>
      </w:r>
      <w:r w:rsidR="00942252" w:rsidRPr="00DB4AEE">
        <w:t>”</w:t>
      </w:r>
      <w:r w:rsidR="00120B2A" w:rsidRPr="00DB4AEE">
        <w:t xml:space="preserve"> </w:t>
      </w:r>
      <w:r w:rsidR="0045252A" w:rsidRPr="00DB4AEE">
        <w:t xml:space="preserve"> </w:t>
      </w:r>
      <w:r w:rsidRPr="00DB4AEE">
        <w:t xml:space="preserve">The FPA defines an “electric utility” as “a person or Federal or State agency (including an entity described </w:t>
      </w:r>
      <w:r w:rsidRPr="00DB4AEE">
        <w:lastRenderedPageBreak/>
        <w:t>in section 201(f)) that sells electric energy.</w:t>
      </w:r>
      <w:r w:rsidR="000446EE">
        <w:t>)</w:t>
      </w:r>
      <w:r w:rsidRPr="00DB4AEE">
        <w:t>”</w:t>
      </w:r>
      <w:r w:rsidR="005D24BE" w:rsidRPr="00DB4AEE">
        <w:rPr>
          <w:rStyle w:val="FootnoteReference"/>
        </w:rPr>
        <w:footnoteReference w:id="58"/>
      </w:r>
      <w:r w:rsidR="005D24BE" w:rsidRPr="00DB4AEE">
        <w:t xml:space="preserve"> </w:t>
      </w:r>
      <w:r w:rsidRPr="00DB4AEE">
        <w:t xml:space="preserve"> The FPA defines a “transmitting utility” as “an entity (including an entity described in section 201(f)) that owns, operates, or controls facilities used for the transmission of electric energy” in interstate commerce or for the sale of electric energy at wholesale.</w:t>
      </w:r>
      <w:r w:rsidR="005D24BE" w:rsidRPr="00DB4AEE">
        <w:rPr>
          <w:rStyle w:val="FootnoteReference"/>
        </w:rPr>
        <w:footnoteReference w:id="59"/>
      </w:r>
      <w:r w:rsidRPr="00DB4AEE">
        <w:t xml:space="preserve">  </w:t>
      </w:r>
      <w:r w:rsidR="00120B2A" w:rsidRPr="00DB4AEE">
        <w:t xml:space="preserve">Although the FPA does not specifically define “other entity,” </w:t>
      </w:r>
      <w:r w:rsidR="000F63F6" w:rsidRPr="00DB4AEE">
        <w:t>the term</w:t>
      </w:r>
      <w:r w:rsidR="00120B2A" w:rsidRPr="00DB4AEE">
        <w:t xml:space="preserve"> clearly reaches beyond electric utilities and transmitting utilities.  </w:t>
      </w:r>
      <w:r w:rsidR="0045252A" w:rsidRPr="00DB4AEE">
        <w:t xml:space="preserve">By expanding the scope of entities that </w:t>
      </w:r>
      <w:r w:rsidR="000F63F6" w:rsidRPr="00DB4AEE">
        <w:t xml:space="preserve">may </w:t>
      </w:r>
      <w:r w:rsidR="0045252A" w:rsidRPr="00DB4AEE">
        <w:t>be investigated under FPA section 307(a)</w:t>
      </w:r>
      <w:r w:rsidR="00120B2A" w:rsidRPr="00DB4AEE">
        <w:t xml:space="preserve"> to include section 201(f) entities</w:t>
      </w:r>
      <w:r w:rsidR="0045252A" w:rsidRPr="00DB4AEE">
        <w:t xml:space="preserve">, </w:t>
      </w:r>
      <w:proofErr w:type="spellStart"/>
      <w:r w:rsidR="00B40060" w:rsidRPr="00DB4AEE">
        <w:t>EPAct</w:t>
      </w:r>
      <w:proofErr w:type="spellEnd"/>
      <w:r w:rsidR="00B40060" w:rsidRPr="00DB4AEE">
        <w:t xml:space="preserve"> 2005 </w:t>
      </w:r>
      <w:r w:rsidR="0045252A" w:rsidRPr="00DB4AEE">
        <w:t xml:space="preserve">empowered the Commission to investigate </w:t>
      </w:r>
      <w:r w:rsidR="00120B2A" w:rsidRPr="00DB4AEE">
        <w:t xml:space="preserve">section 201(f) entities </w:t>
      </w:r>
      <w:r w:rsidR="00756E27">
        <w:t>that</w:t>
      </w:r>
      <w:r w:rsidR="00756E27" w:rsidRPr="00DB4AEE">
        <w:t xml:space="preserve"> </w:t>
      </w:r>
      <w:r w:rsidR="00120B2A" w:rsidRPr="00DB4AEE">
        <w:t xml:space="preserve">are not defined as “person[s]” for purposes of the FPA.  </w:t>
      </w:r>
      <w:r w:rsidR="0051760E" w:rsidRPr="00DB4AEE">
        <w:t xml:space="preserve">Consistent with this expansion in </w:t>
      </w:r>
      <w:r w:rsidR="00EC7C01" w:rsidRPr="00DB4AEE">
        <w:t xml:space="preserve">the types of entities that the Commission may investigate, </w:t>
      </w:r>
      <w:r w:rsidR="0051760E" w:rsidRPr="00DB4AEE">
        <w:t>Congress added the clause at the end of the first sentence in section 307(a) enabling the Commission to obtain information about wholesale sales and transmission of electric energy</w:t>
      </w:r>
      <w:r w:rsidR="00EC7C01" w:rsidRPr="00DB4AEE">
        <w:t xml:space="preserve"> that is needed to conduct those investigations</w:t>
      </w:r>
      <w:r w:rsidR="0051760E" w:rsidRPr="00DB4AEE">
        <w:t>.  Moreover, as noted above, other provisions in Part III of the FPA, particularly section 311, enable the Commission to investigate and “secure information”</w:t>
      </w:r>
      <w:r w:rsidR="00EC7C01" w:rsidRPr="00DB4AEE">
        <w:t xml:space="preserve"> for the purpose of recommending legislation</w:t>
      </w:r>
      <w:r w:rsidR="0051760E" w:rsidRPr="00DB4AEE">
        <w:t xml:space="preserve">, whether or not the entities are otherwise subject to the Commission’s jurisdiction.  This provision </w:t>
      </w:r>
      <w:r w:rsidR="00120B2A" w:rsidRPr="00DB4AEE">
        <w:t>indicate</w:t>
      </w:r>
      <w:r w:rsidR="0051760E" w:rsidRPr="00DB4AEE">
        <w:t xml:space="preserve">s that Congress </w:t>
      </w:r>
      <w:r w:rsidR="009F644B" w:rsidRPr="00DB4AEE">
        <w:t>contemplated</w:t>
      </w:r>
      <w:r w:rsidR="00EE11D7" w:rsidRPr="00DB4AEE">
        <w:t xml:space="preserve"> that the Commission could obtain information from section 201(f) entities in Part III of the FPA.</w:t>
      </w:r>
    </w:p>
    <w:p w14:paraId="5BB1DA31" w14:textId="77777777" w:rsidR="00FA53D4" w:rsidRPr="00DB4AEE" w:rsidRDefault="00FE3B7A" w:rsidP="00DB4AEE">
      <w:pPr>
        <w:pStyle w:val="FERCparanumber"/>
      </w:pPr>
      <w:r w:rsidRPr="00DB4AEE">
        <w:lastRenderedPageBreak/>
        <w:t>NRECA also contends that Order No. 771’s reading of section 307(a) ignores the canon of statutory construction that a particular provision must be read in its context in the overall statute</w:t>
      </w:r>
      <w:r w:rsidRPr="00DB4AEE">
        <w:rPr>
          <w:rStyle w:val="FootnoteReference"/>
        </w:rPr>
        <w:footnoteReference w:id="60"/>
      </w:r>
      <w:r w:rsidRPr="00DB4AEE">
        <w:t xml:space="preserve"> </w:t>
      </w:r>
      <w:r w:rsidR="00EC7C01" w:rsidRPr="00DB4AEE">
        <w:t xml:space="preserve">because </w:t>
      </w:r>
      <w:r w:rsidRPr="00DB4AEE">
        <w:t>the FPA’s procedural and administrative provisions in Part III of the statute distinguish between investigations by the Commission</w:t>
      </w:r>
      <w:r w:rsidR="00EC7C01" w:rsidRPr="00DB4AEE">
        <w:t xml:space="preserve"> under</w:t>
      </w:r>
      <w:r w:rsidRPr="00DB4AEE">
        <w:t xml:space="preserve"> section 307 and periodic and special reporting</w:t>
      </w:r>
      <w:r w:rsidR="00EC7C01" w:rsidRPr="00DB4AEE">
        <w:t xml:space="preserve"> under section</w:t>
      </w:r>
      <w:r w:rsidRPr="00DB4AEE">
        <w:t xml:space="preserve"> 304.</w:t>
      </w:r>
      <w:r w:rsidRPr="00DB4AEE">
        <w:rPr>
          <w:rStyle w:val="FootnoteReference"/>
        </w:rPr>
        <w:footnoteReference w:id="61"/>
      </w:r>
      <w:r w:rsidRPr="00DB4AEE">
        <w:t xml:space="preserve">  NRECA contends this structure indicates that Congress did not intend the grant of investigative authority to carry with it an implied authority to require the ongoing reporting of information to the Commission without conducting an investigation under section 307 and without complying with the reporting requirements of section 304.  </w:t>
      </w:r>
      <w:r w:rsidR="00E872D4" w:rsidRPr="00DB4AEE">
        <w:t xml:space="preserve">As discussed above, the Commission’s interpretation of section 307(a) requires e-Tag data from public utilities as well as entities listed in section 201(f) within the context of the Commission’s broad investigative authority under that provision to enable it to </w:t>
      </w:r>
      <w:r w:rsidR="00FB17C0" w:rsidRPr="00DB4AEE">
        <w:t xml:space="preserve">investigate to </w:t>
      </w:r>
      <w:r w:rsidR="00E872D4" w:rsidRPr="00DB4AEE">
        <w:t>determine if there are possible violations of section 222 by public utilities or section 201(f) entities.  The Commission’s a</w:t>
      </w:r>
      <w:r w:rsidR="00FB17C0" w:rsidRPr="00DB4AEE">
        <w:t>bility</w:t>
      </w:r>
      <w:r w:rsidR="00E872D4" w:rsidRPr="00DB4AEE">
        <w:t xml:space="preserve"> to require special or periodic reporting of e-Tag data from public utilities under section 304 is</w:t>
      </w:r>
      <w:r w:rsidR="00FB17C0" w:rsidRPr="00DB4AEE">
        <w:t xml:space="preserve"> separate and distinct from the Commission’s authority under section 307.</w:t>
      </w:r>
      <w:r w:rsidR="00E872D4" w:rsidRPr="00DB4AEE">
        <w:t xml:space="preserve">  </w:t>
      </w:r>
      <w:r w:rsidR="002C3400" w:rsidRPr="00DB4AEE">
        <w:t xml:space="preserve">Furthermore, if the Commission were to obtain necessary e-Tag data in a piecemeal </w:t>
      </w:r>
      <w:r w:rsidR="002C3400" w:rsidRPr="00DB4AEE">
        <w:lastRenderedPageBreak/>
        <w:t xml:space="preserve">manner through periodic, </w:t>
      </w:r>
      <w:r w:rsidR="002C3400" w:rsidRPr="00DB4AEE">
        <w:rPr>
          <w:i/>
        </w:rPr>
        <w:t>ad hoc</w:t>
      </w:r>
      <w:r w:rsidR="002C3400" w:rsidRPr="00DB4AEE">
        <w:t xml:space="preserve"> reports</w:t>
      </w:r>
      <w:r w:rsidR="00FB17C0" w:rsidRPr="00DB4AEE">
        <w:t>,</w:t>
      </w:r>
      <w:r w:rsidR="00A52B67" w:rsidRPr="00DB4AEE">
        <w:t xml:space="preserve"> </w:t>
      </w:r>
      <w:r w:rsidR="00FB17C0" w:rsidRPr="00DB4AEE">
        <w:t>the Commission</w:t>
      </w:r>
      <w:r w:rsidR="002C3400" w:rsidRPr="00DB4AEE">
        <w:t xml:space="preserve"> would not be able to carry out its statutory obligations under FPA section 222 effectively.  E-Tag data cannot be easily used, if at all, to investigate instances of market manipulation when the data can only be accessed in a truncated or incomplete form</w:t>
      </w:r>
      <w:r w:rsidR="009D0FF5" w:rsidRPr="00DB4AEE">
        <w:t xml:space="preserve"> from a subset of market participants</w:t>
      </w:r>
      <w:r w:rsidR="002C3400" w:rsidRPr="00DB4AEE">
        <w:t xml:space="preserve">.  Moreover, the ongoing, automated data delivery process currently required under Order No. 771 reduces administrative burdens on market participants when compared with the possible use of periodic, </w:t>
      </w:r>
      <w:r w:rsidR="002C3400" w:rsidRPr="00DB4AEE">
        <w:rPr>
          <w:i/>
        </w:rPr>
        <w:t>ad hoc</w:t>
      </w:r>
      <w:r w:rsidR="002C3400" w:rsidRPr="00DB4AEE">
        <w:t xml:space="preserve"> reports or data requests for e-Tag data.</w:t>
      </w:r>
    </w:p>
    <w:p w14:paraId="5BB1DA32" w14:textId="77777777" w:rsidR="000D31E7" w:rsidRPr="00DB4AEE" w:rsidRDefault="00C051A1" w:rsidP="00DB4AEE">
      <w:pPr>
        <w:pStyle w:val="FERCparanumber"/>
      </w:pPr>
      <w:r w:rsidRPr="00DB4AEE">
        <w:t>We</w:t>
      </w:r>
      <w:r w:rsidR="00A52E33" w:rsidRPr="00DB4AEE">
        <w:t xml:space="preserve"> also </w:t>
      </w:r>
      <w:r w:rsidR="00F818AB">
        <w:t xml:space="preserve">reject </w:t>
      </w:r>
      <w:r w:rsidR="00A52E33" w:rsidRPr="00DB4AEE">
        <w:t xml:space="preserve">NRECA’s claim that </w:t>
      </w:r>
      <w:r w:rsidR="00CD4EE5" w:rsidRPr="00DB4AEE">
        <w:t xml:space="preserve">Order No. 771’s focus on section 307(a) </w:t>
      </w:r>
      <w:r w:rsidR="000B15E0">
        <w:br/>
      </w:r>
      <w:r w:rsidRPr="00DB4AEE">
        <w:t xml:space="preserve">to allow the Commission to obtain information </w:t>
      </w:r>
      <w:r w:rsidR="00CD4EE5" w:rsidRPr="00DB4AEE">
        <w:t>ignores</w:t>
      </w:r>
      <w:r w:rsidR="00F50820" w:rsidRPr="00DB4AEE">
        <w:t xml:space="preserve"> or is inconsistent with</w:t>
      </w:r>
      <w:r w:rsidR="00CD4EE5" w:rsidRPr="00DB4AEE">
        <w:t xml:space="preserve"> </w:t>
      </w:r>
      <w:r w:rsidR="00B4048F">
        <w:br/>
      </w:r>
      <w:r w:rsidRPr="00DB4AEE">
        <w:t xml:space="preserve">other provisions in that section, specifically </w:t>
      </w:r>
      <w:r w:rsidR="00CD4EE5" w:rsidRPr="00DB4AEE">
        <w:t>sections 307(b), 307(c) and 307(d)</w:t>
      </w:r>
      <w:r w:rsidRPr="00DB4AEE">
        <w:t xml:space="preserve">.  </w:t>
      </w:r>
      <w:r w:rsidR="00B4048F">
        <w:br/>
      </w:r>
      <w:r w:rsidR="00D641F2" w:rsidRPr="00DB4AEE">
        <w:t>Sections 307(b) through 307(d)</w:t>
      </w:r>
      <w:r w:rsidRPr="00DB4AEE">
        <w:t xml:space="preserve"> </w:t>
      </w:r>
      <w:r w:rsidR="00CD4EE5" w:rsidRPr="00DB4AEE">
        <w:t xml:space="preserve">set forth </w:t>
      </w:r>
      <w:r w:rsidR="008C3276" w:rsidRPr="00DB4AEE">
        <w:t>processes</w:t>
      </w:r>
      <w:r w:rsidR="00CD4EE5" w:rsidRPr="00DB4AEE">
        <w:t xml:space="preserve"> that the Commission may employ </w:t>
      </w:r>
      <w:r w:rsidR="001372B8" w:rsidRPr="00DB4AEE">
        <w:t>when it uses its investigative authority</w:t>
      </w:r>
      <w:r w:rsidR="008C3276" w:rsidRPr="00DB4AEE">
        <w:t xml:space="preserve"> under section 307(a)</w:t>
      </w:r>
      <w:r w:rsidR="001372B8" w:rsidRPr="00DB4AEE">
        <w:t>.  The</w:t>
      </w:r>
      <w:r w:rsidR="000D31E7" w:rsidRPr="00DB4AEE">
        <w:t>se</w:t>
      </w:r>
      <w:r w:rsidR="001372B8" w:rsidRPr="00DB4AEE">
        <w:t xml:space="preserve"> </w:t>
      </w:r>
      <w:r w:rsidR="008C3276" w:rsidRPr="00DB4AEE">
        <w:t xml:space="preserve">processes </w:t>
      </w:r>
      <w:r w:rsidR="00E2403F" w:rsidRPr="00DB4AEE">
        <w:t xml:space="preserve">enable </w:t>
      </w:r>
      <w:r w:rsidRPr="00DB4AEE">
        <w:t xml:space="preserve">the Commission </w:t>
      </w:r>
      <w:r w:rsidR="00CD4EE5" w:rsidRPr="00DB4AEE">
        <w:t>to</w:t>
      </w:r>
      <w:r w:rsidR="00F13598" w:rsidRPr="00DB4AEE">
        <w:t>, among other things,</w:t>
      </w:r>
      <w:r w:rsidR="00CD4EE5" w:rsidRPr="00DB4AEE">
        <w:t xml:space="preserve"> administer oaths</w:t>
      </w:r>
      <w:r w:rsidR="00F13598" w:rsidRPr="00DB4AEE">
        <w:t>,</w:t>
      </w:r>
      <w:r w:rsidR="00CD4EE5" w:rsidRPr="00DB4AEE">
        <w:t xml:space="preserve"> subpoena witnesses</w:t>
      </w:r>
      <w:r w:rsidR="00F13598" w:rsidRPr="00DB4AEE">
        <w:t>,</w:t>
      </w:r>
      <w:r w:rsidR="00CD4EE5" w:rsidRPr="00DB4AEE">
        <w:t xml:space="preserve"> seek the </w:t>
      </w:r>
      <w:r w:rsidR="00B4048F">
        <w:br/>
      </w:r>
      <w:r w:rsidR="00CD4EE5" w:rsidRPr="00DB4AEE">
        <w:t>aid of courts to require the attendance and testimony of witnesses</w:t>
      </w:r>
      <w:r w:rsidR="00F13598" w:rsidRPr="00DB4AEE">
        <w:t>,</w:t>
      </w:r>
      <w:r w:rsidR="00CD4EE5" w:rsidRPr="00DB4AEE">
        <w:t xml:space="preserve"> and order the taking </w:t>
      </w:r>
      <w:r w:rsidR="00B4048F">
        <w:br/>
      </w:r>
      <w:r w:rsidR="00CD4EE5" w:rsidRPr="00DB4AEE">
        <w:t xml:space="preserve">of witness testimony by deposition.  </w:t>
      </w:r>
      <w:r w:rsidR="003C312E" w:rsidRPr="00DB4AEE">
        <w:t>As</w:t>
      </w:r>
      <w:r w:rsidR="00CD4EE5" w:rsidRPr="00DB4AEE">
        <w:t xml:space="preserve"> noted in Order No. 771, although </w:t>
      </w:r>
      <w:r w:rsidR="009942AC" w:rsidRPr="00DB4AEE">
        <w:t xml:space="preserve">FPA </w:t>
      </w:r>
      <w:r w:rsidR="00B4048F">
        <w:br/>
      </w:r>
      <w:r w:rsidR="00CD4EE5" w:rsidRPr="00DB4AEE">
        <w:t>section</w:t>
      </w:r>
      <w:r w:rsidR="001372B8" w:rsidRPr="00DB4AEE">
        <w:t>s</w:t>
      </w:r>
      <w:r w:rsidR="00CD4EE5" w:rsidRPr="00DB4AEE">
        <w:t xml:space="preserve"> 307(b</w:t>
      </w:r>
      <w:r w:rsidR="00B63266" w:rsidRPr="00DB4AEE">
        <w:t xml:space="preserve">) through </w:t>
      </w:r>
      <w:r w:rsidR="00CD4EE5" w:rsidRPr="00DB4AEE">
        <w:t>307(d)</w:t>
      </w:r>
      <w:r w:rsidR="001372B8" w:rsidRPr="00DB4AEE">
        <w:t xml:space="preserve"> </w:t>
      </w:r>
      <w:r w:rsidR="00CD4EE5" w:rsidRPr="00DB4AEE">
        <w:t>enable the Commission to use subpoenas or other processes when necessary in connection with an investigation, it does not follow that all Commission investigations initiated under section 307(a) are limited to particular matters and cannot be used to collect information more broadly.</w:t>
      </w:r>
      <w:r w:rsidR="008233EF" w:rsidRPr="00DB4AEE">
        <w:rPr>
          <w:rStyle w:val="FootnoteReference"/>
        </w:rPr>
        <w:footnoteReference w:id="62"/>
      </w:r>
      <w:r w:rsidR="00CD4EE5" w:rsidRPr="00DB4AEE">
        <w:t xml:space="preserve">  </w:t>
      </w:r>
      <w:r w:rsidR="0059064E" w:rsidRPr="00DB4AEE">
        <w:t xml:space="preserve">This broader interpretation of </w:t>
      </w:r>
      <w:r w:rsidR="0059064E" w:rsidRPr="00DB4AEE">
        <w:lastRenderedPageBreak/>
        <w:t xml:space="preserve">the Commission’s investigative authority under section 307 is evidenced by the </w:t>
      </w:r>
      <w:r w:rsidR="00B4048F">
        <w:br/>
      </w:r>
      <w:r w:rsidR="0059064E" w:rsidRPr="00DB4AEE">
        <w:t xml:space="preserve">wording in </w:t>
      </w:r>
      <w:r w:rsidR="00980818" w:rsidRPr="00DB4AEE">
        <w:t>FPA sections 307(b), 307(c) and 307(d)</w:t>
      </w:r>
      <w:r w:rsidR="0059064E" w:rsidRPr="00DB4AEE">
        <w:t xml:space="preserve"> themselves</w:t>
      </w:r>
      <w:r w:rsidR="005B4986" w:rsidRPr="00DB4AEE">
        <w:t xml:space="preserve">.  These </w:t>
      </w:r>
      <w:r w:rsidR="0059064E" w:rsidRPr="00DB4AEE">
        <w:t xml:space="preserve">provisions </w:t>
      </w:r>
      <w:r w:rsidR="00B4048F">
        <w:br/>
      </w:r>
      <w:r w:rsidR="0059064E" w:rsidRPr="00DB4AEE">
        <w:t>do not limit the availability of processes to particularized investigations initiated under section 307(a), as suggested by NRECA.  Rather</w:t>
      </w:r>
      <w:r w:rsidR="006D04D6" w:rsidRPr="00DB4AEE">
        <w:t xml:space="preserve">, these provisions refer </w:t>
      </w:r>
      <w:r w:rsidR="0005007B" w:rsidRPr="00DB4AEE">
        <w:t xml:space="preserve">more generally </w:t>
      </w:r>
      <w:r w:rsidR="00B4048F">
        <w:br/>
      </w:r>
      <w:r w:rsidR="006D04D6" w:rsidRPr="00DB4AEE">
        <w:t xml:space="preserve">to </w:t>
      </w:r>
      <w:r w:rsidR="004B5E7C" w:rsidRPr="00DB4AEE">
        <w:t xml:space="preserve">the Commission’s ability to employ </w:t>
      </w:r>
      <w:r w:rsidR="00364C62" w:rsidRPr="00DB4AEE">
        <w:t xml:space="preserve">these </w:t>
      </w:r>
      <w:r w:rsidR="006D04D6" w:rsidRPr="00DB4AEE">
        <w:t xml:space="preserve">processes in connection with </w:t>
      </w:r>
      <w:r w:rsidR="00DC3AF5" w:rsidRPr="00DB4AEE">
        <w:t xml:space="preserve">either </w:t>
      </w:r>
      <w:r w:rsidR="005B4986" w:rsidRPr="00DB4AEE">
        <w:t xml:space="preserve">an </w:t>
      </w:r>
      <w:r w:rsidR="004B5E7C" w:rsidRPr="00DB4AEE">
        <w:t xml:space="preserve">“investigation” or </w:t>
      </w:r>
      <w:r w:rsidR="005B4986" w:rsidRPr="00DB4AEE">
        <w:t xml:space="preserve">a </w:t>
      </w:r>
      <w:r w:rsidR="004B5E7C" w:rsidRPr="00DB4AEE">
        <w:t>“proceeding”</w:t>
      </w:r>
      <w:r w:rsidR="005E73B5" w:rsidRPr="00DB4AEE">
        <w:t xml:space="preserve"> under the FPA.</w:t>
      </w:r>
      <w:r w:rsidR="00364C62" w:rsidRPr="00DB4AEE">
        <w:rPr>
          <w:rStyle w:val="FootnoteReference"/>
        </w:rPr>
        <w:footnoteReference w:id="63"/>
      </w:r>
    </w:p>
    <w:p w14:paraId="5BB1DA33" w14:textId="77777777" w:rsidR="001130DC" w:rsidRPr="00DB4AEE" w:rsidRDefault="009A3E55">
      <w:pPr>
        <w:pStyle w:val="FERCparanumber"/>
      </w:pPr>
      <w:r w:rsidRPr="00DB4AEE">
        <w:t xml:space="preserve">NRECA </w:t>
      </w:r>
      <w:r w:rsidR="00E563AD" w:rsidRPr="00DB4AEE">
        <w:t xml:space="preserve">also </w:t>
      </w:r>
      <w:r w:rsidRPr="00DB4AEE">
        <w:t>argues that Part 1b of the Commission’s regulations</w:t>
      </w:r>
      <w:r w:rsidR="00495F98" w:rsidRPr="00DB4AEE">
        <w:rPr>
          <w:rStyle w:val="FootnoteReference"/>
        </w:rPr>
        <w:footnoteReference w:id="64"/>
      </w:r>
      <w:r w:rsidRPr="00DB4AEE">
        <w:t xml:space="preserve"> appl</w:t>
      </w:r>
      <w:r w:rsidR="00756E27">
        <w:t>ies</w:t>
      </w:r>
      <w:r w:rsidRPr="00DB4AEE">
        <w:t xml:space="preserve"> to </w:t>
      </w:r>
      <w:r w:rsidR="006E1F2B" w:rsidRPr="00DB4AEE">
        <w:t>all investigations conducted by the Commission, including those instituted under FPA section 307(a)</w:t>
      </w:r>
      <w:r w:rsidRPr="00DB4AEE">
        <w:t xml:space="preserve">, and </w:t>
      </w:r>
      <w:r w:rsidR="00495F98" w:rsidRPr="00DB4AEE">
        <w:t xml:space="preserve">that </w:t>
      </w:r>
      <w:r w:rsidRPr="00DB4AEE">
        <w:t>the Commission did not order an investigation in Order No. 771</w:t>
      </w:r>
      <w:r w:rsidR="006E1F2B" w:rsidRPr="00DB4AEE">
        <w:t>.</w:t>
      </w:r>
      <w:r w:rsidR="00756E27">
        <w:t xml:space="preserve"> </w:t>
      </w:r>
      <w:r w:rsidR="00422121">
        <w:t xml:space="preserve"> </w:t>
      </w:r>
      <w:r w:rsidR="003B7A56" w:rsidRPr="00DB4AEE">
        <w:t xml:space="preserve">Section 307(a) </w:t>
      </w:r>
      <w:r w:rsidR="00A04A96" w:rsidRPr="00DB4AEE">
        <w:t>grants</w:t>
      </w:r>
      <w:r w:rsidR="003B7A56" w:rsidRPr="00DB4AEE">
        <w:t xml:space="preserve"> the Commission </w:t>
      </w:r>
      <w:r w:rsidR="00E01BEB" w:rsidRPr="00DB4AEE">
        <w:t xml:space="preserve">a </w:t>
      </w:r>
      <w:r w:rsidR="003B7A56" w:rsidRPr="00DB4AEE">
        <w:t xml:space="preserve">general investigative authority, including the authority to obtain information about the wholesale sale and transmission of electric energy.  </w:t>
      </w:r>
      <w:r w:rsidR="009F4E25" w:rsidRPr="00DB4AEE">
        <w:t>S</w:t>
      </w:r>
      <w:r w:rsidR="003B7A56" w:rsidRPr="00DB4AEE">
        <w:t>ection 307(a) does not prescribe the manner in which the Commission must obtain such information and the Commi</w:t>
      </w:r>
      <w:r w:rsidR="009F4E25" w:rsidRPr="00DB4AEE">
        <w:t>ssion has previously used its investigative authority</w:t>
      </w:r>
      <w:r w:rsidR="00605963" w:rsidRPr="00DB4AEE">
        <w:t xml:space="preserve"> under section 307(a)</w:t>
      </w:r>
      <w:r w:rsidR="009F4E25" w:rsidRPr="00DB4AEE">
        <w:t xml:space="preserve"> to collect information</w:t>
      </w:r>
      <w:r w:rsidR="00F35FEC" w:rsidRPr="00DB4AEE">
        <w:rPr>
          <w:rStyle w:val="FootnoteReference"/>
        </w:rPr>
        <w:footnoteReference w:id="65"/>
      </w:r>
      <w:r w:rsidR="009F4E25" w:rsidRPr="00DB4AEE">
        <w:t xml:space="preserve"> or initiate inquiries</w:t>
      </w:r>
      <w:r w:rsidR="00495F98" w:rsidRPr="00DB4AEE">
        <w:rPr>
          <w:rStyle w:val="FootnoteReference"/>
        </w:rPr>
        <w:footnoteReference w:id="66"/>
      </w:r>
      <w:r w:rsidR="009F4E25" w:rsidRPr="00DB4AEE">
        <w:t xml:space="preserve"> without </w:t>
      </w:r>
      <w:r w:rsidR="009F4E25" w:rsidRPr="00DB4AEE">
        <w:lastRenderedPageBreak/>
        <w:t>initiating enforcement investigations pursuant to Part 1b of the Commission’s regulations</w:t>
      </w:r>
      <w:r w:rsidR="003B7A56" w:rsidRPr="00DB4AEE">
        <w:t>.</w:t>
      </w:r>
      <w:r w:rsidR="003B7A56" w:rsidRPr="00DB4AEE">
        <w:rPr>
          <w:rStyle w:val="FootnoteReference"/>
        </w:rPr>
        <w:footnoteReference w:id="67"/>
      </w:r>
      <w:r w:rsidR="003B7A56" w:rsidRPr="00DB4AEE">
        <w:t xml:space="preserve">  </w:t>
      </w:r>
      <w:r w:rsidR="00463971" w:rsidRPr="00DB4AEE">
        <w:t xml:space="preserve">NRECA </w:t>
      </w:r>
      <w:r w:rsidR="007B0FC4" w:rsidRPr="00DB4AEE">
        <w:t>argues that</w:t>
      </w:r>
      <w:r w:rsidR="00463971" w:rsidRPr="00DB4AEE">
        <w:t xml:space="preserve"> </w:t>
      </w:r>
      <w:r w:rsidR="00B255CE" w:rsidRPr="00DB4AEE">
        <w:t xml:space="preserve">the Commission orders </w:t>
      </w:r>
      <w:r w:rsidR="00670C09" w:rsidRPr="00DB4AEE">
        <w:t>cited in Order No. 771</w:t>
      </w:r>
      <w:r w:rsidR="00B255CE" w:rsidRPr="00DB4AEE">
        <w:rPr>
          <w:rStyle w:val="FootnoteReference"/>
        </w:rPr>
        <w:footnoteReference w:id="68"/>
      </w:r>
      <w:r w:rsidR="00670C09" w:rsidRPr="00DB4AEE">
        <w:t xml:space="preserve"> as </w:t>
      </w:r>
      <w:r w:rsidR="00B255CE" w:rsidRPr="00DB4AEE">
        <w:t xml:space="preserve">cases where the Commission relied </w:t>
      </w:r>
      <w:r w:rsidR="00670C09" w:rsidRPr="00DB4AEE">
        <w:t>on</w:t>
      </w:r>
      <w:r w:rsidR="00722BD3" w:rsidRPr="00DB4AEE">
        <w:t xml:space="preserve"> section 307(a)</w:t>
      </w:r>
      <w:r w:rsidR="00670C09" w:rsidRPr="00DB4AEE">
        <w:t xml:space="preserve"> </w:t>
      </w:r>
      <w:r w:rsidR="00B255CE" w:rsidRPr="00DB4AEE">
        <w:t xml:space="preserve">to collect data </w:t>
      </w:r>
      <w:r w:rsidR="00670C09" w:rsidRPr="00DB4AEE">
        <w:t>ar</w:t>
      </w:r>
      <w:r w:rsidR="00722BD3" w:rsidRPr="00DB4AEE">
        <w:t xml:space="preserve">e not precedent because section 307(a) </w:t>
      </w:r>
      <w:r w:rsidR="00B255CE" w:rsidRPr="00DB4AEE">
        <w:t>was not</w:t>
      </w:r>
      <w:r w:rsidR="00463971" w:rsidRPr="00DB4AEE">
        <w:t xml:space="preserve"> the sole or primary legal authority</w:t>
      </w:r>
      <w:r w:rsidR="00722BD3" w:rsidRPr="00DB4AEE">
        <w:t xml:space="preserve"> </w:t>
      </w:r>
      <w:r w:rsidR="00B255CE" w:rsidRPr="00DB4AEE">
        <w:t>used in those cases</w:t>
      </w:r>
      <w:r w:rsidR="00463971" w:rsidRPr="00DB4AEE">
        <w:t xml:space="preserve"> and </w:t>
      </w:r>
      <w:r w:rsidR="00B255CE" w:rsidRPr="00DB4AEE">
        <w:t xml:space="preserve">the Commission’s </w:t>
      </w:r>
      <w:r w:rsidR="00463971" w:rsidRPr="00DB4AEE">
        <w:t xml:space="preserve">authority in those cases was not challenged.  </w:t>
      </w:r>
      <w:r w:rsidR="000446EE">
        <w:t>However</w:t>
      </w:r>
      <w:r w:rsidR="00B255CE" w:rsidRPr="00DB4AEE">
        <w:t>, even though section 307(a) was not the only authority relied upon in th</w:t>
      </w:r>
      <w:r w:rsidR="00417981" w:rsidRPr="00DB4AEE">
        <w:t>e</w:t>
      </w:r>
      <w:r w:rsidR="00B255CE" w:rsidRPr="00DB4AEE">
        <w:t xml:space="preserve"> cited cases and those cases were not challenged</w:t>
      </w:r>
      <w:r w:rsidR="00444B49" w:rsidRPr="00DB4AEE">
        <w:t xml:space="preserve"> in court</w:t>
      </w:r>
      <w:r w:rsidR="00B255CE" w:rsidRPr="00DB4AEE">
        <w:t>, they nonetheless serve as precedent where the Commission previously relied on its authority under section 307(a) to collect data</w:t>
      </w:r>
      <w:r w:rsidR="00346087" w:rsidRPr="00DB4AEE">
        <w:t xml:space="preserve"> </w:t>
      </w:r>
      <w:r w:rsidR="0047533E" w:rsidRPr="00DB4AEE">
        <w:t xml:space="preserve">that was </w:t>
      </w:r>
      <w:r w:rsidR="00346087" w:rsidRPr="00DB4AEE">
        <w:t>not linked to an investigation of a specific entity</w:t>
      </w:r>
      <w:r w:rsidR="00B255CE" w:rsidRPr="00DB4AEE">
        <w:t>.</w:t>
      </w:r>
    </w:p>
    <w:p w14:paraId="5BB1DA34" w14:textId="77777777" w:rsidR="00F236B5" w:rsidRPr="00DB4AEE" w:rsidRDefault="00BC4E93" w:rsidP="00DB4AEE">
      <w:pPr>
        <w:pStyle w:val="FERCparanumber"/>
      </w:pPr>
      <w:r w:rsidRPr="00DB4AEE">
        <w:t xml:space="preserve">The Commission’s authority </w:t>
      </w:r>
      <w:r w:rsidR="00F236B5" w:rsidRPr="00DB4AEE">
        <w:t xml:space="preserve">under FPA section 307(a) to investigate any facts, conditions, practices, or matters it </w:t>
      </w:r>
      <w:r w:rsidR="00AC48ED" w:rsidRPr="00DB4AEE">
        <w:t xml:space="preserve">may </w:t>
      </w:r>
      <w:r w:rsidR="004C54EC" w:rsidRPr="00DB4AEE">
        <w:t>find</w:t>
      </w:r>
      <w:r w:rsidR="00F236B5" w:rsidRPr="00DB4AEE">
        <w:t xml:space="preserve"> necessary or proper to determine if any </w:t>
      </w:r>
      <w:r w:rsidR="00F236B5" w:rsidRPr="00DB4AEE">
        <w:lastRenderedPageBreak/>
        <w:t xml:space="preserve">person, electric utility, transmitting utility, or other entity has violated </w:t>
      </w:r>
      <w:r w:rsidR="00FF0B9E" w:rsidRPr="00DB4AEE">
        <w:t xml:space="preserve">or is about to violate </w:t>
      </w:r>
      <w:r w:rsidR="00F236B5" w:rsidRPr="00DB4AEE">
        <w:t>provisions of the FPA</w:t>
      </w:r>
      <w:r w:rsidR="000C6CEA" w:rsidRPr="00DB4AEE">
        <w:t>,</w:t>
      </w:r>
      <w:r w:rsidR="001657BE" w:rsidRPr="00DB4AEE">
        <w:t xml:space="preserve"> </w:t>
      </w:r>
      <w:r w:rsidRPr="00DB4AEE">
        <w:t>taken together</w:t>
      </w:r>
      <w:r w:rsidR="000C6CEA" w:rsidRPr="00DB4AEE">
        <w:t xml:space="preserve"> </w:t>
      </w:r>
      <w:r w:rsidR="00F236B5" w:rsidRPr="00DB4AEE">
        <w:t xml:space="preserve">with the prohibitions against </w:t>
      </w:r>
      <w:r w:rsidR="00DE39DC" w:rsidRPr="00DB4AEE">
        <w:t>energy</w:t>
      </w:r>
      <w:r w:rsidR="008D738B" w:rsidRPr="00DB4AEE">
        <w:t xml:space="preserve"> </w:t>
      </w:r>
      <w:r w:rsidR="00F236B5" w:rsidRPr="00DB4AEE">
        <w:t>market manipulation in FPA section 222,</w:t>
      </w:r>
      <w:r w:rsidR="00D14011" w:rsidRPr="00DB4AEE">
        <w:t xml:space="preserve"> enable the Commission to gather information on </w:t>
      </w:r>
      <w:r w:rsidR="00B4048F">
        <w:br/>
      </w:r>
      <w:r w:rsidR="00D14011" w:rsidRPr="00DB4AEE">
        <w:t>e-Tags on an ongoing basis</w:t>
      </w:r>
      <w:r w:rsidR="00370D94" w:rsidRPr="00DB4AEE">
        <w:t>.  The Commission uses this e-Tag information</w:t>
      </w:r>
      <w:r w:rsidR="00D14011" w:rsidRPr="00DB4AEE">
        <w:t xml:space="preserve"> to investigate whether any of the entities identified in FPA section 307(a) are engaged in unlawful market manipulation.  Therefore, we </w:t>
      </w:r>
      <w:r w:rsidR="00F236B5" w:rsidRPr="00DB4AEE">
        <w:t>affirm our finding in Order No. 771 that these provisions together authorize the Commission to gather information on e-Tags</w:t>
      </w:r>
      <w:r w:rsidR="0079239B" w:rsidRPr="00DB4AEE">
        <w:t xml:space="preserve"> on an ongoing basis</w:t>
      </w:r>
      <w:r w:rsidR="00F236B5" w:rsidRPr="00DB4AEE">
        <w:t xml:space="preserve"> to investigate whether any of the entities identified in FPA section 307(a) are engaged in unlawful market manipulation</w:t>
      </w:r>
      <w:r w:rsidR="00D14011" w:rsidRPr="00DB4AEE">
        <w:t xml:space="preserve"> and </w:t>
      </w:r>
      <w:r w:rsidR="00F236B5" w:rsidRPr="00DB4AEE">
        <w:t xml:space="preserve">deny NRECA’s request for rehearing of this finding.  </w:t>
      </w:r>
      <w:r w:rsidR="00E76667">
        <w:t>T</w:t>
      </w:r>
      <w:r w:rsidR="00F236B5" w:rsidRPr="00DB4AEE">
        <w:t>he fact that FPA section</w:t>
      </w:r>
      <w:r w:rsidR="009D39F1" w:rsidRPr="00DB4AEE">
        <w:t>s</w:t>
      </w:r>
      <w:r w:rsidR="00F236B5" w:rsidRPr="00DB4AEE">
        <w:t xml:space="preserve"> 307(b)-(f) provide authority </w:t>
      </w:r>
      <w:r w:rsidR="00300C9C" w:rsidRPr="00DB4AEE">
        <w:t>to use certain processes in conducting</w:t>
      </w:r>
      <w:r w:rsidR="00F236B5" w:rsidRPr="00DB4AEE">
        <w:t xml:space="preserve"> investigations in no way dictates that </w:t>
      </w:r>
      <w:r w:rsidR="009D39F1" w:rsidRPr="00DB4AEE">
        <w:t xml:space="preserve">section </w:t>
      </w:r>
      <w:r w:rsidR="00F236B5" w:rsidRPr="00DB4AEE">
        <w:t>307(a) only authorizes</w:t>
      </w:r>
      <w:r w:rsidR="00300C9C" w:rsidRPr="00DB4AEE">
        <w:t xml:space="preserve"> investigations that use those processes</w:t>
      </w:r>
      <w:r w:rsidR="00F236B5" w:rsidRPr="00DB4AEE">
        <w:t>.</w:t>
      </w:r>
    </w:p>
    <w:p w14:paraId="5BB1DA35" w14:textId="77777777" w:rsidR="00BF0C8D" w:rsidRPr="00DB4AEE" w:rsidRDefault="00463971" w:rsidP="00DB4AEE">
      <w:pPr>
        <w:pStyle w:val="FERCparanumber"/>
      </w:pPr>
      <w:r w:rsidRPr="00DB4AEE">
        <w:t xml:space="preserve">NRECA also takes the </w:t>
      </w:r>
      <w:r w:rsidR="00166984" w:rsidRPr="00DB4AEE">
        <w:t>position</w:t>
      </w:r>
      <w:r w:rsidR="005D0FE0" w:rsidRPr="00DB4AEE">
        <w:t xml:space="preserve"> that</w:t>
      </w:r>
      <w:r w:rsidR="00895736" w:rsidRPr="00DB4AEE">
        <w:t xml:space="preserve"> </w:t>
      </w:r>
      <w:r w:rsidR="0070009E" w:rsidRPr="00DB4AEE">
        <w:t xml:space="preserve">the </w:t>
      </w:r>
      <w:r w:rsidR="00895736" w:rsidRPr="00DB4AEE">
        <w:rPr>
          <w:i/>
        </w:rPr>
        <w:t>Morton Salt</w:t>
      </w:r>
      <w:r w:rsidR="00895736" w:rsidRPr="00DB4AEE">
        <w:t xml:space="preserve"> </w:t>
      </w:r>
      <w:r w:rsidR="0070009E" w:rsidRPr="00DB4AEE">
        <w:t>case</w:t>
      </w:r>
      <w:r w:rsidR="0070009E" w:rsidRPr="00DB4AEE">
        <w:rPr>
          <w:rStyle w:val="FootnoteReference"/>
        </w:rPr>
        <w:footnoteReference w:id="69"/>
      </w:r>
      <w:r w:rsidR="0070009E" w:rsidRPr="00DB4AEE">
        <w:t xml:space="preserve"> </w:t>
      </w:r>
      <w:r w:rsidR="00F37A2F" w:rsidRPr="00DB4AEE">
        <w:t xml:space="preserve">is not precedent for the Commission’s actions in </w:t>
      </w:r>
      <w:r w:rsidR="00895736" w:rsidRPr="00DB4AEE">
        <w:t>Order No. 771</w:t>
      </w:r>
      <w:r w:rsidR="00417981" w:rsidRPr="00DB4AEE">
        <w:t xml:space="preserve"> </w:t>
      </w:r>
      <w:r w:rsidR="00B4585C" w:rsidRPr="00DB4AEE">
        <w:t>because</w:t>
      </w:r>
      <w:r w:rsidR="005D0FE0" w:rsidRPr="00DB4AEE">
        <w:t xml:space="preserve"> </w:t>
      </w:r>
      <w:r w:rsidR="005D0FE0" w:rsidRPr="00DB4AEE">
        <w:rPr>
          <w:i/>
        </w:rPr>
        <w:t>Morton Salt</w:t>
      </w:r>
      <w:r w:rsidR="00B4585C" w:rsidRPr="00DB4AEE">
        <w:t xml:space="preserve"> involved a specific investigation by the FTC</w:t>
      </w:r>
      <w:r w:rsidR="00BB584A" w:rsidRPr="00DB4AEE">
        <w:t xml:space="preserve">. </w:t>
      </w:r>
      <w:r w:rsidR="00B4585C" w:rsidRPr="00DB4AEE">
        <w:t xml:space="preserve"> </w:t>
      </w:r>
      <w:r w:rsidR="00916BBD" w:rsidRPr="00DB4AEE">
        <w:t xml:space="preserve">In </w:t>
      </w:r>
      <w:r w:rsidR="00BF0C8D" w:rsidRPr="00DB4AEE">
        <w:rPr>
          <w:i/>
        </w:rPr>
        <w:t>Morton Salt</w:t>
      </w:r>
      <w:r w:rsidR="005B4986" w:rsidRPr="00DB4AEE">
        <w:t>, the</w:t>
      </w:r>
      <w:r w:rsidR="000B73E5">
        <w:t xml:space="preserve"> Supreme</w:t>
      </w:r>
      <w:r w:rsidR="005B4986" w:rsidRPr="00DB4AEE">
        <w:t xml:space="preserve"> Court addressed the FTC’s</w:t>
      </w:r>
      <w:r w:rsidR="00D656B9" w:rsidRPr="00DB4AEE">
        <w:t xml:space="preserve"> power to require </w:t>
      </w:r>
      <w:r w:rsidR="00916BBD" w:rsidRPr="00DB4AEE">
        <w:t>the respondents</w:t>
      </w:r>
      <w:r w:rsidR="00D656B9" w:rsidRPr="00DB4AEE">
        <w:t xml:space="preserve"> to file reports showing how they had complied </w:t>
      </w:r>
      <w:r w:rsidR="00A62420" w:rsidRPr="00DB4AEE">
        <w:t xml:space="preserve">with a </w:t>
      </w:r>
      <w:r w:rsidR="002E011C" w:rsidRPr="00DB4AEE">
        <w:t xml:space="preserve">cease and </w:t>
      </w:r>
      <w:proofErr w:type="gramStart"/>
      <w:r w:rsidR="002E011C" w:rsidRPr="00DB4AEE">
        <w:t>desist</w:t>
      </w:r>
      <w:proofErr w:type="gramEnd"/>
      <w:r w:rsidR="002E011C" w:rsidRPr="00DB4AEE">
        <w:t xml:space="preserve"> order issued by the FTC and a </w:t>
      </w:r>
      <w:r w:rsidR="00916BBD" w:rsidRPr="00DB4AEE">
        <w:t xml:space="preserve">court decree enforcing </w:t>
      </w:r>
      <w:r w:rsidR="002E011C" w:rsidRPr="00DB4AEE">
        <w:t>that order</w:t>
      </w:r>
      <w:r w:rsidR="00792F56" w:rsidRPr="00DB4AEE">
        <w:t>.</w:t>
      </w:r>
      <w:r w:rsidR="00D656B9" w:rsidRPr="00DB4AEE">
        <w:t xml:space="preserve"> </w:t>
      </w:r>
      <w:r w:rsidR="00792F56" w:rsidRPr="00DB4AEE">
        <w:t xml:space="preserve"> </w:t>
      </w:r>
      <w:r w:rsidR="00417981" w:rsidRPr="00DB4AEE">
        <w:t>In addressing</w:t>
      </w:r>
      <w:r w:rsidR="005F41C8" w:rsidRPr="00DB4AEE">
        <w:t xml:space="preserve"> </w:t>
      </w:r>
      <w:r w:rsidR="00417981" w:rsidRPr="00DB4AEE">
        <w:t xml:space="preserve">respondents’ argument </w:t>
      </w:r>
      <w:r w:rsidR="00792F56" w:rsidRPr="00DB4AEE">
        <w:t xml:space="preserve">that </w:t>
      </w:r>
      <w:r w:rsidR="00990035" w:rsidRPr="00DB4AEE">
        <w:t xml:space="preserve">the FTC was “engaged in a mere ‘fishing expedition’ to see if </w:t>
      </w:r>
      <w:r w:rsidR="00990035" w:rsidRPr="00DB4AEE">
        <w:lastRenderedPageBreak/>
        <w:t>it can turn up evidence of guilt,”</w:t>
      </w:r>
      <w:r w:rsidR="00990035" w:rsidRPr="00DB4AEE">
        <w:rPr>
          <w:rStyle w:val="FootnoteReference"/>
        </w:rPr>
        <w:footnoteReference w:id="70"/>
      </w:r>
      <w:r w:rsidR="00990035" w:rsidRPr="00DB4AEE">
        <w:t xml:space="preserve"> </w:t>
      </w:r>
      <w:r w:rsidR="00792F56" w:rsidRPr="00DB4AEE">
        <w:t>since the FTC had not charged them with a violation</w:t>
      </w:r>
      <w:r w:rsidR="00417981" w:rsidRPr="00DB4AEE">
        <w:t>, the</w:t>
      </w:r>
      <w:r w:rsidR="00BF0C8D" w:rsidRPr="00DB4AEE">
        <w:t xml:space="preserve"> Court </w:t>
      </w:r>
      <w:r w:rsidR="005F41C8" w:rsidRPr="00DB4AEE">
        <w:t>stated</w:t>
      </w:r>
      <w:r w:rsidR="00990035" w:rsidRPr="00DB4AEE">
        <w:t xml:space="preserve"> </w:t>
      </w:r>
      <w:r w:rsidR="001D6501" w:rsidRPr="00DB4AEE">
        <w:t xml:space="preserve">that, even </w:t>
      </w:r>
      <w:r w:rsidR="005B4986" w:rsidRPr="00DB4AEE">
        <w:t>assuming</w:t>
      </w:r>
      <w:r w:rsidR="001D6501" w:rsidRPr="00DB4AEE">
        <w:t xml:space="preserve"> the FTC was engaged in a “fishing expedition</w:t>
      </w:r>
      <w:r w:rsidR="00792F56" w:rsidRPr="00DB4AEE">
        <w:t>”</w:t>
      </w:r>
      <w:r w:rsidR="005B4986" w:rsidRPr="00DB4AEE">
        <w:t>:</w:t>
      </w:r>
    </w:p>
    <w:p w14:paraId="5BB1DA36" w14:textId="77777777" w:rsidR="00F318D2" w:rsidRPr="00DB4AEE" w:rsidRDefault="00BF0C8D" w:rsidP="00B90502">
      <w:pPr>
        <w:spacing w:after="240"/>
        <w:ind w:left="720" w:right="720"/>
      </w:pPr>
      <w:r w:rsidRPr="00DB4AEE">
        <w:t>The only power that is involved here is the power to get information</w:t>
      </w:r>
      <w:r w:rsidR="00EB4759" w:rsidRPr="00DB4AEE">
        <w:t xml:space="preserve"> </w:t>
      </w:r>
      <w:r w:rsidRPr="00DB4AEE">
        <w:t>from those who best can give it and who are most interested in not doing so.  Because judicial power is reluctant if not unable to summon evidence until it is shown to be relevant to issues in litigation, it does</w:t>
      </w:r>
      <w:r w:rsidR="001D6501" w:rsidRPr="00DB4AEE">
        <w:t xml:space="preserve"> not follow that an administrative agency charged with seeing that the laws are enforced may not have and exercise powers of original inquiry.  It has a power of inquisition, if one chooses to call it that, which is not derived from the judicial function.  It is more analogous to the Grand Jury, which does not depend on a case or controversy for power to get evidence but can investigate merely on suspicion that the law is being violated or even because it wants assurance that it is not.</w:t>
      </w:r>
      <w:r w:rsidR="005E1846" w:rsidRPr="00DB4AEE">
        <w:t xml:space="preserve">  When investigative and accusatory duties are delegated by statute to an administrative body, it, too, may take steps to inform itself as to whether there is a probable violation of the law.</w:t>
      </w:r>
      <w:r w:rsidR="001D6501" w:rsidRPr="00DB4AEE">
        <w:rPr>
          <w:rStyle w:val="FootnoteReference"/>
        </w:rPr>
        <w:footnoteReference w:id="71"/>
      </w:r>
    </w:p>
    <w:p w14:paraId="5BB1DA37" w14:textId="77777777" w:rsidR="00F20E77" w:rsidRPr="00DB4AEE" w:rsidRDefault="00792F56" w:rsidP="00DB4AEE">
      <w:pPr>
        <w:pStyle w:val="FERCparanumber"/>
      </w:pPr>
      <w:r w:rsidRPr="00DB4AEE">
        <w:t>Thus, the Court recognized that</w:t>
      </w:r>
      <w:r w:rsidR="00670C09" w:rsidRPr="00DB4AEE">
        <w:t>, when an administrative agency is given investigative duties by Congress, the agency has</w:t>
      </w:r>
      <w:r w:rsidRPr="00DB4AEE">
        <w:t xml:space="preserve"> the power </w:t>
      </w:r>
      <w:r w:rsidR="00A67CA5" w:rsidRPr="00DB4AEE">
        <w:t xml:space="preserve">to </w:t>
      </w:r>
      <w:r w:rsidR="000136AA" w:rsidRPr="00DB4AEE">
        <w:t>obtain</w:t>
      </w:r>
      <w:r w:rsidR="00A67CA5" w:rsidRPr="00DB4AEE">
        <w:t xml:space="preserve"> </w:t>
      </w:r>
      <w:r w:rsidR="00670C09" w:rsidRPr="00DB4AEE">
        <w:t xml:space="preserve">information </w:t>
      </w:r>
      <w:r w:rsidR="00A67CA5" w:rsidRPr="00DB4AEE">
        <w:t xml:space="preserve">and investigate </w:t>
      </w:r>
      <w:r w:rsidR="005F41C8" w:rsidRPr="00DB4AEE">
        <w:t xml:space="preserve">entities </w:t>
      </w:r>
      <w:r w:rsidR="00670C09" w:rsidRPr="00DB4AEE">
        <w:t xml:space="preserve">not only within the context of </w:t>
      </w:r>
      <w:r w:rsidR="006578C9" w:rsidRPr="00DB4AEE">
        <w:t xml:space="preserve">a particular </w:t>
      </w:r>
      <w:r w:rsidR="00A12655" w:rsidRPr="00DB4AEE">
        <w:t xml:space="preserve">“case or controversy” </w:t>
      </w:r>
      <w:r w:rsidR="00670C09" w:rsidRPr="00DB4AEE">
        <w:t>but also</w:t>
      </w:r>
      <w:r w:rsidR="00F318D2" w:rsidRPr="00DB4AEE">
        <w:t xml:space="preserve"> </w:t>
      </w:r>
      <w:r w:rsidR="00A12655" w:rsidRPr="00DB4AEE">
        <w:t xml:space="preserve">to investigate </w:t>
      </w:r>
      <w:r w:rsidR="00F318D2" w:rsidRPr="00DB4AEE">
        <w:t>“merely on suspicion that the law is being violated</w:t>
      </w:r>
      <w:r w:rsidR="00D702AF" w:rsidRPr="00DB4AEE">
        <w:t xml:space="preserve"> or even because it wants assurance that it is not</w:t>
      </w:r>
      <w:r w:rsidRPr="00DB4AEE">
        <w:t>.</w:t>
      </w:r>
      <w:r w:rsidR="00F318D2" w:rsidRPr="00DB4AEE">
        <w:t>”</w:t>
      </w:r>
      <w:r w:rsidR="00670C09" w:rsidRPr="00DB4AEE">
        <w:rPr>
          <w:rStyle w:val="FootnoteReference"/>
        </w:rPr>
        <w:footnoteReference w:id="72"/>
      </w:r>
      <w:r w:rsidRPr="00DB4AEE">
        <w:t xml:space="preserve">  </w:t>
      </w:r>
      <w:r w:rsidR="00A12655" w:rsidRPr="00DB4AEE">
        <w:t>Moreover, t</w:t>
      </w:r>
      <w:r w:rsidR="00A62420" w:rsidRPr="00DB4AEE">
        <w:t xml:space="preserve">he Court </w:t>
      </w:r>
      <w:r w:rsidR="00A82CEB" w:rsidRPr="00DB4AEE">
        <w:t xml:space="preserve">rejected </w:t>
      </w:r>
      <w:r w:rsidR="005D7FF4" w:rsidRPr="00DB4AEE">
        <w:t xml:space="preserve">respondents’ </w:t>
      </w:r>
      <w:r w:rsidR="00A82CEB" w:rsidRPr="00DB4AEE">
        <w:t xml:space="preserve">arguments </w:t>
      </w:r>
      <w:r w:rsidR="00A12655" w:rsidRPr="00DB4AEE">
        <w:t xml:space="preserve">in </w:t>
      </w:r>
      <w:r w:rsidR="00A12655" w:rsidRPr="00DB4AEE">
        <w:rPr>
          <w:i/>
        </w:rPr>
        <w:t>Morton Salt</w:t>
      </w:r>
      <w:r w:rsidR="00A12655" w:rsidRPr="00DB4AEE">
        <w:t xml:space="preserve"> </w:t>
      </w:r>
      <w:r w:rsidR="00A62420" w:rsidRPr="00DB4AEE">
        <w:t xml:space="preserve">that the FTC could better have used its power </w:t>
      </w:r>
      <w:r w:rsidR="006E51D0" w:rsidRPr="00DB4AEE">
        <w:t xml:space="preserve">under section 9 of the Federal Trade Commission Act </w:t>
      </w:r>
      <w:r w:rsidR="00A62420" w:rsidRPr="00DB4AEE">
        <w:t xml:space="preserve">to “send investigators to examine their books, copy documents </w:t>
      </w:r>
      <w:r w:rsidR="00A62420" w:rsidRPr="00DB4AEE">
        <w:lastRenderedPageBreak/>
        <w:t>and issue subpoenas . . .”</w:t>
      </w:r>
      <w:r w:rsidR="00A62420" w:rsidRPr="00DB4AEE">
        <w:rPr>
          <w:rStyle w:val="FootnoteReference"/>
        </w:rPr>
        <w:footnoteReference w:id="73"/>
      </w:r>
      <w:r w:rsidR="00A62420" w:rsidRPr="00DB4AEE">
        <w:t xml:space="preserve">  </w:t>
      </w:r>
      <w:r w:rsidR="00A82CEB" w:rsidRPr="00DB4AEE">
        <w:t>Similar</w:t>
      </w:r>
      <w:r w:rsidR="005D7FF4" w:rsidRPr="00DB4AEE">
        <w:t xml:space="preserve"> to the FTC</w:t>
      </w:r>
      <w:r w:rsidR="00A82CEB" w:rsidRPr="00DB4AEE">
        <w:t>, t</w:t>
      </w:r>
      <w:r w:rsidR="00A62420" w:rsidRPr="00DB4AEE">
        <w:t xml:space="preserve">he Commission holds </w:t>
      </w:r>
      <w:r w:rsidR="005D7FF4" w:rsidRPr="00DB4AEE">
        <w:t>such power</w:t>
      </w:r>
      <w:r w:rsidR="005B264A" w:rsidRPr="00DB4AEE">
        <w:t>s</w:t>
      </w:r>
      <w:r w:rsidR="005D7FF4" w:rsidRPr="00DB4AEE">
        <w:t xml:space="preserve"> </w:t>
      </w:r>
      <w:r w:rsidR="00A62420" w:rsidRPr="00DB4AEE">
        <w:t>under</w:t>
      </w:r>
      <w:r w:rsidR="001125E1" w:rsidRPr="00DB4AEE">
        <w:t xml:space="preserve"> </w:t>
      </w:r>
      <w:r w:rsidR="00A62420" w:rsidRPr="00DB4AEE">
        <w:t>section 307</w:t>
      </w:r>
      <w:r w:rsidR="005D7FF4" w:rsidRPr="00DB4AEE">
        <w:t xml:space="preserve"> of the FPA.</w:t>
      </w:r>
    </w:p>
    <w:p w14:paraId="5BB1DA38" w14:textId="77777777" w:rsidR="002C1AED" w:rsidRPr="00DB4AEE" w:rsidRDefault="002C1AED" w:rsidP="00DB4AEE">
      <w:pPr>
        <w:pStyle w:val="FERCparanumber"/>
      </w:pPr>
      <w:r w:rsidRPr="00DB4AEE">
        <w:t xml:space="preserve">For all these reasons, we deny rehearing.  We reject NRECA’s proposed interpretation of </w:t>
      </w:r>
      <w:r w:rsidR="00E901DD" w:rsidRPr="00DB4AEE">
        <w:t xml:space="preserve">FPA </w:t>
      </w:r>
      <w:r w:rsidRPr="00DB4AEE">
        <w:t>section</w:t>
      </w:r>
      <w:r w:rsidR="00E74B15" w:rsidRPr="00DB4AEE">
        <w:t>s</w:t>
      </w:r>
      <w:r w:rsidRPr="00DB4AEE">
        <w:t xml:space="preserve"> 307 and 222 as inconsistent with both the language and purposes of </w:t>
      </w:r>
      <w:proofErr w:type="spellStart"/>
      <w:r w:rsidRPr="00DB4AEE">
        <w:t>EPAct</w:t>
      </w:r>
      <w:proofErr w:type="spellEnd"/>
      <w:r w:rsidRPr="00DB4AEE">
        <w:t xml:space="preserve"> 2005.  If we were to adopt NRECA’s proposed interpretation of our statutory authority, we would </w:t>
      </w:r>
      <w:r w:rsidR="003D1E2C" w:rsidRPr="00DB4AEE">
        <w:t>effectively</w:t>
      </w:r>
      <w:r w:rsidR="00A87F59" w:rsidRPr="00DB4AEE">
        <w:t xml:space="preserve"> be nullifying or disregarding</w:t>
      </w:r>
      <w:r w:rsidR="00E901DD" w:rsidRPr="00DB4AEE">
        <w:t xml:space="preserve"> </w:t>
      </w:r>
      <w:r w:rsidR="003D1E2C" w:rsidRPr="00DB4AEE">
        <w:t xml:space="preserve">the additional </w:t>
      </w:r>
      <w:r w:rsidR="00E901DD" w:rsidRPr="00DB4AEE">
        <w:t xml:space="preserve">authorities </w:t>
      </w:r>
      <w:r w:rsidR="006B31BA">
        <w:t xml:space="preserve">and responsibilities </w:t>
      </w:r>
      <w:r w:rsidR="00E901DD" w:rsidRPr="00DB4AEE">
        <w:t>given to the Commission under</w:t>
      </w:r>
      <w:r w:rsidRPr="00DB4AEE">
        <w:t xml:space="preserve"> </w:t>
      </w:r>
      <w:proofErr w:type="spellStart"/>
      <w:r w:rsidRPr="00DB4AEE">
        <w:t>EPAct</w:t>
      </w:r>
      <w:proofErr w:type="spellEnd"/>
      <w:r w:rsidRPr="00DB4AEE">
        <w:t xml:space="preserve"> 2005 and </w:t>
      </w:r>
      <w:r w:rsidR="00FB0AFE" w:rsidRPr="00DB4AEE">
        <w:t>return</w:t>
      </w:r>
      <w:r w:rsidR="006E73AA" w:rsidRPr="00DB4AEE">
        <w:t>ing</w:t>
      </w:r>
      <w:r w:rsidRPr="00DB4AEE">
        <w:t xml:space="preserve"> the Commission to its pre-</w:t>
      </w:r>
      <w:proofErr w:type="spellStart"/>
      <w:r w:rsidR="00E74B15" w:rsidRPr="00DB4AEE">
        <w:t>EPAct</w:t>
      </w:r>
      <w:proofErr w:type="spellEnd"/>
      <w:r w:rsidR="00E74B15" w:rsidRPr="00DB4AEE">
        <w:t xml:space="preserve"> </w:t>
      </w:r>
      <w:r w:rsidRPr="00DB4AEE">
        <w:t>2005 statutory authority.</w:t>
      </w:r>
    </w:p>
    <w:p w14:paraId="5BB1DA39" w14:textId="77777777" w:rsidR="00B46D99" w:rsidRPr="00DB4AEE" w:rsidRDefault="007047E5" w:rsidP="007C14E6">
      <w:pPr>
        <w:pStyle w:val="Heading2"/>
      </w:pPr>
      <w:r w:rsidRPr="00DB4AEE">
        <w:t>Opportunity to Comment on Proposals Adopted in Final Rule</w:t>
      </w:r>
      <w:bookmarkStart w:id="10" w:name="_bmk7"/>
    </w:p>
    <w:bookmarkEnd w:id="10"/>
    <w:p w14:paraId="5BB1DA3A" w14:textId="77777777" w:rsidR="00415EEF" w:rsidRPr="00DB4AEE" w:rsidRDefault="003F0637" w:rsidP="007C14E6">
      <w:pPr>
        <w:pStyle w:val="Heading3"/>
      </w:pPr>
      <w:r w:rsidRPr="00DB4AEE">
        <w:t>Requests for Rehearing and Clarification</w:t>
      </w:r>
      <w:bookmarkStart w:id="11" w:name="_bmk8"/>
    </w:p>
    <w:bookmarkEnd w:id="11"/>
    <w:p w14:paraId="5BB1DA3B" w14:textId="77777777" w:rsidR="00213C62" w:rsidRPr="00213C62" w:rsidRDefault="005229AF" w:rsidP="00DB4AEE">
      <w:pPr>
        <w:pStyle w:val="FERCparanumber"/>
        <w:rPr>
          <w:b/>
          <w:u w:val="single"/>
        </w:rPr>
      </w:pPr>
      <w:r w:rsidRPr="00DB4AEE">
        <w:t>Southern Companies</w:t>
      </w:r>
      <w:r w:rsidRPr="00DB4AEE">
        <w:rPr>
          <w:rStyle w:val="FootnoteReference"/>
        </w:rPr>
        <w:footnoteReference w:id="74"/>
      </w:r>
      <w:r w:rsidRPr="00DB4AEE">
        <w:t xml:space="preserve"> state that the Commission’s procedures were flawed in issuing Order N</w:t>
      </w:r>
      <w:r w:rsidR="00754F38" w:rsidRPr="00DB4AEE">
        <w:t>o</w:t>
      </w:r>
      <w:r w:rsidRPr="00DB4AEE">
        <w:t>. 771 because the Commission “dramatically changed</w:t>
      </w:r>
      <w:r w:rsidR="0041322A" w:rsidRPr="00DB4AEE">
        <w:t>”</w:t>
      </w:r>
      <w:r w:rsidRPr="00DB4AEE">
        <w:t xml:space="preserve"> its original proposal from the NOPR</w:t>
      </w:r>
      <w:r w:rsidR="003747D4">
        <w:rPr>
          <w:rStyle w:val="FootnoteReference"/>
        </w:rPr>
        <w:footnoteReference w:id="75"/>
      </w:r>
      <w:r w:rsidRPr="00DB4AEE">
        <w:t xml:space="preserve"> and adopted an alternate proposal without providing a meaningful opportunity to comment on the rule, especially the burden estimates, before </w:t>
      </w:r>
    </w:p>
    <w:p w14:paraId="5BB1DA3C" w14:textId="77777777" w:rsidR="00A4725C" w:rsidRPr="00DB4AEE" w:rsidRDefault="005229AF" w:rsidP="00213C62">
      <w:pPr>
        <w:pStyle w:val="FERCparanumber"/>
        <w:numPr>
          <w:ilvl w:val="0"/>
          <w:numId w:val="0"/>
        </w:numPr>
        <w:rPr>
          <w:b/>
          <w:u w:val="single"/>
        </w:rPr>
      </w:pPr>
      <w:proofErr w:type="gramStart"/>
      <w:r w:rsidRPr="00DB4AEE">
        <w:lastRenderedPageBreak/>
        <w:t>its</w:t>
      </w:r>
      <w:proofErr w:type="gramEnd"/>
      <w:r w:rsidRPr="00DB4AEE">
        <w:t xml:space="preserve"> issuance.</w:t>
      </w:r>
      <w:r w:rsidRPr="00DB4AEE">
        <w:rPr>
          <w:rStyle w:val="FootnoteReference"/>
        </w:rPr>
        <w:footnoteReference w:id="76"/>
      </w:r>
      <w:r w:rsidRPr="00DB4AEE">
        <w:t xml:space="preserve"> </w:t>
      </w:r>
      <w:r w:rsidR="00F4426E" w:rsidRPr="00DB4AEE">
        <w:t xml:space="preserve"> </w:t>
      </w:r>
      <w:r w:rsidR="00A02C78" w:rsidRPr="00DB4AEE">
        <w:t>Southern Companies argue that</w:t>
      </w:r>
      <w:r w:rsidR="00D42FF6">
        <w:t>,</w:t>
      </w:r>
      <w:r w:rsidR="00A02C78" w:rsidRPr="00DB4AEE">
        <w:t xml:space="preserve"> while the “final rule did not amount to a complete turnaround from the [proposed rule],” the D.C. Circuit </w:t>
      </w:r>
      <w:r w:rsidR="00A7008C" w:rsidRPr="00DB4AEE">
        <w:t xml:space="preserve">Court </w:t>
      </w:r>
      <w:r w:rsidR="00A02C78" w:rsidRPr="00DB4AEE">
        <w:t xml:space="preserve">has held that “the </w:t>
      </w:r>
      <w:r w:rsidR="001F68E1" w:rsidRPr="00DB4AEE">
        <w:t>[Administrative Procedure Act (</w:t>
      </w:r>
      <w:r w:rsidR="00A02C78" w:rsidRPr="00DB4AEE">
        <w:t>APA</w:t>
      </w:r>
      <w:r w:rsidR="001F68E1" w:rsidRPr="00DB4AEE">
        <w:t>)]</w:t>
      </w:r>
      <w:r w:rsidR="00A02C78" w:rsidRPr="00DB4AEE">
        <w:t xml:space="preserve"> simply requires more.”</w:t>
      </w:r>
      <w:r w:rsidR="00A02C78" w:rsidRPr="00DB4AEE">
        <w:rPr>
          <w:rStyle w:val="FootnoteReference"/>
        </w:rPr>
        <w:footnoteReference w:id="77"/>
      </w:r>
      <w:r w:rsidR="00A02C78" w:rsidRPr="00DB4AEE">
        <w:t xml:space="preserve">  </w:t>
      </w:r>
      <w:r w:rsidRPr="00DB4AEE">
        <w:t>Southern Companies state that, by not providing a burden analysis of the new proposal in the NOPR, interested parties were not afforded the level of opportunity to comment required by the APA.</w:t>
      </w:r>
      <w:r w:rsidRPr="00DB4AEE">
        <w:rPr>
          <w:rStyle w:val="FootnoteReference"/>
        </w:rPr>
        <w:footnoteReference w:id="78"/>
      </w:r>
      <w:r w:rsidRPr="00DB4AEE">
        <w:t xml:space="preserve"> </w:t>
      </w:r>
      <w:r w:rsidR="00B913F3" w:rsidRPr="00DB4AEE">
        <w:t xml:space="preserve"> </w:t>
      </w:r>
      <w:r w:rsidR="00340EBD" w:rsidRPr="00DB4AEE">
        <w:t xml:space="preserve">Southern Companies </w:t>
      </w:r>
      <w:r w:rsidR="00A7008C" w:rsidRPr="00DB4AEE">
        <w:t xml:space="preserve">argue that </w:t>
      </w:r>
      <w:r w:rsidR="00A02C78" w:rsidRPr="00DB4AEE">
        <w:t>parties did not have an opportunity to comment on the burden est</w:t>
      </w:r>
      <w:r w:rsidR="00A7008C" w:rsidRPr="00DB4AEE">
        <w:t>imates adopted in Order No. 771 and, therefore,</w:t>
      </w:r>
      <w:r w:rsidR="00A02C78" w:rsidRPr="00DB4AEE">
        <w:t xml:space="preserve"> the Final Rule cannot be considered a “logical outgrowth” of the NOPR.</w:t>
      </w:r>
      <w:r w:rsidR="00A02C78" w:rsidRPr="00DB4AEE">
        <w:rPr>
          <w:rStyle w:val="FootnoteReference"/>
        </w:rPr>
        <w:footnoteReference w:id="79"/>
      </w:r>
      <w:r w:rsidR="00A02C78" w:rsidRPr="00DB4AEE">
        <w:t xml:space="preserve">  </w:t>
      </w:r>
      <w:r w:rsidRPr="00DB4AEE">
        <w:t xml:space="preserve">Southern Companies state that the burden analysis in the NOPR assumed that only </w:t>
      </w:r>
      <w:r w:rsidR="008C1E04">
        <w:t xml:space="preserve">the </w:t>
      </w:r>
      <w:r w:rsidR="008C1E04" w:rsidRPr="00DB4AEE">
        <w:t xml:space="preserve">North American Electric Reliability Corporation </w:t>
      </w:r>
      <w:r w:rsidR="008C1E04">
        <w:t>(</w:t>
      </w:r>
      <w:r w:rsidRPr="00DB4AEE">
        <w:t>NERC</w:t>
      </w:r>
      <w:r w:rsidR="008C1E04">
        <w:t>)</w:t>
      </w:r>
      <w:r w:rsidRPr="00DB4AEE">
        <w:t xml:space="preserve"> would be required to perform any tasks and such tasks were </w:t>
      </w:r>
      <w:r w:rsidR="00213C62">
        <w:br/>
      </w:r>
      <w:r w:rsidRPr="00DB4AEE">
        <w:t xml:space="preserve">thought to only require seven hours a year of effort by NERC staff (at an estimated </w:t>
      </w:r>
      <w:r w:rsidR="00213C62">
        <w:br/>
      </w:r>
      <w:r w:rsidRPr="00DB4AEE">
        <w:t>cost of $820 per year).</w:t>
      </w:r>
      <w:r w:rsidRPr="00DB4AEE">
        <w:rPr>
          <w:rStyle w:val="FootnoteReference"/>
        </w:rPr>
        <w:footnoteReference w:id="80"/>
      </w:r>
      <w:r w:rsidRPr="00DB4AEE">
        <w:t xml:space="preserve">  Southern Companies contend that the burden analysis in </w:t>
      </w:r>
      <w:r w:rsidR="00213C62">
        <w:br/>
      </w:r>
      <w:r w:rsidRPr="00DB4AEE">
        <w:lastRenderedPageBreak/>
        <w:t>Order No. 771 assumes 1,703 respondents at an estimated cost of $498,000 per year.</w:t>
      </w:r>
      <w:r w:rsidRPr="00DB4AEE">
        <w:rPr>
          <w:rStyle w:val="FootnoteReference"/>
        </w:rPr>
        <w:footnoteReference w:id="81"/>
      </w:r>
      <w:r w:rsidRPr="00DB4AEE">
        <w:t xml:space="preserve">  Southern Companies also claim that Order No. 771’s burden estimates are based on the premise that e-Tag Authors and Balancing Authorities will use “existing, largely automated procedures,” which Southern Companies contend is not the case.</w:t>
      </w:r>
      <w:r w:rsidRPr="00DB4AEE">
        <w:rPr>
          <w:rStyle w:val="FootnoteReference"/>
        </w:rPr>
        <w:footnoteReference w:id="82"/>
      </w:r>
      <w:r w:rsidRPr="00DB4AEE">
        <w:t xml:space="preserve">  Southern Companies state that</w:t>
      </w:r>
      <w:r w:rsidR="006B31BA">
        <w:t>,</w:t>
      </w:r>
      <w:r w:rsidRPr="00DB4AEE">
        <w:t xml:space="preserve"> if an updated burden analysis had been presented for comment, the industry could have presented information regarding the burdens presented by the requirements ultimately adopted and potential ways to reduce such burdens.</w:t>
      </w:r>
      <w:r w:rsidRPr="00DB4AEE">
        <w:rPr>
          <w:rStyle w:val="FootnoteReference"/>
        </w:rPr>
        <w:footnoteReference w:id="83"/>
      </w:r>
    </w:p>
    <w:p w14:paraId="5BB1DA3D" w14:textId="77777777" w:rsidR="009815E7" w:rsidRPr="00DB4AEE" w:rsidRDefault="009815E7" w:rsidP="007C14E6">
      <w:pPr>
        <w:pStyle w:val="Heading3"/>
      </w:pPr>
      <w:r w:rsidRPr="00DB4AEE">
        <w:t>Commission Determination</w:t>
      </w:r>
      <w:bookmarkStart w:id="12" w:name="_bmk9"/>
    </w:p>
    <w:bookmarkEnd w:id="12"/>
    <w:p w14:paraId="5BB1DA3E" w14:textId="77777777" w:rsidR="007D6DEF" w:rsidRDefault="009C12F3" w:rsidP="00DB4AEE">
      <w:pPr>
        <w:pStyle w:val="FERCparanumber"/>
      </w:pPr>
      <w:r w:rsidRPr="00DB4AEE">
        <w:t xml:space="preserve">We </w:t>
      </w:r>
      <w:r w:rsidR="00FC3ABE" w:rsidRPr="00DB4AEE">
        <w:t>deny rehearing</w:t>
      </w:r>
      <w:r w:rsidR="00F85F39" w:rsidRPr="00DB4AEE">
        <w:t xml:space="preserve"> and affirm</w:t>
      </w:r>
      <w:r w:rsidR="00AA5832" w:rsidRPr="00DB4AEE">
        <w:t xml:space="preserve"> that this proceeding was conducted in the manner prescribed in </w:t>
      </w:r>
      <w:r w:rsidR="007C272A" w:rsidRPr="00DB4AEE">
        <w:t xml:space="preserve">both </w:t>
      </w:r>
      <w:r w:rsidR="00AA5832" w:rsidRPr="00DB4AEE">
        <w:t xml:space="preserve">the </w:t>
      </w:r>
      <w:r w:rsidR="007C272A" w:rsidRPr="00DB4AEE">
        <w:t xml:space="preserve">APA and the Paperwork Reduction Act </w:t>
      </w:r>
      <w:r w:rsidR="0011234C" w:rsidRPr="00DB4AEE">
        <w:t xml:space="preserve">of 1995 </w:t>
      </w:r>
      <w:r w:rsidR="007C272A" w:rsidRPr="00DB4AEE">
        <w:t>(</w:t>
      </w:r>
      <w:r w:rsidR="00CA00EB" w:rsidRPr="00DB4AEE">
        <w:t>Paper</w:t>
      </w:r>
      <w:r w:rsidR="001B0159">
        <w:t>work</w:t>
      </w:r>
      <w:r w:rsidR="00CA00EB" w:rsidRPr="00DB4AEE">
        <w:t xml:space="preserve"> Reduction Act</w:t>
      </w:r>
      <w:r w:rsidR="007C272A" w:rsidRPr="00DB4AEE">
        <w:t>)</w:t>
      </w:r>
      <w:r w:rsidR="00AA5832" w:rsidRPr="00DB4AEE">
        <w:t xml:space="preserve">.  </w:t>
      </w:r>
      <w:r w:rsidR="00F85F39" w:rsidRPr="00DB4AEE">
        <w:t>T</w:t>
      </w:r>
      <w:r w:rsidRPr="00DB4AEE">
        <w:t xml:space="preserve">he Commission’s determination in Order No. 771 that the Final Rule’s approach for implementing the E-Tag NOPR’s objective of allowing Commission access to e-Tags satisfies the notice requirement under the APA </w:t>
      </w:r>
      <w:r w:rsidR="006B31BA">
        <w:t xml:space="preserve">that </w:t>
      </w:r>
      <w:r w:rsidR="006B31BA" w:rsidRPr="006B31BA">
        <w:t xml:space="preserve">a meaningful opportunity to comment </w:t>
      </w:r>
      <w:r w:rsidR="006B31BA">
        <w:t xml:space="preserve">be provided </w:t>
      </w:r>
      <w:r w:rsidRPr="00DB4AEE">
        <w:t xml:space="preserve">because the </w:t>
      </w:r>
      <w:r w:rsidR="00600967" w:rsidRPr="00DB4AEE">
        <w:t>Final Rule’s approach</w:t>
      </w:r>
      <w:r w:rsidRPr="00DB4AEE">
        <w:t xml:space="preserve"> is a “logical outgrowth” of the propos</w:t>
      </w:r>
      <w:r w:rsidR="00600967" w:rsidRPr="00DB4AEE">
        <w:t>ed approach</w:t>
      </w:r>
      <w:r w:rsidRPr="00DB4AEE">
        <w:t xml:space="preserve"> in the E-Tag NOPR</w:t>
      </w:r>
      <w:r w:rsidR="0037231E" w:rsidRPr="00DB4AEE">
        <w:t>.</w:t>
      </w:r>
      <w:r w:rsidRPr="00DB4AEE">
        <w:rPr>
          <w:rStyle w:val="FootnoteReference"/>
        </w:rPr>
        <w:footnoteReference w:id="84"/>
      </w:r>
      <w:r w:rsidR="0037231E" w:rsidRPr="00DB4AEE">
        <w:t xml:space="preserve">  </w:t>
      </w:r>
      <w:r w:rsidR="000A0223" w:rsidRPr="00DB4AEE">
        <w:t xml:space="preserve">The APA requires an agency to publish “either the terms or substance of the proposed rule or a description of the subjects and issues </w:t>
      </w:r>
      <w:r w:rsidR="000A0223" w:rsidRPr="00DB4AEE">
        <w:lastRenderedPageBreak/>
        <w:t>involved”</w:t>
      </w:r>
      <w:r w:rsidR="000A0223" w:rsidRPr="00DB4AEE">
        <w:rPr>
          <w:rStyle w:val="FootnoteReference"/>
        </w:rPr>
        <w:footnoteReference w:id="85"/>
      </w:r>
      <w:r w:rsidR="000A0223" w:rsidRPr="00DB4AEE">
        <w:t xml:space="preserve"> but does not specify the level of detail that must be included in a Notice of Proposed Rulemaking or supplement thereto.</w:t>
      </w:r>
      <w:r w:rsidR="000A0223" w:rsidRPr="00DB4AEE">
        <w:rPr>
          <w:rStyle w:val="FootnoteReference"/>
        </w:rPr>
        <w:footnoteReference w:id="86"/>
      </w:r>
      <w:r w:rsidR="000A0223" w:rsidRPr="00DB4AEE">
        <w:t xml:space="preserve">  </w:t>
      </w:r>
      <w:r w:rsidR="005350CA" w:rsidRPr="00DB4AEE">
        <w:t>The D.C. Circuit</w:t>
      </w:r>
      <w:r w:rsidR="0056799B" w:rsidRPr="00DB4AEE">
        <w:t xml:space="preserve"> </w:t>
      </w:r>
      <w:r w:rsidR="005350CA" w:rsidRPr="00DB4AEE">
        <w:t>has applied a “logical outgrowth” standard, which allows “incremental changes [from an original proposal] . . . so long as the final rule is a ‘logical outgrowth’ of the propos</w:t>
      </w:r>
      <w:r w:rsidR="00C24E07" w:rsidRPr="00DB4AEE">
        <w:t>als</w:t>
      </w:r>
      <w:r w:rsidR="005350CA" w:rsidRPr="00DB4AEE">
        <w:t xml:space="preserve"> highlighted and discussed during the notice and comment period.”</w:t>
      </w:r>
      <w:r w:rsidR="005350CA" w:rsidRPr="00DB4AEE">
        <w:rPr>
          <w:rStyle w:val="FootnoteReference"/>
        </w:rPr>
        <w:footnoteReference w:id="87"/>
      </w:r>
      <w:r w:rsidR="005350CA" w:rsidRPr="00DB4AEE">
        <w:t xml:space="preserve">  </w:t>
      </w:r>
      <w:r w:rsidR="008A6D54" w:rsidRPr="00DB4AEE">
        <w:t xml:space="preserve">The D.C. Circuit has </w:t>
      </w:r>
      <w:r w:rsidR="00C24E07" w:rsidRPr="00DB4AEE">
        <w:t xml:space="preserve">explained </w:t>
      </w:r>
      <w:r w:rsidR="008A6D54" w:rsidRPr="00DB4AEE">
        <w:t>that the standard for a “logical outgrowth” is whether the interested party, “</w:t>
      </w:r>
      <w:r w:rsidR="008A6D54" w:rsidRPr="00DB4AEE">
        <w:rPr>
          <w:i/>
        </w:rPr>
        <w:t>ex ante</w:t>
      </w:r>
      <w:r w:rsidR="008A6D54" w:rsidRPr="00DB4AEE">
        <w:t>, should have anticipated that such a requirement might be imposed.”</w:t>
      </w:r>
      <w:r w:rsidR="008A6D54" w:rsidRPr="00DB4AEE">
        <w:rPr>
          <w:rStyle w:val="FootnoteReference"/>
        </w:rPr>
        <w:footnoteReference w:id="88"/>
      </w:r>
      <w:r w:rsidR="008A6D54" w:rsidRPr="00DB4AEE">
        <w:t xml:space="preserve">  </w:t>
      </w:r>
      <w:r w:rsidR="001D2989" w:rsidRPr="00DB4AEE">
        <w:t>An agency can make even substantial changes from the original proposal,</w:t>
      </w:r>
      <w:r w:rsidR="001D2989" w:rsidRPr="00DB4AEE">
        <w:rPr>
          <w:rStyle w:val="FootnoteReference"/>
        </w:rPr>
        <w:footnoteReference w:id="89"/>
      </w:r>
      <w:r w:rsidR="001D2989" w:rsidRPr="00DB4AEE">
        <w:t xml:space="preserve"> but it </w:t>
      </w:r>
      <w:r w:rsidR="008A6D54" w:rsidRPr="00DB4AEE">
        <w:t xml:space="preserve">should provide enough detail that affected parties can anticipate the range of possible proposed methods, and ultimately </w:t>
      </w:r>
    </w:p>
    <w:p w14:paraId="5BB1DA3F" w14:textId="77777777" w:rsidR="007D6DEF" w:rsidRDefault="007D6DEF">
      <w:pPr>
        <w:widowControl/>
        <w:autoSpaceDE/>
        <w:autoSpaceDN/>
        <w:adjustRightInd/>
      </w:pPr>
      <w:r>
        <w:br w:type="page"/>
      </w:r>
    </w:p>
    <w:p w14:paraId="5BB1DA40" w14:textId="77777777" w:rsidR="000E7F88" w:rsidRPr="00DB4AEE" w:rsidRDefault="008A6D54" w:rsidP="007D6DEF">
      <w:pPr>
        <w:pStyle w:val="FERCparanumber"/>
        <w:numPr>
          <w:ilvl w:val="0"/>
          <w:numId w:val="0"/>
        </w:numPr>
      </w:pPr>
      <w:proofErr w:type="gramStart"/>
      <w:r w:rsidRPr="00DB4AEE">
        <w:lastRenderedPageBreak/>
        <w:t>final</w:t>
      </w:r>
      <w:proofErr w:type="gramEnd"/>
      <w:r w:rsidRPr="00DB4AEE">
        <w:t xml:space="preserve"> rules</w:t>
      </w:r>
      <w:r w:rsidR="005669DC" w:rsidRPr="00DB4AEE">
        <w:t>,</w:t>
      </w:r>
      <w:r w:rsidRPr="00DB4AEE">
        <w:t xml:space="preserve"> so that one is “aware of the information the agency decides to rely on in taking agency action.</w:t>
      </w:r>
      <w:r w:rsidR="00816D3B">
        <w:t>”</w:t>
      </w:r>
      <w:r w:rsidRPr="00DB4AEE">
        <w:rPr>
          <w:rStyle w:val="FootnoteReference"/>
        </w:rPr>
        <w:footnoteReference w:id="90"/>
      </w:r>
    </w:p>
    <w:p w14:paraId="5BB1DA41" w14:textId="77777777" w:rsidR="002A47DC" w:rsidRPr="00DB4AEE" w:rsidRDefault="00867449" w:rsidP="00DB4AEE">
      <w:pPr>
        <w:pStyle w:val="FERCparanumber"/>
      </w:pPr>
      <w:r w:rsidRPr="00DB4AEE">
        <w:t xml:space="preserve">In the E-Tag NOPR, the Commission proposed to require the NERC to make complete e-Tag data available to Commission staff.  Comments filed in response to the E-Tag NOPR suggested an alternative </w:t>
      </w:r>
      <w:r w:rsidR="001F68E1" w:rsidRPr="00DB4AEE">
        <w:t xml:space="preserve">means </w:t>
      </w:r>
      <w:r w:rsidRPr="00DB4AEE">
        <w:t xml:space="preserve">for the Commission to obtain </w:t>
      </w:r>
      <w:r w:rsidR="001F68E1" w:rsidRPr="00DB4AEE">
        <w:t xml:space="preserve">the exact same </w:t>
      </w:r>
      <w:r w:rsidRPr="00DB4AEE">
        <w:t xml:space="preserve">e-Tag information </w:t>
      </w:r>
      <w:r w:rsidR="001F68E1" w:rsidRPr="00DB4AEE">
        <w:t xml:space="preserve">proposed to be collected in the E-Tag NOPR, </w:t>
      </w:r>
      <w:r w:rsidRPr="00DB4AEE">
        <w:t>rather than obtaining access through NERC.</w:t>
      </w:r>
      <w:r w:rsidRPr="00DB4AEE">
        <w:rPr>
          <w:rStyle w:val="FootnoteReference"/>
        </w:rPr>
        <w:footnoteReference w:id="91"/>
      </w:r>
      <w:r w:rsidRPr="00DB4AEE">
        <w:t xml:space="preserve">  On February 23, 2012, the Commission issued a notice in this proceeding providing interested parties the opportunity to file reply comments on the E-Tag NOPR, particularly </w:t>
      </w:r>
      <w:r w:rsidR="000E7F88" w:rsidRPr="00DB4AEE">
        <w:t xml:space="preserve">with respect </w:t>
      </w:r>
      <w:r w:rsidR="00600967" w:rsidRPr="00DB4AEE">
        <w:t xml:space="preserve">to a proposal that would require </w:t>
      </w:r>
      <w:r w:rsidRPr="00DB4AEE">
        <w:t>entities that create e-Tags or distribute them for approval to provide the Commission with viewing rights to the e-Tags.</w:t>
      </w:r>
      <w:r w:rsidRPr="00DB4AEE">
        <w:rPr>
          <w:rStyle w:val="FootnoteReference"/>
        </w:rPr>
        <w:footnoteReference w:id="92"/>
      </w:r>
      <w:r w:rsidRPr="00DB4AEE">
        <w:t xml:space="preserve">  In response to comments received in response to the </w:t>
      </w:r>
      <w:r w:rsidR="007D6DEF">
        <w:br/>
      </w:r>
      <w:r w:rsidRPr="00DB4AEE">
        <w:t>E-Tag NOPR and the February 23, 2012 notice seeking reply comments, Order No. 771 modified the</w:t>
      </w:r>
      <w:r w:rsidR="00D4305E" w:rsidRPr="00DB4AEE">
        <w:t xml:space="preserve"> original</w:t>
      </w:r>
      <w:r w:rsidRPr="00DB4AEE">
        <w:t xml:space="preserve"> NOPR proposal to require the e-Tag Authors that create e-Tags and</w:t>
      </w:r>
      <w:r w:rsidR="00600967" w:rsidRPr="00DB4AEE">
        <w:t xml:space="preserve"> the</w:t>
      </w:r>
      <w:r w:rsidRPr="00DB4AEE">
        <w:t xml:space="preserve"> Balancing Authorities that distribute the e-Tags for approval to provide the Commission with access to e-Tags</w:t>
      </w:r>
      <w:r w:rsidR="00600967" w:rsidRPr="00DB4AEE">
        <w:t>, rather than NERC</w:t>
      </w:r>
      <w:r w:rsidRPr="00DB4AEE">
        <w:t xml:space="preserve">.  </w:t>
      </w:r>
      <w:r w:rsidR="000E7F88" w:rsidRPr="00DB4AEE">
        <w:t>The</w:t>
      </w:r>
      <w:r w:rsidR="001458FD" w:rsidRPr="00DB4AEE">
        <w:t xml:space="preserve"> E-Tag NOPR and supplemental </w:t>
      </w:r>
      <w:r w:rsidR="00341330" w:rsidRPr="00DB4AEE">
        <w:t xml:space="preserve">notice seeking </w:t>
      </w:r>
      <w:r w:rsidR="000E7F88" w:rsidRPr="00DB4AEE">
        <w:t xml:space="preserve">reply </w:t>
      </w:r>
      <w:r w:rsidR="00341330" w:rsidRPr="00DB4AEE">
        <w:t xml:space="preserve">comments </w:t>
      </w:r>
      <w:r w:rsidR="001458FD" w:rsidRPr="00DB4AEE">
        <w:t xml:space="preserve">issued in this proceeding </w:t>
      </w:r>
      <w:r w:rsidR="00B50933" w:rsidRPr="00DB4AEE">
        <w:t xml:space="preserve">following the </w:t>
      </w:r>
      <w:r w:rsidR="00B50933" w:rsidRPr="00DB4AEE">
        <w:lastRenderedPageBreak/>
        <w:t>issuance of the E-Tag NOPR</w:t>
      </w:r>
      <w:r w:rsidRPr="00DB4AEE">
        <w:t xml:space="preserve"> </w:t>
      </w:r>
      <w:r w:rsidR="001458FD" w:rsidRPr="00DB4AEE">
        <w:t xml:space="preserve">provided interested parties </w:t>
      </w:r>
      <w:r w:rsidR="00341330" w:rsidRPr="00DB4AEE">
        <w:t xml:space="preserve">with </w:t>
      </w:r>
      <w:r w:rsidR="001458FD" w:rsidRPr="00DB4AEE">
        <w:t xml:space="preserve">sufficient detail </w:t>
      </w:r>
      <w:r w:rsidR="00341330" w:rsidRPr="00DB4AEE">
        <w:t>about the alternative</w:t>
      </w:r>
      <w:r w:rsidR="00220EAE" w:rsidRPr="00DB4AEE">
        <w:t xml:space="preserve"> proposals</w:t>
      </w:r>
      <w:r w:rsidR="00341330" w:rsidRPr="00DB4AEE">
        <w:t xml:space="preserve"> under consideration</w:t>
      </w:r>
      <w:r w:rsidR="00914345" w:rsidRPr="00DB4AEE">
        <w:t xml:space="preserve"> before issuance of the Final Rule</w:t>
      </w:r>
      <w:r w:rsidR="00341330" w:rsidRPr="00DB4AEE">
        <w:t xml:space="preserve"> and </w:t>
      </w:r>
      <w:r w:rsidR="0024353C" w:rsidRPr="00DB4AEE">
        <w:t>allowed interested parties sufficient notice and opportunity to comment on these proposals in accordance with the APA.</w:t>
      </w:r>
      <w:r w:rsidR="001F68E1" w:rsidRPr="00DB4AEE">
        <w:t xml:space="preserve">  The supplemental notice and the opportunity to file reply comments allowed commenters a full opportunity to respond to NERC’s comments that they were not the proper entity to provide the Commission </w:t>
      </w:r>
      <w:r w:rsidR="00DF3D4B" w:rsidRPr="00DB4AEE">
        <w:t xml:space="preserve">with </w:t>
      </w:r>
      <w:r w:rsidR="001F68E1" w:rsidRPr="00DB4AEE">
        <w:t>access to e-Tag information.</w:t>
      </w:r>
      <w:r w:rsidR="00B17407" w:rsidRPr="00DB4AEE">
        <w:t xml:space="preserve">  Any </w:t>
      </w:r>
      <w:r w:rsidR="001703B5" w:rsidRPr="00DB4AEE">
        <w:t xml:space="preserve">commenter that wished </w:t>
      </w:r>
      <w:r w:rsidR="009D39F1" w:rsidRPr="00DB4AEE">
        <w:t>to dispute</w:t>
      </w:r>
      <w:r w:rsidR="00B17407" w:rsidRPr="00DB4AEE">
        <w:t xml:space="preserve"> the burden estimate could have brought </w:t>
      </w:r>
      <w:r w:rsidR="00E946DD" w:rsidRPr="00DB4AEE">
        <w:t xml:space="preserve">the matter </w:t>
      </w:r>
      <w:r w:rsidR="00B17407" w:rsidRPr="00DB4AEE">
        <w:t>to the Commission’s attention in reply comments.</w:t>
      </w:r>
    </w:p>
    <w:p w14:paraId="5BB1DA42" w14:textId="77777777" w:rsidR="00F56E65" w:rsidRPr="00DB4AEE" w:rsidRDefault="00D175B0" w:rsidP="00DB4AEE">
      <w:pPr>
        <w:pStyle w:val="FERCparanumber"/>
      </w:pPr>
      <w:r w:rsidRPr="00DB4AEE">
        <w:t>Southern Companies</w:t>
      </w:r>
      <w:r w:rsidR="00D56458" w:rsidRPr="00DB4AEE">
        <w:t xml:space="preserve"> also</w:t>
      </w:r>
      <w:r w:rsidRPr="00DB4AEE">
        <w:t xml:space="preserve"> contend that </w:t>
      </w:r>
      <w:r w:rsidR="006C2F35" w:rsidRPr="00DB4AEE">
        <w:t xml:space="preserve">the burden estimates provided in Order </w:t>
      </w:r>
      <w:r w:rsidR="007D6DEF">
        <w:br/>
      </w:r>
      <w:r w:rsidR="006C2F35" w:rsidRPr="00DB4AEE">
        <w:t>No. 771 d</w:t>
      </w:r>
      <w:r w:rsidR="008D11F7" w:rsidRPr="00DB4AEE">
        <w:t>o</w:t>
      </w:r>
      <w:r w:rsidR="006C2F35" w:rsidRPr="00DB4AEE">
        <w:t xml:space="preserve"> not comply with the notice</w:t>
      </w:r>
      <w:r w:rsidR="005D5397" w:rsidRPr="00DB4AEE">
        <w:t xml:space="preserve"> and comment</w:t>
      </w:r>
      <w:r w:rsidR="006C2F35" w:rsidRPr="00DB4AEE">
        <w:t xml:space="preserve"> requirements of the APA because </w:t>
      </w:r>
      <w:r w:rsidR="00600967" w:rsidRPr="00DB4AEE">
        <w:t>they differ significantly from the burden estimates included in the E-Tag NOPR</w:t>
      </w:r>
      <w:r w:rsidR="006C2F35" w:rsidRPr="00DB4AEE">
        <w:t>.</w:t>
      </w:r>
      <w:r w:rsidR="00220EAE" w:rsidRPr="00DB4AEE">
        <w:t xml:space="preserve">  </w:t>
      </w:r>
      <w:r w:rsidR="00280074" w:rsidRPr="00DB4AEE">
        <w:t>At the outset,</w:t>
      </w:r>
      <w:r w:rsidR="00D76008" w:rsidRPr="00DB4AEE">
        <w:t xml:space="preserve"> we note</w:t>
      </w:r>
      <w:r w:rsidR="00220EAE" w:rsidRPr="00DB4AEE">
        <w:t xml:space="preserve"> that the burden estimates </w:t>
      </w:r>
      <w:r w:rsidR="00F56E65" w:rsidRPr="00DB4AEE">
        <w:t>i</w:t>
      </w:r>
      <w:r w:rsidR="00D56458" w:rsidRPr="00DB4AEE">
        <w:t xml:space="preserve">n the E-Tag NOPR and Order No. 771 </w:t>
      </w:r>
      <w:r w:rsidR="006D6320" w:rsidRPr="00DB4AEE">
        <w:t xml:space="preserve">must be provided as </w:t>
      </w:r>
      <w:r w:rsidR="00D56458" w:rsidRPr="00DB4AEE">
        <w:t>part</w:t>
      </w:r>
      <w:r w:rsidR="00D76008" w:rsidRPr="00DB4AEE">
        <w:t xml:space="preserve"> of the information collection statements required by </w:t>
      </w:r>
      <w:r w:rsidR="00220EAE" w:rsidRPr="00DB4AEE">
        <w:t xml:space="preserve">the </w:t>
      </w:r>
      <w:r w:rsidR="00CA00EB" w:rsidRPr="00DB4AEE">
        <w:t>Paper</w:t>
      </w:r>
      <w:r w:rsidR="001B0159">
        <w:t>work</w:t>
      </w:r>
      <w:r w:rsidR="00CA00EB" w:rsidRPr="00DB4AEE">
        <w:t xml:space="preserve"> Reduction Act</w:t>
      </w:r>
      <w:r w:rsidR="00220EAE" w:rsidRPr="00DB4AEE">
        <w:t>.</w:t>
      </w:r>
      <w:r w:rsidR="00D76008" w:rsidRPr="00DB4AEE">
        <w:t xml:space="preserve">  The </w:t>
      </w:r>
      <w:r w:rsidR="00CA00EB" w:rsidRPr="00DB4AEE">
        <w:t>Paper</w:t>
      </w:r>
      <w:r w:rsidR="001B0159">
        <w:t>work</w:t>
      </w:r>
      <w:r w:rsidR="00CA00EB" w:rsidRPr="00DB4AEE">
        <w:t xml:space="preserve"> Reduction Act</w:t>
      </w:r>
      <w:r w:rsidR="001C4385" w:rsidRPr="00DB4AEE">
        <w:t xml:space="preserve"> </w:t>
      </w:r>
      <w:r w:rsidR="00280074" w:rsidRPr="00DB4AEE">
        <w:t>provides that an agency may</w:t>
      </w:r>
      <w:r w:rsidR="00E63E65" w:rsidRPr="00DB4AEE">
        <w:t xml:space="preserve"> not conduct or sponsor</w:t>
      </w:r>
      <w:r w:rsidR="00280074" w:rsidRPr="00DB4AEE">
        <w:t xml:space="preserve"> </w:t>
      </w:r>
      <w:r w:rsidR="00E63E65" w:rsidRPr="00DB4AEE">
        <w:t xml:space="preserve">the collection of information </w:t>
      </w:r>
      <w:r w:rsidR="00280074" w:rsidRPr="00DB4AEE">
        <w:t xml:space="preserve">unless the agency has published an estimate of the burden that shall result from the </w:t>
      </w:r>
      <w:r w:rsidR="00E63E65" w:rsidRPr="00DB4AEE">
        <w:t>information collection</w:t>
      </w:r>
      <w:r w:rsidR="00280074" w:rsidRPr="00DB4AEE">
        <w:t xml:space="preserve"> in advance of </w:t>
      </w:r>
      <w:r w:rsidR="00721F7B" w:rsidRPr="00DB4AEE">
        <w:t>adopting or revising such</w:t>
      </w:r>
      <w:r w:rsidR="00E63E65" w:rsidRPr="00DB4AEE">
        <w:t xml:space="preserve"> collection</w:t>
      </w:r>
      <w:r w:rsidR="00280074" w:rsidRPr="00DB4AEE">
        <w:t>.</w:t>
      </w:r>
      <w:r w:rsidR="00280074" w:rsidRPr="00DB4AEE">
        <w:rPr>
          <w:rStyle w:val="FootnoteReference"/>
        </w:rPr>
        <w:footnoteReference w:id="93"/>
      </w:r>
      <w:r w:rsidR="00280074" w:rsidRPr="00DB4AEE">
        <w:t xml:space="preserve">  </w:t>
      </w:r>
      <w:r w:rsidR="006D6320" w:rsidRPr="00DB4AEE">
        <w:t xml:space="preserve">Agency rules that propose to require </w:t>
      </w:r>
      <w:r w:rsidR="00E63E65" w:rsidRPr="00DB4AEE">
        <w:t xml:space="preserve">information collection </w:t>
      </w:r>
      <w:r w:rsidR="006D6320" w:rsidRPr="00DB4AEE">
        <w:t>are</w:t>
      </w:r>
      <w:r w:rsidR="00E63E65" w:rsidRPr="00DB4AEE">
        <w:t xml:space="preserve"> subject to review</w:t>
      </w:r>
      <w:r w:rsidR="00721F7B" w:rsidRPr="00DB4AEE">
        <w:t xml:space="preserve"> and approval</w:t>
      </w:r>
      <w:r w:rsidR="00E63E65" w:rsidRPr="00DB4AEE">
        <w:t xml:space="preserve"> by </w:t>
      </w:r>
      <w:r w:rsidR="00721F7B" w:rsidRPr="00DB4AEE">
        <w:t>the Office of Management and Budget (OMB)</w:t>
      </w:r>
      <w:r w:rsidR="005D5397" w:rsidRPr="00DB4AEE">
        <w:t>.</w:t>
      </w:r>
      <w:r w:rsidR="00E63E65" w:rsidRPr="00DB4AEE">
        <w:rPr>
          <w:rStyle w:val="FootnoteReference"/>
        </w:rPr>
        <w:footnoteReference w:id="94"/>
      </w:r>
      <w:r w:rsidR="00E63E65" w:rsidRPr="00DB4AEE">
        <w:t xml:space="preserve">  </w:t>
      </w:r>
      <w:r w:rsidR="008C19B7" w:rsidRPr="00DB4AEE">
        <w:lastRenderedPageBreak/>
        <w:t>I</w:t>
      </w:r>
      <w:r w:rsidR="00E63E65" w:rsidRPr="00DB4AEE">
        <w:t xml:space="preserve">n accordance with the </w:t>
      </w:r>
      <w:r w:rsidR="005D5397" w:rsidRPr="00DB4AEE">
        <w:t xml:space="preserve">requirements of the </w:t>
      </w:r>
      <w:r w:rsidR="00CA00EB" w:rsidRPr="00DB4AEE">
        <w:t>Paper</w:t>
      </w:r>
      <w:r w:rsidR="001B0159">
        <w:t>work</w:t>
      </w:r>
      <w:r w:rsidR="00CA00EB" w:rsidRPr="00DB4AEE">
        <w:t xml:space="preserve"> Reduction Act</w:t>
      </w:r>
      <w:r w:rsidR="00E63E65" w:rsidRPr="00DB4AEE">
        <w:t>,</w:t>
      </w:r>
      <w:r w:rsidR="00721F7B" w:rsidRPr="00DB4AEE">
        <w:t xml:space="preserve"> the E-Tag NOPR and Order No. 771 </w:t>
      </w:r>
      <w:r w:rsidR="002324F9" w:rsidRPr="00DB4AEE">
        <w:t xml:space="preserve">set forth the proposed </w:t>
      </w:r>
      <w:r w:rsidR="000E7F88" w:rsidRPr="00DB4AEE">
        <w:t xml:space="preserve">information collection </w:t>
      </w:r>
      <w:r w:rsidR="002324F9" w:rsidRPr="00DB4AEE">
        <w:t xml:space="preserve">requirements </w:t>
      </w:r>
      <w:r w:rsidR="000E7F88" w:rsidRPr="00DB4AEE">
        <w:t xml:space="preserve">and associated burden estimates </w:t>
      </w:r>
      <w:r w:rsidR="002324F9" w:rsidRPr="00DB4AEE">
        <w:t xml:space="preserve">being submitted </w:t>
      </w:r>
      <w:r w:rsidR="00721F7B" w:rsidRPr="00DB4AEE">
        <w:t>to OMB for its review and approval.</w:t>
      </w:r>
      <w:r w:rsidR="005839FA" w:rsidRPr="00DB4AEE">
        <w:rPr>
          <w:rStyle w:val="FootnoteReference"/>
        </w:rPr>
        <w:footnoteReference w:id="95"/>
      </w:r>
    </w:p>
    <w:p w14:paraId="5BB1DA43" w14:textId="77777777" w:rsidR="00906FEF" w:rsidRPr="00DB4AEE" w:rsidRDefault="002324F9" w:rsidP="00DB4AEE">
      <w:pPr>
        <w:pStyle w:val="FERCparanumber"/>
      </w:pPr>
      <w:r w:rsidRPr="00DB4AEE">
        <w:t xml:space="preserve">The E-Tag NOPR and Order No. 771 also </w:t>
      </w:r>
      <w:r w:rsidR="0048244D" w:rsidRPr="00DB4AEE">
        <w:t>notified interested</w:t>
      </w:r>
      <w:r w:rsidRPr="00DB4AEE">
        <w:t xml:space="preserve"> </w:t>
      </w:r>
      <w:r w:rsidR="0048244D" w:rsidRPr="00DB4AEE">
        <w:t xml:space="preserve">parties that they </w:t>
      </w:r>
      <w:r w:rsidRPr="00DB4AEE">
        <w:t>could submit comments concerning the collection of information and associated burden estimate</w:t>
      </w:r>
      <w:r w:rsidR="005D5397" w:rsidRPr="00DB4AEE">
        <w:t>s</w:t>
      </w:r>
      <w:r w:rsidRPr="00DB4AEE">
        <w:t xml:space="preserve"> to OMB and provided </w:t>
      </w:r>
      <w:r w:rsidR="005D5397" w:rsidRPr="00DB4AEE">
        <w:t xml:space="preserve">the relevant </w:t>
      </w:r>
      <w:r w:rsidRPr="00DB4AEE">
        <w:t xml:space="preserve">OMB contact information. </w:t>
      </w:r>
      <w:r w:rsidR="005D5397" w:rsidRPr="00DB4AEE">
        <w:t xml:space="preserve"> </w:t>
      </w:r>
      <w:r w:rsidR="00F56E65" w:rsidRPr="00DB4AEE">
        <w:t>The Commission acknowledged that the</w:t>
      </w:r>
      <w:r w:rsidR="005D5397" w:rsidRPr="00DB4AEE">
        <w:t xml:space="preserve"> burden estimates in the Final Rule</w:t>
      </w:r>
      <w:r w:rsidR="00F56E65" w:rsidRPr="00DB4AEE">
        <w:t xml:space="preserve"> were modified from the burden estimates in</w:t>
      </w:r>
      <w:r w:rsidR="005D5397" w:rsidRPr="00DB4AEE">
        <w:t xml:space="preserve"> the E-Tag NOPR, to reflect that e-Tag Authors and Balancing Authorities, rather than NERC, will provide Commission access to e-Tags.</w:t>
      </w:r>
      <w:r w:rsidR="005D5397" w:rsidRPr="00DB4AEE">
        <w:rPr>
          <w:rStyle w:val="FootnoteReference"/>
        </w:rPr>
        <w:footnoteReference w:id="96"/>
      </w:r>
      <w:r w:rsidR="005D5397" w:rsidRPr="00DB4AEE">
        <w:t xml:space="preserve">  </w:t>
      </w:r>
      <w:r w:rsidR="00F56E65" w:rsidRPr="00DB4AEE">
        <w:t>N</w:t>
      </w:r>
      <w:r w:rsidR="005D5397" w:rsidRPr="00DB4AEE">
        <w:t xml:space="preserve">o comment was filed </w:t>
      </w:r>
      <w:r w:rsidR="00F56E65" w:rsidRPr="00DB4AEE">
        <w:t xml:space="preserve">with OMB or the Commission </w:t>
      </w:r>
      <w:r w:rsidR="005D5397" w:rsidRPr="00DB4AEE">
        <w:t xml:space="preserve">in response to the modified burden estimate in Order </w:t>
      </w:r>
      <w:r w:rsidR="007D6DEF">
        <w:br/>
      </w:r>
      <w:r w:rsidR="005D5397" w:rsidRPr="00DB4AEE">
        <w:t>No. 771.</w:t>
      </w:r>
      <w:r w:rsidR="00C123A0" w:rsidRPr="00DB4AEE">
        <w:rPr>
          <w:rStyle w:val="FootnoteReference"/>
        </w:rPr>
        <w:footnoteReference w:id="97"/>
      </w:r>
      <w:r w:rsidR="00F56E65" w:rsidRPr="00DB4AEE">
        <w:t xml:space="preserve"> </w:t>
      </w:r>
      <w:r w:rsidR="00950AC4" w:rsidRPr="00DB4AEE">
        <w:t xml:space="preserve"> We conclude that the burden estimates </w:t>
      </w:r>
      <w:r w:rsidR="008D11F7" w:rsidRPr="00DB4AEE">
        <w:t xml:space="preserve">for information collection required by the </w:t>
      </w:r>
      <w:r w:rsidR="00CA00EB" w:rsidRPr="00DB4AEE">
        <w:t>Paper</w:t>
      </w:r>
      <w:r w:rsidR="001B0159">
        <w:t>work</w:t>
      </w:r>
      <w:r w:rsidR="00CA00EB" w:rsidRPr="00DB4AEE">
        <w:t xml:space="preserve"> Reduction Act</w:t>
      </w:r>
      <w:r w:rsidR="008D11F7" w:rsidRPr="00DB4AEE">
        <w:t xml:space="preserve"> satisfy the </w:t>
      </w:r>
      <w:r w:rsidR="00CA00EB" w:rsidRPr="00DB4AEE">
        <w:t>Paper</w:t>
      </w:r>
      <w:r w:rsidR="001B0159">
        <w:t>work</w:t>
      </w:r>
      <w:r w:rsidR="00CA00EB" w:rsidRPr="00DB4AEE">
        <w:t xml:space="preserve"> Reduction Act</w:t>
      </w:r>
      <w:r w:rsidR="008D11F7" w:rsidRPr="00DB4AEE">
        <w:t>’s notice and comment requirements</w:t>
      </w:r>
      <w:r w:rsidR="00950AC4" w:rsidRPr="00DB4AEE">
        <w:t xml:space="preserve">.  </w:t>
      </w:r>
      <w:r w:rsidR="00816311" w:rsidRPr="00DB4AEE">
        <w:t xml:space="preserve">Finally, </w:t>
      </w:r>
      <w:r w:rsidR="008D11F7" w:rsidRPr="00DB4AEE">
        <w:t xml:space="preserve">we disagree with </w:t>
      </w:r>
      <w:r w:rsidR="00816311" w:rsidRPr="00DB4AEE">
        <w:t>Southern</w:t>
      </w:r>
      <w:r w:rsidR="001B0159">
        <w:t xml:space="preserve"> Companies</w:t>
      </w:r>
      <w:r w:rsidR="008D11F7" w:rsidRPr="00DB4AEE">
        <w:t>’ assertion</w:t>
      </w:r>
      <w:r w:rsidR="00816311" w:rsidRPr="00DB4AEE">
        <w:t xml:space="preserve"> that the Commission erred by basing it</w:t>
      </w:r>
      <w:r w:rsidR="008C19B7" w:rsidRPr="00DB4AEE">
        <w:t>s</w:t>
      </w:r>
      <w:r w:rsidR="00816311" w:rsidRPr="00DB4AEE">
        <w:t xml:space="preserve"> burden estimate calculations on an automated process.  Order No. 771 noted that it expected e-Tag Authors and Balancing Authorities to use </w:t>
      </w:r>
      <w:r w:rsidR="00816311" w:rsidRPr="00DB4AEE">
        <w:lastRenderedPageBreak/>
        <w:t xml:space="preserve">existing, largely automated procedures to provide the Commission with access to </w:t>
      </w:r>
      <w:r w:rsidR="007D6DEF">
        <w:br/>
      </w:r>
      <w:r w:rsidR="00816311" w:rsidRPr="00DB4AEE">
        <w:t>e-Tags</w:t>
      </w:r>
      <w:r w:rsidR="00656A0C" w:rsidRPr="00DB4AEE">
        <w:t>.</w:t>
      </w:r>
      <w:r w:rsidR="00816311" w:rsidRPr="00DB4AEE">
        <w:rPr>
          <w:rStyle w:val="FootnoteReference"/>
        </w:rPr>
        <w:footnoteReference w:id="98"/>
      </w:r>
      <w:r w:rsidR="00816311" w:rsidRPr="00DB4AEE">
        <w:t xml:space="preserve"> </w:t>
      </w:r>
      <w:r w:rsidR="00656A0C" w:rsidRPr="00DB4AEE">
        <w:t xml:space="preserve"> However, the Commission made clear that its burden estimate c</w:t>
      </w:r>
      <w:r w:rsidR="00816311" w:rsidRPr="00DB4AEE">
        <w:t>alculations</w:t>
      </w:r>
      <w:r w:rsidR="00656A0C" w:rsidRPr="00DB4AEE">
        <w:t xml:space="preserve"> were based on a manual, not automated, </w:t>
      </w:r>
      <w:r w:rsidR="00816311" w:rsidRPr="00DB4AEE">
        <w:t>process.</w:t>
      </w:r>
      <w:r w:rsidR="00816311" w:rsidRPr="00DB4AEE">
        <w:rPr>
          <w:rStyle w:val="FootnoteReference"/>
        </w:rPr>
        <w:footnoteReference w:id="99"/>
      </w:r>
      <w:r w:rsidR="00816311" w:rsidRPr="00DB4AEE">
        <w:t xml:space="preserve">  </w:t>
      </w:r>
      <w:r w:rsidR="00CA00EB" w:rsidRPr="00DB4AEE">
        <w:t xml:space="preserve">Thus, the estimate used </w:t>
      </w:r>
      <w:r w:rsidR="00BC2123" w:rsidRPr="00DB4AEE">
        <w:t xml:space="preserve">in the Final Rule </w:t>
      </w:r>
      <w:r w:rsidR="00CA00EB" w:rsidRPr="00DB4AEE">
        <w:t xml:space="preserve">was </w:t>
      </w:r>
      <w:r w:rsidR="00BC2123" w:rsidRPr="00DB4AEE">
        <w:t xml:space="preserve">deliberately </w:t>
      </w:r>
      <w:r w:rsidR="00CA00EB" w:rsidRPr="00DB4AEE">
        <w:t>very conservative</w:t>
      </w:r>
      <w:r w:rsidR="00BC2123" w:rsidRPr="00DB4AEE">
        <w:t>,</w:t>
      </w:r>
      <w:r w:rsidR="00CA00EB" w:rsidRPr="00DB4AEE">
        <w:t xml:space="preserve"> because wherever an automated process is used, the burden estimate </w:t>
      </w:r>
      <w:r w:rsidR="00BC2123" w:rsidRPr="00DB4AEE">
        <w:t>wa</w:t>
      </w:r>
      <w:r w:rsidR="00CA00EB" w:rsidRPr="00DB4AEE">
        <w:t>s overstated.</w:t>
      </w:r>
      <w:bookmarkStart w:id="13" w:name="_Toc358812827"/>
    </w:p>
    <w:p w14:paraId="5BB1DA44" w14:textId="77777777" w:rsidR="000963AE" w:rsidRPr="00DB4AEE" w:rsidRDefault="006B0A6E" w:rsidP="007C14E6">
      <w:pPr>
        <w:pStyle w:val="Heading2"/>
      </w:pPr>
      <w:r w:rsidRPr="00DB4AEE">
        <w:t>Responsibilities of Balancing Authorities</w:t>
      </w:r>
      <w:bookmarkStart w:id="14" w:name="_bmk10"/>
      <w:bookmarkEnd w:id="13"/>
    </w:p>
    <w:bookmarkEnd w:id="14"/>
    <w:p w14:paraId="5BB1DA45" w14:textId="77777777" w:rsidR="000A413A" w:rsidRPr="00DB4AEE" w:rsidRDefault="003F0637" w:rsidP="007C14E6">
      <w:pPr>
        <w:pStyle w:val="Heading3"/>
      </w:pPr>
      <w:r w:rsidRPr="00DB4AEE">
        <w:t>Requests for Rehearing and Clarification</w:t>
      </w:r>
      <w:bookmarkStart w:id="15" w:name="_bmk11"/>
    </w:p>
    <w:bookmarkEnd w:id="15"/>
    <w:p w14:paraId="5BB1DA46" w14:textId="77777777" w:rsidR="009A4EE5" w:rsidRPr="00DB4AEE" w:rsidRDefault="00754F38" w:rsidP="00DB4AEE">
      <w:pPr>
        <w:pStyle w:val="FERCparanumber"/>
        <w:rPr>
          <w:b/>
        </w:rPr>
      </w:pPr>
      <w:r w:rsidRPr="00DB4AEE">
        <w:t xml:space="preserve">Southern Companies </w:t>
      </w:r>
      <w:r w:rsidR="00682DAB" w:rsidRPr="00DB4AEE">
        <w:t>seek clarification regarding the activities a Balancing Authority shoul</w:t>
      </w:r>
      <w:r w:rsidR="009F7D79" w:rsidRPr="00DB4AEE">
        <w:t xml:space="preserve">d undertake </w:t>
      </w:r>
      <w:r w:rsidR="002F21C1" w:rsidRPr="00DB4AEE">
        <w:t>in terms of</w:t>
      </w:r>
      <w:r w:rsidR="009F7D79" w:rsidRPr="00DB4AEE">
        <w:t xml:space="preserve"> conforming </w:t>
      </w:r>
      <w:r w:rsidR="00D42FF6">
        <w:t>to the requirements of</w:t>
      </w:r>
      <w:r w:rsidR="00D42FF6" w:rsidRPr="00DB4AEE">
        <w:t xml:space="preserve"> </w:t>
      </w:r>
      <w:r w:rsidR="009F7D79" w:rsidRPr="00DB4AEE">
        <w:t>Order No. 771</w:t>
      </w:r>
      <w:r w:rsidR="00682DAB" w:rsidRPr="00DB4AEE">
        <w:t xml:space="preserve"> and the penalties it will face if e-Tags do not conform </w:t>
      </w:r>
      <w:r w:rsidR="0049177D" w:rsidRPr="0049177D">
        <w:t>to the requirements of</w:t>
      </w:r>
      <w:r w:rsidR="00682DAB" w:rsidRPr="00DB4AEE">
        <w:t xml:space="preserve"> Order </w:t>
      </w:r>
      <w:r w:rsidR="007D6DEF">
        <w:br/>
      </w:r>
      <w:r w:rsidR="00682DAB" w:rsidRPr="00DB4AEE">
        <w:t xml:space="preserve">No. 771.  Southern Companies </w:t>
      </w:r>
      <w:r w:rsidR="009F7D79" w:rsidRPr="00DB4AEE">
        <w:t>argue that requiring Balancing Authorities to reject e-Tags that do not list the Commission as an addressee could result in significant commercial and reliability disruptions.</w:t>
      </w:r>
      <w:r w:rsidR="009F7D79" w:rsidRPr="00DB4AEE">
        <w:rPr>
          <w:rStyle w:val="FootnoteReference"/>
        </w:rPr>
        <w:footnoteReference w:id="100"/>
      </w:r>
      <w:r w:rsidR="009F7D79" w:rsidRPr="00DB4AEE">
        <w:t xml:space="preserve">  Southern Companies also state that the Commission should allow adequate time for the NAESB process to revise the applicable protocols and for Balancing Authorities to apply those protocols once they have been finalized before requiring compliance with Order No. 771.  </w:t>
      </w:r>
      <w:r w:rsidRPr="00DB4AEE">
        <w:t xml:space="preserve">In addition, Southern Companies state that Balancing Authorities should not be </w:t>
      </w:r>
      <w:r w:rsidR="00A5788E" w:rsidRPr="00DB4AEE">
        <w:t xml:space="preserve">held </w:t>
      </w:r>
      <w:r w:rsidRPr="00DB4AEE">
        <w:t xml:space="preserve">liable for any disclosure of confidential e-Tag </w:t>
      </w:r>
      <w:r w:rsidRPr="00DB4AEE">
        <w:lastRenderedPageBreak/>
        <w:t xml:space="preserve">information, including inadvertent publication of e-Tag information by a recipient of </w:t>
      </w:r>
      <w:r w:rsidR="007D6DEF">
        <w:br/>
      </w:r>
      <w:r w:rsidRPr="00DB4AEE">
        <w:t>e-Tag data under Order No. 771 and publication of e-Tag data subject to FOIA.</w:t>
      </w:r>
      <w:r w:rsidRPr="00DB4AEE">
        <w:rPr>
          <w:rStyle w:val="FootnoteReference"/>
        </w:rPr>
        <w:footnoteReference w:id="101"/>
      </w:r>
    </w:p>
    <w:p w14:paraId="5BB1DA47" w14:textId="77777777" w:rsidR="008635F4" w:rsidRPr="00DB4AEE" w:rsidRDefault="008635F4" w:rsidP="007C14E6">
      <w:pPr>
        <w:pStyle w:val="Heading3"/>
      </w:pPr>
      <w:r w:rsidRPr="00DB4AEE">
        <w:t xml:space="preserve">Commission </w:t>
      </w:r>
      <w:r w:rsidR="00933A3A" w:rsidRPr="00DB4AEE">
        <w:t>D</w:t>
      </w:r>
      <w:r w:rsidRPr="00DB4AEE">
        <w:t>etermination</w:t>
      </w:r>
      <w:bookmarkStart w:id="16" w:name="_bmk12"/>
    </w:p>
    <w:bookmarkEnd w:id="16"/>
    <w:p w14:paraId="5BB1DA48" w14:textId="77777777" w:rsidR="00FC42E4" w:rsidRPr="00DB4AEE" w:rsidRDefault="00A00982" w:rsidP="00DB4AEE">
      <w:pPr>
        <w:pStyle w:val="FERCparanumber"/>
      </w:pPr>
      <w:r w:rsidRPr="00DB4AEE">
        <w:t>Order No. 771</w:t>
      </w:r>
      <w:r w:rsidR="00677646" w:rsidRPr="00DB4AEE">
        <w:t>-A</w:t>
      </w:r>
      <w:r w:rsidRPr="00DB4AEE">
        <w:t xml:space="preserve"> clarified the role of Balancing Authorities with respect to providing the Commission access to e-Tags and</w:t>
      </w:r>
      <w:r w:rsidR="00677646" w:rsidRPr="00DB4AEE">
        <w:t xml:space="preserve"> found that Balancing Authorities should reject e-Tags that fail to include the Commission on the CC list rather than merely notify the Commission that this requirement has not been met.  Order No. 771-</w:t>
      </w:r>
      <w:proofErr w:type="gramStart"/>
      <w:r w:rsidR="00677646" w:rsidRPr="00DB4AEE">
        <w:t>A</w:t>
      </w:r>
      <w:proofErr w:type="gramEnd"/>
      <w:r w:rsidR="00677646" w:rsidRPr="00DB4AEE">
        <w:t xml:space="preserve"> also </w:t>
      </w:r>
      <w:r w:rsidRPr="00DB4AEE">
        <w:t>rejected suggestions that we should delay the implementation of the rule until such time as the industry, through NAESB, can develop a formalized automated process.</w:t>
      </w:r>
      <w:r w:rsidRPr="00DB4AEE">
        <w:rPr>
          <w:rStyle w:val="FootnoteReference"/>
        </w:rPr>
        <w:footnoteReference w:id="102"/>
      </w:r>
      <w:r w:rsidRPr="00DB4AEE">
        <w:t xml:space="preserve">  Therefore, we will not address those issues again here.</w:t>
      </w:r>
      <w:r w:rsidR="00BC2123" w:rsidRPr="00DB4AEE">
        <w:t xml:space="preserve">  We note, however, that</w:t>
      </w:r>
      <w:r w:rsidR="00FA68B3" w:rsidRPr="00DB4AEE">
        <w:t xml:space="preserve"> the</w:t>
      </w:r>
      <w:r w:rsidR="00BC2123" w:rsidRPr="00DB4AEE">
        <w:t xml:space="preserve"> </w:t>
      </w:r>
      <w:r w:rsidR="0006063B" w:rsidRPr="00DB4AEE">
        <w:t xml:space="preserve">prediction </w:t>
      </w:r>
      <w:r w:rsidR="00BC2123" w:rsidRPr="00DB4AEE">
        <w:t xml:space="preserve">of significant commercial and reliability disruptions </w:t>
      </w:r>
      <w:r w:rsidR="000D11B0" w:rsidRPr="00DB4AEE">
        <w:t xml:space="preserve">resulting from </w:t>
      </w:r>
      <w:r w:rsidR="000879A2" w:rsidRPr="00DB4AEE">
        <w:t>the inclusion of the Commission on the CC list of</w:t>
      </w:r>
      <w:r w:rsidR="000D11B0" w:rsidRPr="00DB4AEE">
        <w:t xml:space="preserve"> e-Tags </w:t>
      </w:r>
      <w:r w:rsidR="00BC2123" w:rsidRPr="00DB4AEE">
        <w:t>ha</w:t>
      </w:r>
      <w:r w:rsidR="00FA68B3" w:rsidRPr="00DB4AEE">
        <w:t>s</w:t>
      </w:r>
      <w:r w:rsidR="00BC2123" w:rsidRPr="00DB4AEE">
        <w:t xml:space="preserve"> not </w:t>
      </w:r>
      <w:r w:rsidR="00092D4D" w:rsidRPr="00DB4AEE">
        <w:t>materialized</w:t>
      </w:r>
      <w:r w:rsidR="00BC2123" w:rsidRPr="00DB4AEE">
        <w:t>.</w:t>
      </w:r>
    </w:p>
    <w:p w14:paraId="5BB1DA49" w14:textId="77777777" w:rsidR="00823C78" w:rsidRPr="00DB4AEE" w:rsidRDefault="0015403C">
      <w:pPr>
        <w:pStyle w:val="FERCparanumber"/>
        <w:rPr>
          <w:color w:val="000000"/>
          <w:szCs w:val="19"/>
        </w:rPr>
      </w:pPr>
      <w:r w:rsidRPr="00DB4AEE">
        <w:t>We</w:t>
      </w:r>
      <w:r w:rsidR="009357B9" w:rsidRPr="00DB4AEE">
        <w:t xml:space="preserve"> </w:t>
      </w:r>
      <w:r w:rsidR="002F21C1" w:rsidRPr="00DB4AEE">
        <w:t>cannot</w:t>
      </w:r>
      <w:r w:rsidR="00CB1B72" w:rsidRPr="00DB4AEE">
        <w:t xml:space="preserve"> make a blanket determination, as requested by Southern Companies,</w:t>
      </w:r>
      <w:r w:rsidR="001837A8" w:rsidRPr="00DB4AEE">
        <w:t xml:space="preserve"> </w:t>
      </w:r>
      <w:r w:rsidR="00DF3D4B" w:rsidRPr="00DB4AEE">
        <w:t xml:space="preserve">concerning possible liability for the </w:t>
      </w:r>
      <w:r w:rsidR="0089022C" w:rsidRPr="00DB4AEE">
        <w:t>inadvertent disclosure of confidential e-Tag information by a Balancing Authority or a recipient of e-Tag data under Order No. 771 or publication of e-Tag data subject to FOIA.</w:t>
      </w:r>
      <w:r w:rsidR="008A7965" w:rsidRPr="00DB4AEE">
        <w:t xml:space="preserve">  </w:t>
      </w:r>
      <w:r w:rsidR="00CB1B72" w:rsidRPr="00DB4AEE">
        <w:t xml:space="preserve">As noted in Order No. 771, some of the information contained in e-Tags is likely commercially sensitive and could result in </w:t>
      </w:r>
      <w:r w:rsidR="00CB1B72" w:rsidRPr="00DB4AEE">
        <w:lastRenderedPageBreak/>
        <w:t xml:space="preserve">competitive harm to market participants and the market as a whole if </w:t>
      </w:r>
      <w:r w:rsidR="004421CB" w:rsidRPr="00DB4AEE">
        <w:t>disclosed</w:t>
      </w:r>
      <w:r w:rsidR="00CB1B72" w:rsidRPr="00DB4AEE">
        <w:t xml:space="preserve"> without reasonable confidentiality</w:t>
      </w:r>
      <w:r w:rsidR="005846B8" w:rsidRPr="00DB4AEE">
        <w:t xml:space="preserve"> restrictions.</w:t>
      </w:r>
      <w:r w:rsidR="005846B8" w:rsidRPr="00DB4AEE">
        <w:rPr>
          <w:rStyle w:val="FootnoteReference"/>
        </w:rPr>
        <w:footnoteReference w:id="103"/>
      </w:r>
      <w:r w:rsidR="00CB1B72" w:rsidRPr="00DB4AEE">
        <w:t xml:space="preserve">  </w:t>
      </w:r>
      <w:r w:rsidR="008F4BCF" w:rsidRPr="00DB4AEE">
        <w:t>Furthermore,</w:t>
      </w:r>
      <w:r w:rsidR="008B1A95" w:rsidRPr="00DB4AEE">
        <w:t xml:space="preserve"> Order No. 771-A stated that FOIA requests cannot be peremptorily foreclosed, but that, to the extent a person files a request to obtain e-Tag data from the Commission under FOIA, we expect that any commercially-sensitive e-Tag data would be protected from disclosure if it satisfies the requirements of FOIA’s exemption 4.</w:t>
      </w:r>
      <w:r w:rsidR="008B1A95" w:rsidRPr="00DB4AEE">
        <w:rPr>
          <w:rStyle w:val="FootnoteReference"/>
        </w:rPr>
        <w:footnoteReference w:id="104"/>
      </w:r>
      <w:r w:rsidR="008B1A95" w:rsidRPr="00DB4AEE">
        <w:t xml:space="preserve">  </w:t>
      </w:r>
      <w:r w:rsidR="006C56EC" w:rsidRPr="00DB4AEE">
        <w:t>We</w:t>
      </w:r>
      <w:r w:rsidR="00E00DED" w:rsidRPr="00DB4AEE">
        <w:t xml:space="preserve"> note that, if</w:t>
      </w:r>
      <w:r w:rsidR="00F8614F" w:rsidRPr="00DB4AEE">
        <w:t xml:space="preserve"> there is a</w:t>
      </w:r>
      <w:r w:rsidR="00CB1B72" w:rsidRPr="00DB4AEE">
        <w:t xml:space="preserve"> disclosure of e-T</w:t>
      </w:r>
      <w:r w:rsidR="00F8614F" w:rsidRPr="00DB4AEE">
        <w:t>ag data by a Balancing Authority or</w:t>
      </w:r>
      <w:r w:rsidR="008E2194" w:rsidRPr="00DB4AEE">
        <w:t xml:space="preserve"> other </w:t>
      </w:r>
      <w:r w:rsidR="00F8614F" w:rsidRPr="00DB4AEE">
        <w:t>recipient of</w:t>
      </w:r>
      <w:r w:rsidR="00852DCE" w:rsidRPr="00DB4AEE">
        <w:t xml:space="preserve"> confidential</w:t>
      </w:r>
      <w:r w:rsidR="00F8614F" w:rsidRPr="00DB4AEE">
        <w:t xml:space="preserve"> e-Tag data</w:t>
      </w:r>
      <w:r w:rsidR="00CB1B72" w:rsidRPr="00DB4AEE">
        <w:t xml:space="preserve">, </w:t>
      </w:r>
      <w:r w:rsidR="00A75D08" w:rsidRPr="00DB4AEE">
        <w:t xml:space="preserve">any </w:t>
      </w:r>
      <w:r w:rsidR="008E2194" w:rsidRPr="00DB4AEE">
        <w:t>possible</w:t>
      </w:r>
      <w:r w:rsidR="0049715A" w:rsidRPr="00DB4AEE">
        <w:t xml:space="preserve"> liability will be addressed on a case-by-case basis.  F</w:t>
      </w:r>
      <w:r w:rsidR="00CB1B72" w:rsidRPr="00DB4AEE">
        <w:t>actors such as</w:t>
      </w:r>
      <w:r w:rsidR="00EF206B" w:rsidRPr="00DB4AEE">
        <w:t xml:space="preserve"> whether the disclosure was inadvertent</w:t>
      </w:r>
      <w:r w:rsidR="000B3D2C" w:rsidRPr="00DB4AEE">
        <w:t xml:space="preserve"> or whether any harm resulted from the disclosure</w:t>
      </w:r>
      <w:r w:rsidR="00EF206B" w:rsidRPr="00DB4AEE">
        <w:t xml:space="preserve"> will be taken into account by the Commission to determine whether any remedy or sanction is appropriate.</w:t>
      </w:r>
      <w:r w:rsidR="00026F00" w:rsidRPr="00DB4AEE">
        <w:rPr>
          <w:rStyle w:val="FootnoteReference"/>
        </w:rPr>
        <w:footnoteReference w:id="105"/>
      </w:r>
      <w:bookmarkStart w:id="17" w:name="SR;3769"/>
      <w:bookmarkStart w:id="18" w:name="SR;3812"/>
      <w:bookmarkStart w:id="19" w:name="SR;3836"/>
      <w:bookmarkStart w:id="20" w:name="SR;3842"/>
      <w:bookmarkEnd w:id="17"/>
      <w:bookmarkEnd w:id="18"/>
      <w:bookmarkEnd w:id="19"/>
      <w:bookmarkEnd w:id="20"/>
    </w:p>
    <w:p w14:paraId="5BB1DA4A" w14:textId="77777777" w:rsidR="00B436EA" w:rsidRPr="00DB4AEE" w:rsidRDefault="003F0637" w:rsidP="007C14E6">
      <w:pPr>
        <w:pStyle w:val="Heading2"/>
      </w:pPr>
      <w:r w:rsidRPr="00DB4AEE">
        <w:lastRenderedPageBreak/>
        <w:t>Providing Access to RTOs, ISOs and MMUs</w:t>
      </w:r>
      <w:bookmarkStart w:id="21" w:name="_bmk13"/>
    </w:p>
    <w:bookmarkEnd w:id="21"/>
    <w:p w14:paraId="5BB1DA4B" w14:textId="77777777" w:rsidR="008635F4" w:rsidRPr="00DB4AEE" w:rsidRDefault="003F0637" w:rsidP="007C14E6">
      <w:pPr>
        <w:pStyle w:val="Heading3"/>
      </w:pPr>
      <w:r w:rsidRPr="00DB4AEE">
        <w:t>Requests for Rehearing and Clarification</w:t>
      </w:r>
      <w:bookmarkStart w:id="22" w:name="_bmk14"/>
    </w:p>
    <w:bookmarkEnd w:id="22"/>
    <w:p w14:paraId="5BB1DA4C" w14:textId="77777777" w:rsidR="002F21C1" w:rsidRPr="00DB4AEE" w:rsidRDefault="00A15ED1" w:rsidP="00DB4AEE">
      <w:pPr>
        <w:pStyle w:val="FERCparanumber"/>
      </w:pPr>
      <w:r w:rsidRPr="00DB4AEE">
        <w:t xml:space="preserve">NRECA </w:t>
      </w:r>
      <w:r w:rsidR="00A927FB" w:rsidRPr="00DB4AEE">
        <w:t>contends</w:t>
      </w:r>
      <w:r w:rsidRPr="00DB4AEE">
        <w:t xml:space="preserve"> that even if sections 307(a) and 222 of the FPA give the Commission the authority to require that the Commission be given access to e-Tag data, they do not authorize the Commission to require market participants to provide e-Tag data, on request, to RTOs, ISOs, or their MMUs on an ongoing, confidential basis.</w:t>
      </w:r>
      <w:r w:rsidRPr="00DB4AEE">
        <w:rPr>
          <w:rStyle w:val="FootnoteReference"/>
        </w:rPr>
        <w:footnoteReference w:id="106"/>
      </w:r>
      <w:r w:rsidRPr="00DB4AEE">
        <w:t xml:space="preserve">  NRECA states that Order No. 771 does not show that the Commission has the legal authority to require all market participants to provide e-Tag information on an ongoing basis to the Commission, much less to RTOs, ISOs and their MMUs.</w:t>
      </w:r>
      <w:r w:rsidRPr="00DB4AEE">
        <w:rPr>
          <w:rStyle w:val="FootnoteReference"/>
        </w:rPr>
        <w:footnoteReference w:id="107"/>
      </w:r>
      <w:r w:rsidR="00356202" w:rsidRPr="00DB4AEE">
        <w:t xml:space="preserve">  NRECA argues that section 307(a) authorizes investigations by the Commission and it does not permit the Commission to deputize third parties for this purpose.  NRECA notes that</w:t>
      </w:r>
      <w:r w:rsidR="004D0E67" w:rsidRPr="00DB4AEE">
        <w:t>, although</w:t>
      </w:r>
      <w:r w:rsidR="00356202" w:rsidRPr="00DB4AEE">
        <w:t xml:space="preserve"> the Commission’s enforcement staff sometimes elects to share confidential investigative information with RTOs, ISOs or their MMUs, this practice does not authorize the Commission to require that selected private parties be provided access to e-Tag data </w:t>
      </w:r>
      <w:r w:rsidR="006B0269">
        <w:br/>
      </w:r>
      <w:r w:rsidR="00356202" w:rsidRPr="00DB4AEE">
        <w:t xml:space="preserve">upon request, on an ongoing basis.  NRECA </w:t>
      </w:r>
      <w:r w:rsidR="002F21C1" w:rsidRPr="00DB4AEE">
        <w:t xml:space="preserve">also </w:t>
      </w:r>
      <w:r w:rsidR="00356202" w:rsidRPr="00DB4AEE">
        <w:t>argues that the Commission’s finding that e-Tag data may be helpful to RTOs, ISOs and MMUs in identifying conduct that may violate section 222 does not authorize the Commission’s action.</w:t>
      </w:r>
    </w:p>
    <w:p w14:paraId="5BB1DA4D" w14:textId="77777777" w:rsidR="00A15ED1" w:rsidRPr="00DB4AEE" w:rsidRDefault="00356202" w:rsidP="00DB4AEE">
      <w:pPr>
        <w:pStyle w:val="FERCparanumber"/>
      </w:pPr>
      <w:r w:rsidRPr="00DB4AEE">
        <w:lastRenderedPageBreak/>
        <w:t>NRECA argues that</w:t>
      </w:r>
      <w:r w:rsidR="008F303C" w:rsidRPr="00DB4AEE">
        <w:t>,</w:t>
      </w:r>
      <w:r w:rsidRPr="00DB4AEE">
        <w:t xml:space="preserve"> in </w:t>
      </w:r>
      <w:r w:rsidRPr="00DB4AEE">
        <w:rPr>
          <w:i/>
        </w:rPr>
        <w:t>Electric Power Supply Association v. FERC</w:t>
      </w:r>
      <w:r w:rsidR="007F1690" w:rsidRPr="00DB4AEE">
        <w:rPr>
          <w:i/>
        </w:rPr>
        <w:t xml:space="preserve"> </w:t>
      </w:r>
      <w:r w:rsidR="00421F66" w:rsidRPr="00DB4AEE">
        <w:rPr>
          <w:i/>
        </w:rPr>
        <w:t>(EPSA v. FERC)</w:t>
      </w:r>
      <w:r w:rsidR="008F303C" w:rsidRPr="0053181C">
        <w:t>,</w:t>
      </w:r>
      <w:r w:rsidRPr="00DB4AEE">
        <w:rPr>
          <w:rStyle w:val="FootnoteReference"/>
        </w:rPr>
        <w:footnoteReference w:id="108"/>
      </w:r>
      <w:r w:rsidR="00B97145" w:rsidRPr="00DB4AEE">
        <w:t xml:space="preserve"> the D.C. Circuit Court of Appeals rejected the Commission’s attempt to amend Rule 2201 to exempt communications between market monitors and Commission decisional employees from the Sunshine Act’s ban on </w:t>
      </w:r>
      <w:r w:rsidR="00B97145" w:rsidRPr="00DB4AEE">
        <w:rPr>
          <w:i/>
        </w:rPr>
        <w:t>ex parte</w:t>
      </w:r>
      <w:r w:rsidR="00B97145" w:rsidRPr="00DB4AEE">
        <w:t xml:space="preserve"> communications.  </w:t>
      </w:r>
      <w:r w:rsidR="00F24492" w:rsidRPr="00DB4AEE">
        <w:t xml:space="preserve">NRECA states that the </w:t>
      </w:r>
      <w:r w:rsidR="00B97145" w:rsidRPr="00DB4AEE">
        <w:t xml:space="preserve">court held that the Commission’s “claim that it has an interest in receiving </w:t>
      </w:r>
      <w:r w:rsidR="00B97145" w:rsidRPr="00DB4AEE">
        <w:rPr>
          <w:i/>
        </w:rPr>
        <w:t>ex parte</w:t>
      </w:r>
      <w:r w:rsidR="00B97145" w:rsidRPr="00DB4AEE">
        <w:t xml:space="preserve"> communications” from market monitors “does not empower it to alter Congress’ explicit proscription against such communications.”</w:t>
      </w:r>
      <w:r w:rsidR="00BC5C5E" w:rsidRPr="00DB4AEE">
        <w:rPr>
          <w:rStyle w:val="FootnoteReference"/>
        </w:rPr>
        <w:footnoteReference w:id="109"/>
      </w:r>
      <w:r w:rsidR="00161CB9" w:rsidRPr="00DB4AEE">
        <w:t xml:space="preserve"> </w:t>
      </w:r>
      <w:r w:rsidR="00B97145" w:rsidRPr="00DB4AEE">
        <w:t xml:space="preserve"> NRECA states that the Commission’s interest in getting e-Tag data into the hands of RTOs, ISOs and their MMUs does not authorize the Commission to deputize these entities and use its investigative authority to provide them with data where nothing in the statute confers that power on the Commission.</w:t>
      </w:r>
      <w:r w:rsidR="00BA4A6A" w:rsidRPr="00DB4AEE">
        <w:rPr>
          <w:rStyle w:val="FootnoteReference"/>
        </w:rPr>
        <w:footnoteReference w:id="110"/>
      </w:r>
    </w:p>
    <w:p w14:paraId="5BB1DA4E" w14:textId="77777777" w:rsidR="00A15ED1" w:rsidRPr="00DB4AEE" w:rsidRDefault="007F4CC7" w:rsidP="00DB4AEE">
      <w:pPr>
        <w:pStyle w:val="FERCparanumber"/>
      </w:pPr>
      <w:r>
        <w:t xml:space="preserve">Southern Companies request that the Commission clarify that the requirement to provide e-Tag information to RTOs, ISOs, and MMUs, upon request, is limited to interchange transactions that flow into, out of, or across the RTO/ISO footprint.  Furthermore, </w:t>
      </w:r>
      <w:r w:rsidR="00A15ED1" w:rsidRPr="00DB4AEE">
        <w:t xml:space="preserve">Southern Companies seek clarification that the requirement to provide </w:t>
      </w:r>
      <w:r w:rsidR="006B0269">
        <w:br/>
      </w:r>
      <w:r w:rsidR="00A15ED1" w:rsidRPr="00DB4AEE">
        <w:t xml:space="preserve">e-Tag information to RTOs, ISOs and their MMUs, is limited to interchange transactions that may be useful in assessing loop flows or other activities (including market </w:t>
      </w:r>
      <w:r w:rsidR="00A15ED1" w:rsidRPr="00DB4AEE">
        <w:lastRenderedPageBreak/>
        <w:t>manipulation) within their markets.</w:t>
      </w:r>
      <w:r w:rsidR="00A15ED1" w:rsidRPr="00DB4AEE">
        <w:rPr>
          <w:rStyle w:val="FootnoteReference"/>
        </w:rPr>
        <w:footnoteReference w:id="111"/>
      </w:r>
      <w:r w:rsidR="00A15ED1" w:rsidRPr="00DB4AEE">
        <w:t xml:space="preserve">  </w:t>
      </w:r>
      <w:r w:rsidR="00D03874" w:rsidRPr="00DB4AEE">
        <w:t>As an example,</w:t>
      </w:r>
      <w:r w:rsidR="00A15ED1" w:rsidRPr="00DB4AEE">
        <w:t xml:space="preserve"> Southern Companies</w:t>
      </w:r>
      <w:r w:rsidR="004E3D3F" w:rsidRPr="00DB4AEE">
        <w:t xml:space="preserve"> </w:t>
      </w:r>
      <w:r w:rsidR="00D03874" w:rsidRPr="00DB4AEE">
        <w:t>state</w:t>
      </w:r>
      <w:r w:rsidR="00DD4061" w:rsidRPr="00DB4AEE">
        <w:t xml:space="preserve"> that</w:t>
      </w:r>
      <w:r w:rsidR="00A15ED1" w:rsidRPr="00DB4AEE">
        <w:t xml:space="preserve"> an MMU for </w:t>
      </w:r>
      <w:r w:rsidR="004E3D3F" w:rsidRPr="00DB4AEE">
        <w:t>CAISO</w:t>
      </w:r>
      <w:r w:rsidR="00A15ED1" w:rsidRPr="00DB4AEE">
        <w:t xml:space="preserve"> should not be able to request information for an e-Tag representing a transfer from Southern Companies’ Balancing Authority Area to Tennessee Valley Authority, as it would provide the MMU no useful information in assessing the state of the market it monitors or the activities of participants in such market.</w:t>
      </w:r>
      <w:r w:rsidR="00A15ED1" w:rsidRPr="00DB4AEE">
        <w:rPr>
          <w:rStyle w:val="FootnoteReference"/>
        </w:rPr>
        <w:footnoteReference w:id="112"/>
      </w:r>
      <w:r w:rsidR="00A15ED1" w:rsidRPr="00DB4AEE">
        <w:t xml:space="preserve">  Southern Companies argue that, if RTOs, ISOs and MMUs can utilize e-Tag information to assess loop flows or market manipulation within their markets, then the waiver of ordinary confidentiality protections should be carefully tailored to information that can assist them in monitoring such activities within the markets they are charged to monitor.</w:t>
      </w:r>
      <w:r w:rsidR="00A15ED1" w:rsidRPr="00DB4AEE">
        <w:rPr>
          <w:rStyle w:val="FootnoteReference"/>
        </w:rPr>
        <w:footnoteReference w:id="113"/>
      </w:r>
      <w:r w:rsidR="00A15ED1" w:rsidRPr="00DB4AEE">
        <w:t xml:space="preserve">  Southern Companies add that the Commission should also require e-Tag Authors and Balancing Authorities </w:t>
      </w:r>
      <w:r w:rsidR="008C1E04">
        <w:t>to</w:t>
      </w:r>
      <w:r w:rsidR="008C1E04" w:rsidRPr="00DB4AEE">
        <w:t xml:space="preserve"> </w:t>
      </w:r>
      <w:r w:rsidR="00A15ED1" w:rsidRPr="00DB4AEE">
        <w:t>forward e-Tag information to the Balancing Authorities, upon request, for data related to transactions that flow into, out of, or across their areas and those that would be helpful in assessing loop flows in the same manner that RTOs and ISOs are provided such information.</w:t>
      </w:r>
      <w:r w:rsidR="00A15ED1" w:rsidRPr="00DB4AEE">
        <w:rPr>
          <w:rStyle w:val="FootnoteReference"/>
        </w:rPr>
        <w:footnoteReference w:id="114"/>
      </w:r>
    </w:p>
    <w:p w14:paraId="5BB1DA4F" w14:textId="77777777" w:rsidR="00A15ED1" w:rsidRPr="00DB4AEE" w:rsidRDefault="00A15ED1" w:rsidP="00DB4AEE">
      <w:pPr>
        <w:pStyle w:val="FERCparanumber"/>
      </w:pPr>
      <w:r w:rsidRPr="00DB4AEE">
        <w:t xml:space="preserve">OATI seeks clarification as to what constitutes “appropriate confidentiality restrictions” with respect to RTOs, ISOs and MMUs that are entitled under </w:t>
      </w:r>
      <w:r w:rsidR="00B21EA4">
        <w:br/>
      </w:r>
      <w:r w:rsidRPr="00DB4AEE">
        <w:lastRenderedPageBreak/>
        <w:t>Order No. 771 to complete e-Tags.</w:t>
      </w:r>
      <w:r w:rsidRPr="00DB4AEE">
        <w:rPr>
          <w:rStyle w:val="FootnoteReference"/>
        </w:rPr>
        <w:footnoteReference w:id="115"/>
      </w:r>
      <w:r w:rsidRPr="00DB4AEE">
        <w:t xml:space="preserve">  OATI states that there are many separate parties involved in an e-Tag and the logistics involved in all parties obtaining confidentiality restrictions from other parties will have a chilling effect on Order No. 771.</w:t>
      </w:r>
      <w:r w:rsidRPr="00DB4AEE">
        <w:rPr>
          <w:rStyle w:val="FootnoteReference"/>
        </w:rPr>
        <w:footnoteReference w:id="116"/>
      </w:r>
      <w:r w:rsidRPr="00DB4AEE">
        <w:t xml:space="preserve">  OATI requests that the Commission consider setting forth an example of what would constitute “appropriate confidentiality restrictions,” attaching an industry-wide confidentiality agreement (</w:t>
      </w:r>
      <w:r w:rsidR="00F90C95" w:rsidRPr="00DB4AEE">
        <w:t xml:space="preserve">the Operating Reliability Data Confidentiality Agreement or </w:t>
      </w:r>
      <w:r w:rsidRPr="00DB4AEE">
        <w:t>ORD Agreement) joined by multiple entities.</w:t>
      </w:r>
      <w:r w:rsidRPr="00DB4AEE">
        <w:rPr>
          <w:rStyle w:val="FootnoteReference"/>
        </w:rPr>
        <w:footnoteReference w:id="117"/>
      </w:r>
      <w:r w:rsidRPr="00DB4AEE">
        <w:t xml:space="preserve">  OATI suggests that a multi-entity framework such as this one could be used to implement Order No. 771 and signatories to the document can be tracked in electronic format for validation and verification.</w:t>
      </w:r>
      <w:r w:rsidRPr="00DB4AEE">
        <w:rPr>
          <w:rStyle w:val="FootnoteReference"/>
        </w:rPr>
        <w:footnoteReference w:id="118"/>
      </w:r>
      <w:r w:rsidRPr="00DB4AEE">
        <w:t xml:space="preserve">  OATI also seeks clarification o</w:t>
      </w:r>
      <w:r w:rsidR="00262443">
        <w:t>f</w:t>
      </w:r>
      <w:r w:rsidRPr="00DB4AEE">
        <w:t xml:space="preserve"> what evidence a requesting RTO, ISO or MMU must provide to </w:t>
      </w:r>
      <w:r w:rsidR="00262443">
        <w:t xml:space="preserve">show that </w:t>
      </w:r>
      <w:r w:rsidRPr="00DB4AEE">
        <w:t>appropriate confidentiality restrictions exist between the requestor and all interested entities and again points to the ORD Agreement.</w:t>
      </w:r>
      <w:r w:rsidRPr="00DB4AEE">
        <w:rPr>
          <w:rStyle w:val="FootnoteReference"/>
        </w:rPr>
        <w:footnoteReference w:id="119"/>
      </w:r>
    </w:p>
    <w:p w14:paraId="5BB1DA50" w14:textId="77777777" w:rsidR="00A15ED1" w:rsidRPr="00DB4AEE" w:rsidRDefault="005229AF" w:rsidP="00DB4AEE">
      <w:pPr>
        <w:pStyle w:val="FERCparanumber"/>
      </w:pPr>
      <w:r w:rsidRPr="00DB4AEE">
        <w:t xml:space="preserve">OATI also seeks to clarify whether the requesting RTO, ISO or MMU must direct the request for e-Tag data to both the applicable e-Tag Author and the sink Balancing </w:t>
      </w:r>
      <w:r w:rsidRPr="00DB4AEE">
        <w:lastRenderedPageBreak/>
        <w:t>Authority, or if such request can be made to either the applicable e-Tag Author or the sink Balancing Authority.</w:t>
      </w:r>
      <w:r w:rsidRPr="00DB4AEE">
        <w:rPr>
          <w:rStyle w:val="FootnoteReference"/>
        </w:rPr>
        <w:footnoteReference w:id="120"/>
      </w:r>
    </w:p>
    <w:p w14:paraId="5BB1DA51" w14:textId="77777777" w:rsidR="00C71E7C" w:rsidRPr="00DB4AEE" w:rsidRDefault="008635F4" w:rsidP="007C14E6">
      <w:pPr>
        <w:pStyle w:val="Heading3"/>
      </w:pPr>
      <w:r w:rsidRPr="00DB4AEE">
        <w:t xml:space="preserve">Commission </w:t>
      </w:r>
      <w:r w:rsidR="00933A3A" w:rsidRPr="00DB4AEE">
        <w:t>D</w:t>
      </w:r>
      <w:r w:rsidRPr="00DB4AEE">
        <w:t>etermination</w:t>
      </w:r>
      <w:bookmarkStart w:id="23" w:name="_bmk15"/>
    </w:p>
    <w:bookmarkEnd w:id="23"/>
    <w:p w14:paraId="5BB1DA52" w14:textId="77777777" w:rsidR="00895798" w:rsidRPr="00DB4AEE" w:rsidRDefault="00027037" w:rsidP="0053181C">
      <w:pPr>
        <w:pStyle w:val="FERCparanumber"/>
      </w:pPr>
      <w:r w:rsidRPr="00DB4AEE">
        <w:t xml:space="preserve">Order No. 771 required that RTOs, ISOs, and MMUs </w:t>
      </w:r>
      <w:r w:rsidR="00262443">
        <w:t xml:space="preserve">are to </w:t>
      </w:r>
      <w:r w:rsidRPr="00DB4AEE">
        <w:t xml:space="preserve">be provided with access to complete e-Tag data, upon request to e-Tag Authors and Authority Services, subject to appropriate confidentiality restrictions.  </w:t>
      </w:r>
      <w:r w:rsidR="001F1F41" w:rsidRPr="00DB4AEE">
        <w:t xml:space="preserve">We affirm the determination made in Order No. 771 to provide RTOs, ISOs and MMUs with greater access to e-Tag information to assist them in </w:t>
      </w:r>
      <w:r w:rsidR="00FD07F7" w:rsidRPr="00DB4AEE">
        <w:t>identifying and referring to the Commission behavior that may constitute market manipulation under FPA section 222</w:t>
      </w:r>
      <w:r w:rsidR="006D7D75" w:rsidRPr="00DB4AEE">
        <w:t xml:space="preserve">, to </w:t>
      </w:r>
      <w:r w:rsidR="00FD07F7" w:rsidRPr="00DB4AEE">
        <w:t>assist the Commission in its market surveillance activities, and</w:t>
      </w:r>
      <w:r w:rsidR="0087334A" w:rsidRPr="00DB4AEE">
        <w:t xml:space="preserve"> to</w:t>
      </w:r>
      <w:r w:rsidR="001F1F41" w:rsidRPr="00DB4AEE">
        <w:t xml:space="preserve"> more efficiently </w:t>
      </w:r>
      <w:r w:rsidR="00800D80" w:rsidRPr="00DB4AEE">
        <w:t>operate</w:t>
      </w:r>
      <w:r w:rsidR="001F1F41" w:rsidRPr="00DB4AEE">
        <w:t xml:space="preserve"> their systems and markets.  </w:t>
      </w:r>
      <w:r w:rsidR="008A04DC" w:rsidRPr="00DB4AEE">
        <w:t xml:space="preserve">Prior </w:t>
      </w:r>
      <w:r w:rsidR="006C11D4" w:rsidRPr="00DB4AEE">
        <w:t>to issuance of the Final R</w:t>
      </w:r>
      <w:r w:rsidR="008A04DC" w:rsidRPr="00DB4AEE">
        <w:t>ule, e</w:t>
      </w:r>
      <w:r w:rsidR="007D784B" w:rsidRPr="00DB4AEE">
        <w:t>-Tag information</w:t>
      </w:r>
      <w:r w:rsidR="006706E5" w:rsidRPr="00DB4AEE">
        <w:t xml:space="preserve"> was available to RTOs and ISOs</w:t>
      </w:r>
      <w:r w:rsidR="007D784B" w:rsidRPr="00DB4AEE">
        <w:t xml:space="preserve"> only for those interchange transactions that flow into, out of, or across their operating footprints, but not </w:t>
      </w:r>
      <w:r w:rsidR="008A04DC" w:rsidRPr="00DB4AEE">
        <w:t xml:space="preserve">for </w:t>
      </w:r>
      <w:r w:rsidR="007D784B" w:rsidRPr="00DB4AEE">
        <w:t>transactions scheduled outside of these entities’ footprints.</w:t>
      </w:r>
      <w:r w:rsidR="007D784B" w:rsidRPr="00DB4AEE">
        <w:rPr>
          <w:rStyle w:val="FootnoteReference"/>
        </w:rPr>
        <w:footnoteReference w:id="121"/>
      </w:r>
      <w:r w:rsidR="007D784B" w:rsidRPr="00DB4AEE">
        <w:t xml:space="preserve">  </w:t>
      </w:r>
      <w:r w:rsidR="00061284" w:rsidRPr="00DB4AEE">
        <w:t>Order No. 771 stated that,</w:t>
      </w:r>
      <w:r w:rsidR="001D1D67" w:rsidRPr="00DB4AEE">
        <w:t xml:space="preserve"> when market participants engage in conduct that constitutes market violations that cannot be detected without e-Tag information, access to the data shown on e-Tags can assist MMUs in identifying behavior that may constitute market manipulation under FPA section 222 and allow them to refer instances of such </w:t>
      </w:r>
      <w:r w:rsidR="001D1D67" w:rsidRPr="00DB4AEE">
        <w:lastRenderedPageBreak/>
        <w:t>conduct to the Commission.</w:t>
      </w:r>
      <w:r w:rsidR="001D1D67" w:rsidRPr="00DB4AEE">
        <w:rPr>
          <w:rStyle w:val="FootnoteReference"/>
        </w:rPr>
        <w:footnoteReference w:id="122"/>
      </w:r>
      <w:r w:rsidR="00593C5E" w:rsidRPr="00DB4AEE">
        <w:t xml:space="preserve">  </w:t>
      </w:r>
      <w:r w:rsidR="00EA1E6C" w:rsidRPr="0053181C">
        <w:t xml:space="preserve">Following the </w:t>
      </w:r>
      <w:r w:rsidR="00593C5E" w:rsidRPr="00DB4AEE">
        <w:t xml:space="preserve">issuance of Order No. 771, the Commission has </w:t>
      </w:r>
      <w:r w:rsidR="008A7393" w:rsidRPr="0053181C">
        <w:t>received a referral of potential market manipulation by multiple market participants</w:t>
      </w:r>
      <w:r w:rsidR="000B2760" w:rsidRPr="00DB4AEE">
        <w:t>,</w:t>
      </w:r>
      <w:r w:rsidR="008A7393" w:rsidRPr="0053181C">
        <w:t xml:space="preserve"> which required analysis of the e-Tag data outside of the RTO</w:t>
      </w:r>
      <w:r w:rsidR="00A8030B" w:rsidRPr="00DB4AEE">
        <w:t>/</w:t>
      </w:r>
      <w:r w:rsidR="008A7393" w:rsidRPr="0053181C">
        <w:t xml:space="preserve">ISO footprint by the MMU.  </w:t>
      </w:r>
      <w:r w:rsidR="001F1F41" w:rsidRPr="00DB4AEE">
        <w:t xml:space="preserve">Sharing </w:t>
      </w:r>
      <w:r w:rsidR="001D1D67" w:rsidRPr="00DB4AEE">
        <w:t xml:space="preserve">information with MMUs that monitor the markets within the United States can </w:t>
      </w:r>
      <w:r w:rsidR="001F1F41" w:rsidRPr="00DB4AEE">
        <w:t xml:space="preserve">also </w:t>
      </w:r>
      <w:r w:rsidR="00DB3397" w:rsidRPr="00DB4AEE">
        <w:t>help</w:t>
      </w:r>
      <w:r w:rsidR="001D1D67" w:rsidRPr="00DB4AEE">
        <w:t xml:space="preserve"> the Commission with its own market surveillance activities because the MMUs may provide additional insights </w:t>
      </w:r>
      <w:r w:rsidR="00DB3397" w:rsidRPr="00DB4AEE">
        <w:t xml:space="preserve">to the Commission </w:t>
      </w:r>
      <w:r w:rsidR="001D1D67" w:rsidRPr="00DB4AEE">
        <w:t>about potential market viola</w:t>
      </w:r>
      <w:r w:rsidR="0098278D" w:rsidRPr="00DB4AEE">
        <w:t>tions and market issues.  Order No. 771 also stated</w:t>
      </w:r>
      <w:r w:rsidR="0011212F" w:rsidRPr="00DB4AEE">
        <w:t>, similarly,</w:t>
      </w:r>
      <w:r w:rsidR="0098278D" w:rsidRPr="00DB4AEE">
        <w:t xml:space="preserve"> </w:t>
      </w:r>
      <w:r w:rsidR="00262443">
        <w:t xml:space="preserve">that </w:t>
      </w:r>
      <w:r w:rsidR="001D1D67" w:rsidRPr="00DB4AEE">
        <w:t xml:space="preserve">providing complete e-Tag data to RTOs and ISOs may also assist </w:t>
      </w:r>
      <w:r w:rsidR="00BF041D" w:rsidRPr="00DB4AEE">
        <w:t>them</w:t>
      </w:r>
      <w:r w:rsidR="001D1D67" w:rsidRPr="00DB4AEE">
        <w:t xml:space="preserve"> in identifying and referring to the Commission behavior that may constitute market manipulation under section 222 and aid the Commission in its own m</w:t>
      </w:r>
      <w:r w:rsidR="000916C2" w:rsidRPr="00DB4AEE">
        <w:t>arket surveillance activities</w:t>
      </w:r>
      <w:r w:rsidR="001D1D67" w:rsidRPr="00DB4AEE">
        <w:t>.</w:t>
      </w:r>
      <w:r w:rsidR="001D1D67" w:rsidRPr="00DB4AEE">
        <w:rPr>
          <w:rStyle w:val="FootnoteReference"/>
        </w:rPr>
        <w:footnoteReference w:id="123"/>
      </w:r>
      <w:r w:rsidR="00E24FEC" w:rsidRPr="00DB4AEE">
        <w:t xml:space="preserve">  Furthermore, a</w:t>
      </w:r>
      <w:r w:rsidR="001D1D67" w:rsidRPr="00DB4AEE">
        <w:t>s noted in Order No. 771, effective market monitoring is enhanced by close collaboration between the MMUs, RTOs/ISOs, and the Commission’s Office of Enforcement during the referral process and during investigations.</w:t>
      </w:r>
      <w:r w:rsidR="001D1D67" w:rsidRPr="00DB4AEE">
        <w:rPr>
          <w:rStyle w:val="FootnoteReference"/>
        </w:rPr>
        <w:footnoteReference w:id="124"/>
      </w:r>
    </w:p>
    <w:p w14:paraId="5BB1DA53" w14:textId="77777777" w:rsidR="00C30277" w:rsidRPr="00DB4AEE" w:rsidRDefault="00895798" w:rsidP="0053181C">
      <w:pPr>
        <w:pStyle w:val="FERCparanumber"/>
      </w:pPr>
      <w:r w:rsidRPr="00DB4AEE">
        <w:t>I</w:t>
      </w:r>
      <w:r w:rsidR="00427170" w:rsidRPr="00DB4AEE">
        <w:t xml:space="preserve">n addition, Order No. 771 </w:t>
      </w:r>
      <w:r w:rsidR="007D784B" w:rsidRPr="00DB4AEE">
        <w:t>stated that</w:t>
      </w:r>
      <w:r w:rsidR="003C6950" w:rsidRPr="00DB4AEE">
        <w:t xml:space="preserve"> </w:t>
      </w:r>
      <w:r w:rsidR="00D85A8B" w:rsidRPr="00DB4AEE">
        <w:t xml:space="preserve">the </w:t>
      </w:r>
      <w:r w:rsidR="003C6950" w:rsidRPr="00DB4AEE">
        <w:t xml:space="preserve">transactions scheduled outside of these entities’ footprints can physically flow into their footprints and result in loop </w:t>
      </w:r>
      <w:proofErr w:type="gramStart"/>
      <w:r w:rsidR="003C6950" w:rsidRPr="00DB4AEE">
        <w:t>flows</w:t>
      </w:r>
      <w:proofErr w:type="gramEnd"/>
      <w:r w:rsidR="003C6950" w:rsidRPr="00DB4AEE">
        <w:t xml:space="preserve"> that </w:t>
      </w:r>
      <w:r w:rsidR="003C6950" w:rsidRPr="00DB4AEE">
        <w:lastRenderedPageBreak/>
        <w:t>impact both the reliability of their systems and the markets that they administer.</w:t>
      </w:r>
      <w:r w:rsidR="00427170" w:rsidRPr="00DB4AEE">
        <w:rPr>
          <w:rStyle w:val="FootnoteReference"/>
        </w:rPr>
        <w:footnoteReference w:id="125"/>
      </w:r>
      <w:r w:rsidR="003C6950" w:rsidRPr="00DB4AEE">
        <w:t xml:space="preserve">  </w:t>
      </w:r>
      <w:r w:rsidR="002D5243" w:rsidRPr="00DB4AEE">
        <w:t>D</w:t>
      </w:r>
      <w:r w:rsidR="003C6950" w:rsidRPr="00DB4AEE">
        <w:t>ue to congestion and other market impacts caused by loop flows, such transactions can have significant financial consequences.  Thus, providing e-Tag information to RTOs and ISOs can assist them in more efficiently operating their systems and their markets</w:t>
      </w:r>
      <w:r w:rsidR="007D784B" w:rsidRPr="00DB4AEE">
        <w:t>.</w:t>
      </w:r>
      <w:r w:rsidR="007D784B" w:rsidRPr="00DB4AEE">
        <w:rPr>
          <w:rStyle w:val="FootnoteReference"/>
        </w:rPr>
        <w:footnoteReference w:id="126"/>
      </w:r>
    </w:p>
    <w:p w14:paraId="5BB1DA54" w14:textId="77777777" w:rsidR="0032601A" w:rsidRPr="00D8177F" w:rsidRDefault="009861FF" w:rsidP="0053181C">
      <w:pPr>
        <w:pStyle w:val="FERCparanumber"/>
        <w:rPr>
          <w:szCs w:val="26"/>
        </w:rPr>
      </w:pPr>
      <w:r w:rsidRPr="00DB4AEE">
        <w:t>We also disagree with NRECA’s argument that</w:t>
      </w:r>
      <w:r w:rsidR="0032601A" w:rsidRPr="00DB4AEE">
        <w:t xml:space="preserve"> the Commission’s </w:t>
      </w:r>
      <w:r w:rsidR="000158C2" w:rsidRPr="00DB4AEE">
        <w:t>actions in</w:t>
      </w:r>
      <w:r w:rsidR="0032601A" w:rsidRPr="00DB4AEE">
        <w:t xml:space="preserve"> Order No. 771 to allow RTOs, ISOs and MMU</w:t>
      </w:r>
      <w:r w:rsidR="000158C2" w:rsidRPr="00DB4AEE">
        <w:t>s to gain access to e-Tag data are</w:t>
      </w:r>
      <w:r w:rsidR="0032601A" w:rsidRPr="00DB4AEE">
        <w:t xml:space="preserve"> tantamount to </w:t>
      </w:r>
      <w:r w:rsidR="000158C2" w:rsidRPr="00DB4AEE">
        <w:t>“</w:t>
      </w:r>
      <w:r w:rsidR="0032601A" w:rsidRPr="00DB4AEE">
        <w:t>deputizing</w:t>
      </w:r>
      <w:r w:rsidR="000158C2" w:rsidRPr="00DB4AEE">
        <w:t>”</w:t>
      </w:r>
      <w:r w:rsidR="0032601A" w:rsidRPr="00DB4AEE">
        <w:t xml:space="preserve"> these entities.  </w:t>
      </w:r>
      <w:r w:rsidR="00530A60" w:rsidRPr="00D8177F">
        <w:rPr>
          <w:szCs w:val="26"/>
        </w:rPr>
        <w:t xml:space="preserve">RTOs, ISOs and MMUs </w:t>
      </w:r>
      <w:r w:rsidR="00D909C4" w:rsidRPr="00D8177F">
        <w:rPr>
          <w:szCs w:val="26"/>
        </w:rPr>
        <w:t>are obligated</w:t>
      </w:r>
      <w:r w:rsidR="00530A60" w:rsidRPr="009E7DB1">
        <w:rPr>
          <w:szCs w:val="26"/>
        </w:rPr>
        <w:t xml:space="preserve"> to</w:t>
      </w:r>
      <w:r w:rsidR="00AF4080" w:rsidRPr="0037529B">
        <w:rPr>
          <w:szCs w:val="26"/>
        </w:rPr>
        <w:t xml:space="preserve"> </w:t>
      </w:r>
      <w:r w:rsidR="00530A60" w:rsidRPr="0037529B">
        <w:rPr>
          <w:szCs w:val="26"/>
        </w:rPr>
        <w:t>ensure the proper functioning of the</w:t>
      </w:r>
      <w:r w:rsidR="00AF4080" w:rsidRPr="0037529B">
        <w:rPr>
          <w:szCs w:val="26"/>
        </w:rPr>
        <w:t xml:space="preserve"> markets they </w:t>
      </w:r>
      <w:r w:rsidRPr="0037529B">
        <w:rPr>
          <w:szCs w:val="26"/>
        </w:rPr>
        <w:t>administer and oversee</w:t>
      </w:r>
      <w:r w:rsidR="00CE32B6" w:rsidRPr="0037529B">
        <w:rPr>
          <w:szCs w:val="26"/>
        </w:rPr>
        <w:t>.  One means of accomplishing this goal is by detecting and preventing market manipulation</w:t>
      </w:r>
      <w:r w:rsidR="00D909C4" w:rsidRPr="0037529B">
        <w:rPr>
          <w:szCs w:val="26"/>
        </w:rPr>
        <w:t xml:space="preserve">.  The Commission has a statutory obligation to ensure that wholesale </w:t>
      </w:r>
      <w:r w:rsidR="00691B33" w:rsidRPr="0037529B">
        <w:rPr>
          <w:szCs w:val="26"/>
        </w:rPr>
        <w:t xml:space="preserve">electricity </w:t>
      </w:r>
      <w:r w:rsidR="00D909C4" w:rsidRPr="0037529B">
        <w:rPr>
          <w:szCs w:val="26"/>
        </w:rPr>
        <w:t xml:space="preserve">markets function properly </w:t>
      </w:r>
      <w:r w:rsidR="00931387" w:rsidRPr="0037529B">
        <w:rPr>
          <w:szCs w:val="26"/>
        </w:rPr>
        <w:t xml:space="preserve">and </w:t>
      </w:r>
      <w:r w:rsidR="00D909C4" w:rsidRPr="0037529B">
        <w:rPr>
          <w:szCs w:val="26"/>
        </w:rPr>
        <w:t>without market manipulation and</w:t>
      </w:r>
      <w:r w:rsidR="00931387" w:rsidRPr="0037529B">
        <w:rPr>
          <w:szCs w:val="26"/>
        </w:rPr>
        <w:t xml:space="preserve"> thereby</w:t>
      </w:r>
      <w:r w:rsidR="00D909C4" w:rsidRPr="0037529B">
        <w:rPr>
          <w:szCs w:val="26"/>
        </w:rPr>
        <w:t xml:space="preserve"> result in just and reasonable rates.  </w:t>
      </w:r>
      <w:r w:rsidR="0001528E" w:rsidRPr="0037529B">
        <w:rPr>
          <w:szCs w:val="26"/>
        </w:rPr>
        <w:t>Although</w:t>
      </w:r>
      <w:r w:rsidR="00D909C4" w:rsidRPr="0037529B">
        <w:rPr>
          <w:szCs w:val="26"/>
        </w:rPr>
        <w:t xml:space="preserve"> the Commission’s obligation to ensure </w:t>
      </w:r>
      <w:r w:rsidR="00E96DB8" w:rsidRPr="0037529B">
        <w:rPr>
          <w:szCs w:val="26"/>
        </w:rPr>
        <w:t xml:space="preserve">that wholesale markets are functioning properly </w:t>
      </w:r>
      <w:r w:rsidR="00D909C4" w:rsidRPr="0037529B">
        <w:rPr>
          <w:szCs w:val="26"/>
        </w:rPr>
        <w:t>may be aligned with the obligations of RTOs, ISOs and MMUs</w:t>
      </w:r>
      <w:r w:rsidR="0001528E" w:rsidRPr="0037529B">
        <w:rPr>
          <w:szCs w:val="26"/>
        </w:rPr>
        <w:t xml:space="preserve"> to ensure that their markets are functioning properly</w:t>
      </w:r>
      <w:r w:rsidR="00953ADC" w:rsidRPr="0037529B">
        <w:rPr>
          <w:szCs w:val="26"/>
        </w:rPr>
        <w:t xml:space="preserve">, </w:t>
      </w:r>
      <w:r w:rsidR="008F54BE" w:rsidRPr="0037529B">
        <w:rPr>
          <w:szCs w:val="26"/>
        </w:rPr>
        <w:t>it does not follow</w:t>
      </w:r>
      <w:r w:rsidR="00953ADC" w:rsidRPr="0037529B">
        <w:rPr>
          <w:szCs w:val="26"/>
        </w:rPr>
        <w:t xml:space="preserve"> that the Commissio</w:t>
      </w:r>
      <w:r w:rsidR="00377850" w:rsidRPr="0037529B">
        <w:rPr>
          <w:szCs w:val="26"/>
        </w:rPr>
        <w:t>n’</w:t>
      </w:r>
      <w:r w:rsidR="00E96DB8" w:rsidRPr="0037529B">
        <w:rPr>
          <w:szCs w:val="26"/>
        </w:rPr>
        <w:t xml:space="preserve">s actions to enable greater access to e-Tags </w:t>
      </w:r>
      <w:r w:rsidR="008F54BE" w:rsidRPr="0037529B">
        <w:rPr>
          <w:szCs w:val="26"/>
        </w:rPr>
        <w:t xml:space="preserve">to RTOs, ISOs and MMUs </w:t>
      </w:r>
      <w:r w:rsidR="00E96DB8" w:rsidRPr="0037529B">
        <w:rPr>
          <w:szCs w:val="26"/>
        </w:rPr>
        <w:t xml:space="preserve">results in “deputizing” these </w:t>
      </w:r>
      <w:r w:rsidR="00E96DB8" w:rsidRPr="00D8177F">
        <w:rPr>
          <w:szCs w:val="26"/>
        </w:rPr>
        <w:t>entities</w:t>
      </w:r>
      <w:r w:rsidR="00953ADC" w:rsidRPr="00D8177F">
        <w:rPr>
          <w:szCs w:val="26"/>
        </w:rPr>
        <w:t>.</w:t>
      </w:r>
      <w:r w:rsidR="00D8177F">
        <w:rPr>
          <w:szCs w:val="26"/>
        </w:rPr>
        <w:t xml:space="preserve">  Nor do the Commission’s actions in Order No. 771 run counter to the court’s holding in </w:t>
      </w:r>
      <w:r w:rsidR="00D8177F" w:rsidRPr="00C82DC2">
        <w:rPr>
          <w:i/>
          <w:szCs w:val="26"/>
        </w:rPr>
        <w:t>EPSA v. FERC</w:t>
      </w:r>
      <w:r w:rsidR="00D8177F">
        <w:rPr>
          <w:szCs w:val="26"/>
        </w:rPr>
        <w:t xml:space="preserve">.  NRECA’s analogy to </w:t>
      </w:r>
      <w:r w:rsidR="00D8177F" w:rsidRPr="00C82DC2">
        <w:rPr>
          <w:i/>
          <w:szCs w:val="26"/>
        </w:rPr>
        <w:t>EPSA v. FERC</w:t>
      </w:r>
      <w:r w:rsidR="00D8177F">
        <w:rPr>
          <w:szCs w:val="26"/>
        </w:rPr>
        <w:t xml:space="preserve"> is flawed because, unlike that case, Order No. 771 does not involve potential ex parte communications.  </w:t>
      </w:r>
    </w:p>
    <w:p w14:paraId="5BB1DA55" w14:textId="77777777" w:rsidR="009D28F0" w:rsidRDefault="00AD0FD1" w:rsidP="0053181C">
      <w:pPr>
        <w:pStyle w:val="FERCparanumber"/>
      </w:pPr>
      <w:r w:rsidRPr="00DB4AEE">
        <w:lastRenderedPageBreak/>
        <w:t xml:space="preserve">Order No. 771 required that RTOs, ISOs and their MMUs be afforded access to complete e-Tags, upon request to e-Tag Authors and Authority Services, “subject to appropriate confidentiality restrictions.”  OATI seeks clarification as to what would constitute “appropriate confidentiality restrictions” and suggests that the Commission consider using a multi-entity framework such as the </w:t>
      </w:r>
      <w:r w:rsidRPr="0053181C">
        <w:t>ORD Agreement</w:t>
      </w:r>
      <w:r w:rsidRPr="00DB4AEE">
        <w:t xml:space="preserve"> to implement Order No. 771.  At the outset, we note </w:t>
      </w:r>
      <w:r w:rsidR="00002EA5" w:rsidRPr="00DB4AEE">
        <w:t>that the Commission did not intend the reference to “appropriate confidential</w:t>
      </w:r>
      <w:r w:rsidR="00F600FD" w:rsidRPr="00DB4AEE">
        <w:t xml:space="preserve">ity restrictions” to </w:t>
      </w:r>
      <w:r w:rsidR="00366B54" w:rsidRPr="00DB4AEE">
        <w:t xml:space="preserve">foreclose RTOs and ISOs from proposing </w:t>
      </w:r>
      <w:r w:rsidR="008427A7" w:rsidRPr="00DB4AEE">
        <w:t>confidentiality provisions in their</w:t>
      </w:r>
      <w:r w:rsidR="00366B54" w:rsidRPr="00DB4AEE">
        <w:t xml:space="preserve"> tariffs to </w:t>
      </w:r>
      <w:r w:rsidR="00893FBA" w:rsidRPr="00DB4AEE">
        <w:t>p</w:t>
      </w:r>
      <w:r w:rsidR="00366B54" w:rsidRPr="00DB4AEE">
        <w:t>rotect e-Tag data</w:t>
      </w:r>
      <w:r w:rsidR="00893FBA" w:rsidRPr="00DB4AEE">
        <w:t xml:space="preserve"> specifically</w:t>
      </w:r>
      <w:r w:rsidR="00366B54" w:rsidRPr="00DB4AEE">
        <w:t xml:space="preserve">, similar </w:t>
      </w:r>
      <w:r w:rsidR="008427A7" w:rsidRPr="00DB4AEE">
        <w:t xml:space="preserve">to the types of provisions contained in RTO and ISO tariffs that </w:t>
      </w:r>
      <w:r w:rsidR="00366B54" w:rsidRPr="00DB4AEE">
        <w:t xml:space="preserve">protect other </w:t>
      </w:r>
      <w:r w:rsidR="006B676F" w:rsidRPr="00DB4AEE">
        <w:t xml:space="preserve">types of </w:t>
      </w:r>
      <w:r w:rsidR="00366B54" w:rsidRPr="00DB4AEE">
        <w:t xml:space="preserve">confidential market data.  </w:t>
      </w:r>
      <w:r w:rsidR="00774CE6" w:rsidRPr="00DB4AEE">
        <w:t>PJM and MISO to</w:t>
      </w:r>
      <w:r w:rsidR="00F923F8" w:rsidRPr="00DB4AEE">
        <w:t xml:space="preserve">ok such an </w:t>
      </w:r>
      <w:r w:rsidR="00F127CB" w:rsidRPr="00DB4AEE">
        <w:t>approach to</w:t>
      </w:r>
      <w:r w:rsidR="00774CE6" w:rsidRPr="00DB4AEE">
        <w:t xml:space="preserve"> effectuate access to e-Tag informatio</w:t>
      </w:r>
      <w:r w:rsidR="005837F7" w:rsidRPr="00DB4AEE">
        <w:t>n</w:t>
      </w:r>
      <w:r w:rsidR="00F923F8" w:rsidRPr="00DB4AEE">
        <w:t xml:space="preserve"> under Order No. 771.  In particular</w:t>
      </w:r>
      <w:r w:rsidR="005861E6" w:rsidRPr="00DB4AEE">
        <w:t xml:space="preserve">, </w:t>
      </w:r>
      <w:r w:rsidR="00EB6B14" w:rsidRPr="00DB4AEE">
        <w:t xml:space="preserve">PJM </w:t>
      </w:r>
      <w:r w:rsidR="005B0329" w:rsidRPr="00DB4AEE">
        <w:t>revised</w:t>
      </w:r>
      <w:r w:rsidR="005861E6" w:rsidRPr="00DB4AEE">
        <w:t xml:space="preserve"> the PJM Tariff and Operating Agreement to:  (1) make clear that PJM and the PJM MMU must maintain </w:t>
      </w:r>
      <w:r w:rsidR="00F600FD" w:rsidRPr="00DB4AEE">
        <w:t>the confidentiality of e-Tags or</w:t>
      </w:r>
      <w:r w:rsidR="005861E6" w:rsidRPr="00DB4AEE">
        <w:t xml:space="preserve"> </w:t>
      </w:r>
      <w:r w:rsidR="008F4AF5" w:rsidRPr="00DB4AEE">
        <w:t>t</w:t>
      </w:r>
      <w:r w:rsidR="005861E6" w:rsidRPr="00DB4AEE">
        <w:t>o ensure there are appropriate confidentiality restrictions in place before e-Tags can be received from or disclosed to other RTOs, ISOs and MMUs; (2) require PJM to make e-Tags available to the Commission, and to make e-Tags available to other RTOs and ISOs upon request; (3</w:t>
      </w:r>
      <w:r w:rsidR="00A24BA1" w:rsidRPr="00DB4AEE">
        <w:t xml:space="preserve">) give the PJM MMU </w:t>
      </w:r>
      <w:r w:rsidR="005861E6" w:rsidRPr="00DB4AEE">
        <w:t xml:space="preserve">authority to share e-Tag data with  other MMUs upon request; and (4) </w:t>
      </w:r>
      <w:r w:rsidR="00336E72" w:rsidRPr="00DB4AEE">
        <w:t xml:space="preserve">allow </w:t>
      </w:r>
      <w:r w:rsidR="005861E6" w:rsidRPr="00DB4AEE">
        <w:t xml:space="preserve">PJM and the MMU </w:t>
      </w:r>
      <w:r w:rsidR="00336E72" w:rsidRPr="00DB4AEE">
        <w:t>to use</w:t>
      </w:r>
      <w:r w:rsidR="005861E6" w:rsidRPr="00DB4AEE">
        <w:t xml:space="preserve"> an agent such as OATI to provide the requested e-Tags to the Commission, RTOs,</w:t>
      </w:r>
    </w:p>
    <w:p w14:paraId="5BB1DA56" w14:textId="77777777" w:rsidR="00DC05CE" w:rsidRPr="00DB4AEE" w:rsidRDefault="005861E6" w:rsidP="009D28F0">
      <w:pPr>
        <w:pStyle w:val="FERCparanumber"/>
        <w:numPr>
          <w:ilvl w:val="0"/>
          <w:numId w:val="0"/>
        </w:numPr>
      </w:pPr>
      <w:proofErr w:type="gramStart"/>
      <w:r w:rsidRPr="00DB4AEE">
        <w:lastRenderedPageBreak/>
        <w:t>ISOs and MMUs.</w:t>
      </w:r>
      <w:proofErr w:type="gramEnd"/>
      <w:r w:rsidRPr="00DB4AEE">
        <w:rPr>
          <w:rStyle w:val="FootnoteReference"/>
        </w:rPr>
        <w:footnoteReference w:id="127"/>
      </w:r>
      <w:r w:rsidRPr="00DB4AEE">
        <w:t xml:space="preserve">  </w:t>
      </w:r>
      <w:r w:rsidR="00296C0C" w:rsidRPr="00DB4AEE">
        <w:t xml:space="preserve">MISO made similar revisions to </w:t>
      </w:r>
      <w:r w:rsidR="0054323A" w:rsidRPr="00DB4AEE">
        <w:t>its Tariff</w:t>
      </w:r>
      <w:r w:rsidR="00296C0C" w:rsidRPr="00DB4AEE">
        <w:t xml:space="preserve"> to effectuate access to </w:t>
      </w:r>
      <w:r w:rsidR="00B21EA4">
        <w:br/>
      </w:r>
      <w:r w:rsidR="00296C0C" w:rsidRPr="00DB4AEE">
        <w:t>e-Tag data under Order No. 771.</w:t>
      </w:r>
      <w:r w:rsidR="00296C0C" w:rsidRPr="00DB4AEE">
        <w:rPr>
          <w:rStyle w:val="FootnoteReference"/>
        </w:rPr>
        <w:footnoteReference w:id="128"/>
      </w:r>
      <w:r w:rsidR="00BC0A1F" w:rsidRPr="00DB4AEE">
        <w:t xml:space="preserve"> </w:t>
      </w:r>
      <w:r w:rsidR="00F02344" w:rsidRPr="00DB4AEE">
        <w:t xml:space="preserve"> We find</w:t>
      </w:r>
      <w:r w:rsidR="00C51FE5" w:rsidRPr="00DB4AEE">
        <w:t xml:space="preserve"> that</w:t>
      </w:r>
      <w:r w:rsidR="00F02344" w:rsidRPr="00DB4AEE">
        <w:t xml:space="preserve"> the approach taken by PJM and MISO to</w:t>
      </w:r>
      <w:r w:rsidR="002430C3" w:rsidRPr="00DB4AEE">
        <w:t xml:space="preserve"> effectuate access t</w:t>
      </w:r>
      <w:r w:rsidR="009273E8" w:rsidRPr="00DB4AEE">
        <w:t xml:space="preserve">o e-Tag data under Order No. 771 </w:t>
      </w:r>
      <w:r w:rsidR="00C51FE5" w:rsidRPr="00DB4AEE">
        <w:t>is</w:t>
      </w:r>
      <w:r w:rsidR="00F02344" w:rsidRPr="00DB4AEE">
        <w:t xml:space="preserve"> acceptable.</w:t>
      </w:r>
    </w:p>
    <w:p w14:paraId="5BB1DA57" w14:textId="77777777" w:rsidR="007F4CC7" w:rsidRDefault="007F4CC7" w:rsidP="0053181C">
      <w:pPr>
        <w:pStyle w:val="FERCparanumber"/>
      </w:pPr>
      <w:r>
        <w:t>We</w:t>
      </w:r>
      <w:r w:rsidRPr="00DB4AEE">
        <w:t xml:space="preserve"> deny Southern</w:t>
      </w:r>
      <w:r>
        <w:t xml:space="preserve"> Companies</w:t>
      </w:r>
      <w:r w:rsidRPr="00DB4AEE">
        <w:t xml:space="preserve">’ request for clarification that e-Tag data be limited to interchange transactions that flow into, out of, or across the RTO and ISO footprint or markets.  As noted in Order No. 771, RTOs and ISOs already had access to e-Tag information for those interchange transactions that </w:t>
      </w:r>
      <w:r>
        <w:t xml:space="preserve">are scheduled to </w:t>
      </w:r>
      <w:r w:rsidRPr="00DB4AEE">
        <w:t>flow into, out of, or across their operating footprints, but they could not access e-Tags for transactions scheduled outside of their footprints.</w:t>
      </w:r>
      <w:r w:rsidRPr="00DB4AEE">
        <w:rPr>
          <w:rStyle w:val="FootnoteReference"/>
        </w:rPr>
        <w:footnoteReference w:id="129"/>
      </w:r>
      <w:r w:rsidRPr="00DB4AEE">
        <w:t xml:space="preserve">  For the reasons set forth in this order and Order No. 771, we affirm the determination to allow RTOs and ISOs access to e-Tags for transactions scheduled outside of their footprints.</w:t>
      </w:r>
    </w:p>
    <w:p w14:paraId="5BB1DA58" w14:textId="77777777" w:rsidR="00DC05CE" w:rsidRPr="00DB4AEE" w:rsidRDefault="00CA7599" w:rsidP="0053181C">
      <w:pPr>
        <w:pStyle w:val="FERCparanumber"/>
      </w:pPr>
      <w:r w:rsidRPr="00DB4AEE">
        <w:t xml:space="preserve">In response to Southern Companies’ </w:t>
      </w:r>
      <w:r w:rsidR="00DD395F" w:rsidRPr="00DB4AEE">
        <w:t>concern</w:t>
      </w:r>
      <w:r w:rsidRPr="00DB4AEE">
        <w:t xml:space="preserve"> that </w:t>
      </w:r>
      <w:r w:rsidR="001C7DBE" w:rsidRPr="00DB4AEE">
        <w:t xml:space="preserve">the MMU for CAISO would be </w:t>
      </w:r>
      <w:r w:rsidR="00DD395F" w:rsidRPr="00DB4AEE">
        <w:t xml:space="preserve">able to </w:t>
      </w:r>
      <w:r w:rsidRPr="00DB4AEE">
        <w:t xml:space="preserve">request information </w:t>
      </w:r>
      <w:r w:rsidR="00DD395F" w:rsidRPr="00DB4AEE">
        <w:t>for an e-Tag</w:t>
      </w:r>
      <w:r w:rsidRPr="00DB4AEE">
        <w:t xml:space="preserve"> representing a transfer from Southern Companies’ Balancing Authority Area to the Tennessee Valley Authority, we note that we would expect RTOs, ISOs or MMUs that request access to e-Tag data to request this data for transactions within the Interconnection where the RTO or ISO is located.  In this </w:t>
      </w:r>
      <w:r w:rsidRPr="00DB4AEE">
        <w:lastRenderedPageBreak/>
        <w:t>regard, for example, we would not expect the CAISO MMU to request e-Tag data for transactions taking place in the Eastern Interconnection because that information would likely not be useful</w:t>
      </w:r>
      <w:r w:rsidR="00832A79" w:rsidRPr="00DB4AEE">
        <w:t xml:space="preserve"> for purposes of monitoring the behavior of CAISO market participants or the functioning of the CAISO market</w:t>
      </w:r>
      <w:r w:rsidRPr="00DB4AEE">
        <w:t>.</w:t>
      </w:r>
    </w:p>
    <w:p w14:paraId="5BB1DA59" w14:textId="77777777" w:rsidR="00E16731" w:rsidRPr="00DB4AEE" w:rsidRDefault="00437B0F" w:rsidP="0053181C">
      <w:pPr>
        <w:pStyle w:val="FERCparanumber"/>
      </w:pPr>
      <w:r w:rsidRPr="00DB4AEE">
        <w:t>We</w:t>
      </w:r>
      <w:r w:rsidR="00E3411E" w:rsidRPr="00DB4AEE">
        <w:t xml:space="preserve"> also disagree that Balancing Authorities, such as Southern Companies, </w:t>
      </w:r>
      <w:r w:rsidR="00123F5D" w:rsidRPr="00DB4AEE">
        <w:t>should be abl</w:t>
      </w:r>
      <w:r w:rsidR="00B972FB" w:rsidRPr="00DB4AEE">
        <w:t>e</w:t>
      </w:r>
      <w:r w:rsidR="00123F5D" w:rsidRPr="00DB4AEE">
        <w:t xml:space="preserve"> to acquire </w:t>
      </w:r>
      <w:r w:rsidR="00D33C4B" w:rsidRPr="00DB4AEE">
        <w:t xml:space="preserve">greater access to </w:t>
      </w:r>
      <w:r w:rsidR="00123F5D" w:rsidRPr="00DB4AEE">
        <w:t>e-Tag data in the same manner</w:t>
      </w:r>
      <w:r w:rsidR="00E3411E" w:rsidRPr="00DB4AEE">
        <w:t xml:space="preserve"> that Order No. 771 prescribes such information </w:t>
      </w:r>
      <w:r w:rsidR="005B2E7E" w:rsidRPr="00DB4AEE">
        <w:t>may</w:t>
      </w:r>
      <w:r w:rsidR="00E3411E" w:rsidRPr="00DB4AEE">
        <w:t xml:space="preserve"> be </w:t>
      </w:r>
      <w:r w:rsidR="00123F5D" w:rsidRPr="00DB4AEE">
        <w:t>provided to RTOs and ISOs.</w:t>
      </w:r>
      <w:r w:rsidR="00E16731" w:rsidRPr="00DB4AEE">
        <w:rPr>
          <w:rStyle w:val="FootnoteReference"/>
        </w:rPr>
        <w:footnoteReference w:id="130"/>
      </w:r>
      <w:r w:rsidR="00195AA7" w:rsidRPr="00DB4AEE">
        <w:t xml:space="preserve">  As explained above</w:t>
      </w:r>
      <w:r w:rsidR="008A04DC" w:rsidRPr="00DB4AEE">
        <w:t>,</w:t>
      </w:r>
      <w:r w:rsidR="00B029BA" w:rsidRPr="00DB4AEE">
        <w:t xml:space="preserve"> enabling </w:t>
      </w:r>
      <w:r w:rsidR="00827CB9" w:rsidRPr="00DB4AEE">
        <w:t>RTOs</w:t>
      </w:r>
      <w:r w:rsidR="005B2E7E" w:rsidRPr="00DB4AEE">
        <w:t>, ISOs and MMUs</w:t>
      </w:r>
      <w:r w:rsidR="00B029BA" w:rsidRPr="00DB4AEE">
        <w:t xml:space="preserve"> to gain</w:t>
      </w:r>
      <w:r w:rsidR="00747A60" w:rsidRPr="00DB4AEE">
        <w:t xml:space="preserve"> greater </w:t>
      </w:r>
      <w:r w:rsidR="00B029BA" w:rsidRPr="00DB4AEE">
        <w:t>access to e-Tags for transactions that are scheduled outside of their footprints will assist them in identifying and referring potentially manipulative behavior, assist the Commission in its market surveillance activities, and allow them to more efficiently operate their systems and markets.</w:t>
      </w:r>
      <w:r w:rsidR="005B2E7E" w:rsidRPr="0053181C">
        <w:t xml:space="preserve">  Unlike RTOs and ISOs, Balancing Authorities are not responsible </w:t>
      </w:r>
      <w:r w:rsidR="006D7F74" w:rsidRPr="0053181C">
        <w:t xml:space="preserve">for detecting and preventing </w:t>
      </w:r>
      <w:r w:rsidR="005B2E7E" w:rsidRPr="0053181C">
        <w:t>potentially manipulative behavior</w:t>
      </w:r>
      <w:r w:rsidR="006D7F74" w:rsidRPr="0053181C">
        <w:t xml:space="preserve"> so as</w:t>
      </w:r>
      <w:r w:rsidR="005B2E7E" w:rsidRPr="0053181C">
        <w:t xml:space="preserve"> </w:t>
      </w:r>
      <w:r w:rsidR="002B0BD7" w:rsidRPr="0053181C">
        <w:t xml:space="preserve">to ensure the proper </w:t>
      </w:r>
      <w:r w:rsidR="005B2E7E" w:rsidRPr="0053181C">
        <w:t xml:space="preserve">functioning of </w:t>
      </w:r>
      <w:r w:rsidR="006D7F74" w:rsidRPr="0053181C">
        <w:t xml:space="preserve">their </w:t>
      </w:r>
      <w:r w:rsidR="005B2E7E" w:rsidRPr="0053181C">
        <w:t xml:space="preserve">markets.  Therefore, we do not see a need to allow greater access to e-Tag data for Balancing Authorities </w:t>
      </w:r>
      <w:r w:rsidR="00BA5D37" w:rsidRPr="0053181C">
        <w:t>apart from the access they already have</w:t>
      </w:r>
      <w:r w:rsidR="005B2E7E" w:rsidRPr="0053181C">
        <w:t>.</w:t>
      </w:r>
    </w:p>
    <w:p w14:paraId="5BB1DA5A" w14:textId="77777777" w:rsidR="00404023" w:rsidRPr="0053181C" w:rsidRDefault="002F1D39" w:rsidP="0053181C">
      <w:pPr>
        <w:pStyle w:val="FERCparanumber"/>
      </w:pPr>
      <w:r w:rsidRPr="00DB4AEE">
        <w:t>In regard to</w:t>
      </w:r>
      <w:r w:rsidR="00295284" w:rsidRPr="00DB4AEE">
        <w:t xml:space="preserve"> OATI</w:t>
      </w:r>
      <w:r w:rsidR="001455A9" w:rsidRPr="00DB4AEE">
        <w:t>’s</w:t>
      </w:r>
      <w:r w:rsidR="00295284" w:rsidRPr="00DB4AEE">
        <w:t xml:space="preserve"> request for clarification </w:t>
      </w:r>
      <w:r w:rsidR="00CF73B7">
        <w:t>as to</w:t>
      </w:r>
      <w:r w:rsidR="00CF73B7" w:rsidRPr="00DB4AEE">
        <w:t xml:space="preserve"> </w:t>
      </w:r>
      <w:r w:rsidR="00295284" w:rsidRPr="00DB4AEE">
        <w:t xml:space="preserve">whether the requesting RTO, ISO or MMU </w:t>
      </w:r>
      <w:r w:rsidR="00B179DF" w:rsidRPr="00DB4AEE">
        <w:t xml:space="preserve">must </w:t>
      </w:r>
      <w:r w:rsidR="00295284" w:rsidRPr="00DB4AEE">
        <w:t xml:space="preserve">direct the request for e-Tag data to both the applicable e-Tag Author and the sink Balancing Authority, or if such a request can be made to either the applicable e-Tag Author or the sink Balancing Authority, we clarify that the RTO, ISO or </w:t>
      </w:r>
      <w:r w:rsidR="00295284" w:rsidRPr="00DB4AEE">
        <w:lastRenderedPageBreak/>
        <w:t xml:space="preserve">MMU </w:t>
      </w:r>
      <w:r w:rsidR="00560548" w:rsidRPr="00DB4AEE">
        <w:t>may</w:t>
      </w:r>
      <w:r w:rsidR="00295284" w:rsidRPr="00DB4AEE">
        <w:t xml:space="preserve"> re</w:t>
      </w:r>
      <w:r w:rsidR="00560548" w:rsidRPr="00DB4AEE">
        <w:t>quest the relevant information directly f</w:t>
      </w:r>
      <w:r w:rsidR="00295284" w:rsidRPr="00DB4AEE">
        <w:t>rom the</w:t>
      </w:r>
      <w:r w:rsidR="00B179DF" w:rsidRPr="00DB4AEE">
        <w:t xml:space="preserve"> e-Tag Author or the sink Balancing Authority</w:t>
      </w:r>
      <w:r w:rsidR="00560548" w:rsidRPr="00DB4AEE">
        <w:t xml:space="preserve"> </w:t>
      </w:r>
      <w:r w:rsidR="00601FCB" w:rsidRPr="00DB4AEE">
        <w:t xml:space="preserve">or </w:t>
      </w:r>
      <w:r w:rsidR="00E16731" w:rsidRPr="0053181C">
        <w:t xml:space="preserve">through </w:t>
      </w:r>
      <w:r w:rsidR="00B179DF" w:rsidRPr="00DB4AEE">
        <w:t>a company</w:t>
      </w:r>
      <w:r w:rsidR="00A84052" w:rsidRPr="00DB4AEE">
        <w:t>, such as OATI,</w:t>
      </w:r>
      <w:r w:rsidR="00B179DF" w:rsidRPr="00DB4AEE">
        <w:t xml:space="preserve"> t</w:t>
      </w:r>
      <w:r w:rsidR="005206DB" w:rsidRPr="00DB4AEE">
        <w:t>hat provides agent services to the</w:t>
      </w:r>
      <w:r w:rsidR="003B1E62" w:rsidRPr="00DB4AEE">
        <w:t xml:space="preserve"> E</w:t>
      </w:r>
      <w:r w:rsidR="00B179DF" w:rsidRPr="00DB4AEE">
        <w:t xml:space="preserve">-Tag Authors or </w:t>
      </w:r>
      <w:r w:rsidR="005206DB" w:rsidRPr="00DB4AEE">
        <w:t xml:space="preserve">authority services to the </w:t>
      </w:r>
      <w:r w:rsidR="00B179DF" w:rsidRPr="00DB4AEE">
        <w:t>Balancing Authorities</w:t>
      </w:r>
      <w:r w:rsidR="00F10144" w:rsidRPr="00DB4AEE">
        <w:t>.</w:t>
      </w:r>
      <w:r w:rsidR="00601FCB" w:rsidRPr="00DB4AEE">
        <w:rPr>
          <w:rStyle w:val="FootnoteReference"/>
        </w:rPr>
        <w:footnoteReference w:id="131"/>
      </w:r>
    </w:p>
    <w:p w14:paraId="5BB1DA5B" w14:textId="77777777" w:rsidR="007047E5" w:rsidRPr="00DB4AEE" w:rsidRDefault="00393EE6" w:rsidP="007C14E6">
      <w:pPr>
        <w:pStyle w:val="Heading2"/>
      </w:pPr>
      <w:r w:rsidRPr="00DB4AEE">
        <w:t>Clarification of</w:t>
      </w:r>
      <w:r w:rsidR="004E66BA" w:rsidRPr="00DB4AEE">
        <w:t xml:space="preserve"> E-Tag</w:t>
      </w:r>
      <w:r w:rsidR="00C1192E" w:rsidRPr="00DB4AEE">
        <w:t xml:space="preserve"> Acces</w:t>
      </w:r>
      <w:r w:rsidR="007047E5" w:rsidRPr="00DB4AEE">
        <w:t>s</w:t>
      </w:r>
      <w:bookmarkStart w:id="24" w:name="_bmk16"/>
    </w:p>
    <w:bookmarkEnd w:id="24"/>
    <w:p w14:paraId="5BB1DA5C" w14:textId="77777777" w:rsidR="009001F7" w:rsidRPr="00DB4AEE" w:rsidRDefault="004B56B7" w:rsidP="007C14E6">
      <w:pPr>
        <w:pStyle w:val="Heading3"/>
      </w:pPr>
      <w:r w:rsidRPr="00DB4AEE">
        <w:t>Request for Rehearing or Clarification</w:t>
      </w:r>
      <w:bookmarkStart w:id="25" w:name="_bmk17"/>
    </w:p>
    <w:bookmarkEnd w:id="25"/>
    <w:p w14:paraId="5BB1DA5D" w14:textId="77777777" w:rsidR="004B56B7" w:rsidRPr="00DB4AEE" w:rsidRDefault="004E66BA" w:rsidP="00DB4AEE">
      <w:pPr>
        <w:pStyle w:val="FERCparanumber"/>
      </w:pPr>
      <w:r w:rsidRPr="00DB4AEE">
        <w:t xml:space="preserve">OATI seeks clarification that the Final Rule’s reference to “complete e-Tags” </w:t>
      </w:r>
      <w:r w:rsidR="009D28F0">
        <w:br/>
      </w:r>
      <w:r w:rsidRPr="00DB4AEE">
        <w:t>at P 52 has the same meaning as the definition of “complete e-Tags” in footnote 2 of the Final Rule.</w:t>
      </w:r>
      <w:r w:rsidRPr="00DB4AEE">
        <w:rPr>
          <w:rStyle w:val="FootnoteReference"/>
        </w:rPr>
        <w:footnoteReference w:id="132"/>
      </w:r>
      <w:r w:rsidRPr="00DB4AEE">
        <w:t xml:space="preserve">  OATI also asks for clarification that this includes only those e-Tags which include the Commission as a </w:t>
      </w:r>
      <w:proofErr w:type="spellStart"/>
      <w:r w:rsidRPr="00DB4AEE">
        <w:t>CC’d</w:t>
      </w:r>
      <w:proofErr w:type="spellEnd"/>
      <w:r w:rsidRPr="00DB4AEE">
        <w:t xml:space="preserve"> entity.</w:t>
      </w:r>
    </w:p>
    <w:p w14:paraId="5BB1DA5E" w14:textId="77777777" w:rsidR="004B56B7" w:rsidRPr="00DB4AEE" w:rsidRDefault="004B56B7" w:rsidP="007C14E6">
      <w:pPr>
        <w:pStyle w:val="Heading3"/>
      </w:pPr>
      <w:r w:rsidRPr="00DB4AEE">
        <w:t>Commission Determination</w:t>
      </w:r>
      <w:bookmarkStart w:id="26" w:name="_bmk18"/>
    </w:p>
    <w:bookmarkEnd w:id="26"/>
    <w:p w14:paraId="5BB1DA5F" w14:textId="77777777" w:rsidR="00B439E7" w:rsidRPr="00DB4AEE" w:rsidRDefault="000879A2">
      <w:pPr>
        <w:pStyle w:val="FERCparanumber"/>
      </w:pPr>
      <w:r w:rsidRPr="00DB4AEE">
        <w:t xml:space="preserve">Order No. 771 </w:t>
      </w:r>
      <w:r w:rsidR="001658D3" w:rsidRPr="00DB4AEE">
        <w:t xml:space="preserve">at footnote 2 </w:t>
      </w:r>
      <w:r w:rsidR="004B56B7" w:rsidRPr="00DB4AEE">
        <w:t xml:space="preserve">defined “complete e-Tags” as (1) e-Tags for interchange transactions scheduled to flow into, out of, or within the United States’ portion of the Eastern or Western Interconnection, or into the Electric Reliability Council of Texas and from the United States’ portion of the Eastern or Western Interconnection; and (2) information on every aspect of each such e-Tag, including all applicable e-Tag IDs, transaction types, market segments, physical segments, profile sets, transmission </w:t>
      </w:r>
      <w:r w:rsidR="004B56B7" w:rsidRPr="00DB4AEE">
        <w:lastRenderedPageBreak/>
        <w:t xml:space="preserve">reservations, and energy schedules.  </w:t>
      </w:r>
      <w:r w:rsidRPr="00DB4AEE">
        <w:t xml:space="preserve">Order No. 771 </w:t>
      </w:r>
      <w:r w:rsidR="001658D3" w:rsidRPr="00DB4AEE">
        <w:t xml:space="preserve">at paragraph 52 </w:t>
      </w:r>
      <w:r w:rsidRPr="00DB4AEE">
        <w:t xml:space="preserve">required e-Tag Authors and Balancing Authorities to make available to an RTO, ISO or MMU access to </w:t>
      </w:r>
      <w:r w:rsidR="001B2A6C" w:rsidRPr="00DB4AEE">
        <w:t>“</w:t>
      </w:r>
      <w:r w:rsidRPr="00DB4AEE">
        <w:t>complete e-Tags,</w:t>
      </w:r>
      <w:r w:rsidR="001B2A6C" w:rsidRPr="00DB4AEE">
        <w:t>”</w:t>
      </w:r>
      <w:r w:rsidR="00B84D3B" w:rsidRPr="00DB4AEE">
        <w:t xml:space="preserve"> upon request to the e</w:t>
      </w:r>
      <w:r w:rsidRPr="00DB4AEE">
        <w:t>-Tag Author and Balancing Authority.  In response to OATI’s request</w:t>
      </w:r>
      <w:r w:rsidR="001B2A6C" w:rsidRPr="00DB4AEE">
        <w:t xml:space="preserve"> that we clarify whether </w:t>
      </w:r>
      <w:r w:rsidR="00611173" w:rsidRPr="00DB4AEE">
        <w:t xml:space="preserve">the </w:t>
      </w:r>
      <w:r w:rsidR="001B2A6C" w:rsidRPr="00DB4AEE">
        <w:t xml:space="preserve">“complete e-Tags” referenced in Paragraph 52 of Order No. 771 refer to the definition provided in footnote 2, </w:t>
      </w:r>
      <w:r w:rsidRPr="00DB4AEE">
        <w:t xml:space="preserve">we clarify that the reference to “complete e-Tags” at Paragraph 52 has the same meaning as the definition of “complete e-Tags” in footnote 2.  </w:t>
      </w:r>
      <w:r w:rsidR="008D5A06" w:rsidRPr="00DB4AEE">
        <w:t>As noted above, howeve</w:t>
      </w:r>
      <w:r w:rsidR="00F06D71" w:rsidRPr="00DB4AEE">
        <w:t>r</w:t>
      </w:r>
      <w:r w:rsidR="007941AE" w:rsidRPr="0053181C">
        <w:t xml:space="preserve">, </w:t>
      </w:r>
      <w:r w:rsidR="00F06D71" w:rsidRPr="00DB4AEE">
        <w:t>we would expec</w:t>
      </w:r>
      <w:r w:rsidR="00F06D71" w:rsidRPr="0053181C">
        <w:t xml:space="preserve">t RTOs, ISOs and MMUs </w:t>
      </w:r>
      <w:r w:rsidR="007C4232" w:rsidRPr="0053181C">
        <w:t xml:space="preserve">that request access to </w:t>
      </w:r>
      <w:r w:rsidR="00147646" w:rsidRPr="00DB4AEE">
        <w:t>e-Tags under Order No. 771</w:t>
      </w:r>
      <w:r w:rsidR="00E36DB7" w:rsidRPr="00DB4AEE">
        <w:t xml:space="preserve"> </w:t>
      </w:r>
      <w:r w:rsidR="007C4232" w:rsidRPr="0053181C">
        <w:t>to request them for</w:t>
      </w:r>
      <w:r w:rsidR="00F06D71" w:rsidRPr="0053181C">
        <w:t xml:space="preserve"> </w:t>
      </w:r>
      <w:r w:rsidR="00747FA0" w:rsidRPr="0053181C">
        <w:t xml:space="preserve">transactions </w:t>
      </w:r>
      <w:r w:rsidR="00611173" w:rsidRPr="00DB4AEE">
        <w:t>for the interconnection within which they are located</w:t>
      </w:r>
      <w:r w:rsidR="00F06D71" w:rsidRPr="0053181C">
        <w:t xml:space="preserve">.  For example, we would expect an RTO, ISO or MMU located in the </w:t>
      </w:r>
      <w:r w:rsidR="00F503EF" w:rsidRPr="00DB4AEE">
        <w:t>Western</w:t>
      </w:r>
      <w:r w:rsidR="00F06D71" w:rsidRPr="0053181C">
        <w:t xml:space="preserve"> Interconnection to request acce</w:t>
      </w:r>
      <w:r w:rsidR="00745D23" w:rsidRPr="0053181C">
        <w:t xml:space="preserve">ss to e-Tags only for transactions </w:t>
      </w:r>
      <w:r w:rsidR="00F212F2" w:rsidRPr="0053181C">
        <w:t xml:space="preserve">scheduled in </w:t>
      </w:r>
      <w:r w:rsidR="00745D23" w:rsidRPr="0053181C">
        <w:t xml:space="preserve">the </w:t>
      </w:r>
      <w:r w:rsidR="00F503EF" w:rsidRPr="00DB4AEE">
        <w:t xml:space="preserve">Western </w:t>
      </w:r>
      <w:r w:rsidR="00745D23" w:rsidRPr="0053181C">
        <w:t>Interconnection</w:t>
      </w:r>
      <w:r w:rsidR="00F212F2" w:rsidRPr="0053181C">
        <w:t xml:space="preserve"> rather than requesting access to e-Tags for transactions scheduled in</w:t>
      </w:r>
      <w:r w:rsidR="00281D22" w:rsidRPr="00DB4AEE">
        <w:t xml:space="preserve"> both the Western and Eastern Interconnections</w:t>
      </w:r>
      <w:r w:rsidR="00F06D71" w:rsidRPr="0053181C">
        <w:t>.</w:t>
      </w:r>
    </w:p>
    <w:p w14:paraId="5BB1DA60" w14:textId="77777777" w:rsidR="004E66BA" w:rsidRPr="00DB4AEE" w:rsidRDefault="00B439E7" w:rsidP="00DB4AEE">
      <w:pPr>
        <w:pStyle w:val="FERCparanumber"/>
      </w:pPr>
      <w:r w:rsidRPr="00DB4AEE">
        <w:t>With regard to OATI</w:t>
      </w:r>
      <w:r w:rsidR="007C4232" w:rsidRPr="00DB4AEE">
        <w:t>’s</w:t>
      </w:r>
      <w:r w:rsidRPr="00DB4AEE">
        <w:t xml:space="preserve"> request for clarification that the e-Tags </w:t>
      </w:r>
      <w:r w:rsidR="004F60FC" w:rsidRPr="00DB4AEE">
        <w:t>referenced in Order No. 771</w:t>
      </w:r>
      <w:r w:rsidRPr="00DB4AEE">
        <w:t xml:space="preserve"> only include those e-Tags which include the Commission as a </w:t>
      </w:r>
      <w:proofErr w:type="spellStart"/>
      <w:r w:rsidRPr="00DB4AEE">
        <w:t>CC’d</w:t>
      </w:r>
      <w:proofErr w:type="spellEnd"/>
      <w:r w:rsidRPr="00DB4AEE">
        <w:t xml:space="preserve"> entity, we note that Order No. 771-A determined that </w:t>
      </w:r>
      <w:r w:rsidR="004F60FC" w:rsidRPr="00DB4AEE">
        <w:t xml:space="preserve">validation of e-Tags means that the </w:t>
      </w:r>
      <w:r w:rsidRPr="00DB4AEE">
        <w:t>Sink Balancing Authority, through its Authority Service, must reject any e-Tags that do not correctly include the Commission in the CC field for any e-Tags created on or after March 15, 2013</w:t>
      </w:r>
      <w:r w:rsidR="004F60FC" w:rsidRPr="00DB4AEE">
        <w:t>.</w:t>
      </w:r>
      <w:r w:rsidRPr="00DB4AEE">
        <w:rPr>
          <w:rStyle w:val="FootnoteReference"/>
        </w:rPr>
        <w:footnoteReference w:id="133"/>
      </w:r>
    </w:p>
    <w:p w14:paraId="5BB1DA61" w14:textId="77777777" w:rsidR="000065C3" w:rsidRPr="00DB4AEE" w:rsidRDefault="000065C3" w:rsidP="00942FBE">
      <w:pPr>
        <w:outlineLvl w:val="0"/>
      </w:pPr>
      <w:bookmarkStart w:id="27" w:name="_Toc358812829"/>
      <w:r w:rsidRPr="00DB4AEE">
        <w:rPr>
          <w:u w:val="single"/>
        </w:rPr>
        <w:lastRenderedPageBreak/>
        <w:t>The Commission orders</w:t>
      </w:r>
      <w:r w:rsidRPr="00DB4AEE">
        <w:t>:</w:t>
      </w:r>
      <w:bookmarkEnd w:id="27"/>
    </w:p>
    <w:p w14:paraId="5BB1DA62" w14:textId="77777777" w:rsidR="000065C3" w:rsidRDefault="000065C3" w:rsidP="00942FBE"/>
    <w:p w14:paraId="5BB1DA63" w14:textId="77777777" w:rsidR="000C05F8" w:rsidRDefault="0029394F" w:rsidP="00E10428">
      <w:pPr>
        <w:spacing w:line="480" w:lineRule="auto"/>
      </w:pPr>
      <w:r>
        <w:tab/>
      </w:r>
      <w:r w:rsidR="001E2423" w:rsidRPr="00975E80">
        <w:t xml:space="preserve">The Commission hereby </w:t>
      </w:r>
      <w:r w:rsidR="00321E66" w:rsidRPr="00975E80">
        <w:t>den</w:t>
      </w:r>
      <w:r w:rsidR="001E2423" w:rsidRPr="00975E80">
        <w:t>ies</w:t>
      </w:r>
      <w:r w:rsidR="00321E66" w:rsidRPr="00975E80">
        <w:t xml:space="preserve"> rehearing </w:t>
      </w:r>
      <w:r w:rsidR="00246754">
        <w:t xml:space="preserve">and </w:t>
      </w:r>
      <w:r w:rsidR="007F4EC5">
        <w:t xml:space="preserve">clarifies </w:t>
      </w:r>
      <w:r w:rsidR="00D13EFB">
        <w:t>certain issues</w:t>
      </w:r>
      <w:r w:rsidR="00397892">
        <w:t>,</w:t>
      </w:r>
      <w:r w:rsidR="00246754">
        <w:t xml:space="preserve"> </w:t>
      </w:r>
      <w:r w:rsidR="000C05F8" w:rsidRPr="00975E80">
        <w:t>as discussed in the body of the order.</w:t>
      </w:r>
    </w:p>
    <w:p w14:paraId="5BB1DA64" w14:textId="77777777" w:rsidR="000065C3" w:rsidRDefault="000065C3" w:rsidP="00EB4759">
      <w:pPr>
        <w:spacing w:after="240"/>
      </w:pPr>
      <w:proofErr w:type="gramStart"/>
      <w:r>
        <w:t>By the Commission.</w:t>
      </w:r>
      <w:proofErr w:type="gramEnd"/>
    </w:p>
    <w:p w14:paraId="5BB1DA65" w14:textId="77777777" w:rsidR="009D28F0" w:rsidRDefault="009D28F0" w:rsidP="009D28F0">
      <w:pPr>
        <w:widowControl/>
      </w:pPr>
      <w:proofErr w:type="gramStart"/>
      <w:r w:rsidRPr="009D28F0">
        <w:t>( S</w:t>
      </w:r>
      <w:proofErr w:type="gramEnd"/>
      <w:r w:rsidRPr="009D28F0">
        <w:t xml:space="preserve"> E A L )</w:t>
      </w:r>
    </w:p>
    <w:p w14:paraId="5BB1DA66" w14:textId="77777777" w:rsidR="009D28F0" w:rsidRDefault="009D28F0" w:rsidP="009D28F0">
      <w:pPr>
        <w:widowControl/>
      </w:pPr>
    </w:p>
    <w:p w14:paraId="5BB1DA67" w14:textId="77777777" w:rsidR="009D28F0" w:rsidRDefault="009D28F0" w:rsidP="009D28F0">
      <w:pPr>
        <w:widowControl/>
      </w:pPr>
    </w:p>
    <w:p w14:paraId="5BB1DA68" w14:textId="77777777" w:rsidR="009D28F0" w:rsidRDefault="009D28F0" w:rsidP="009D28F0">
      <w:pPr>
        <w:widowControl/>
      </w:pPr>
    </w:p>
    <w:p w14:paraId="5BB1DA69" w14:textId="77777777" w:rsidR="009D28F0" w:rsidRPr="009D28F0" w:rsidRDefault="009D28F0" w:rsidP="009D28F0">
      <w:pPr>
        <w:widowControl/>
        <w:ind w:firstLine="2606"/>
        <w:jc w:val="center"/>
      </w:pPr>
      <w:r w:rsidRPr="009D28F0">
        <w:t>Nathaniel J. Davis, Sr.,</w:t>
      </w:r>
    </w:p>
    <w:p w14:paraId="5BB1DA6A" w14:textId="77777777" w:rsidR="009D28F0" w:rsidRPr="009D28F0" w:rsidRDefault="009D28F0" w:rsidP="009D28F0">
      <w:pPr>
        <w:widowControl/>
        <w:ind w:firstLine="2606"/>
        <w:jc w:val="center"/>
      </w:pPr>
      <w:r w:rsidRPr="009D28F0">
        <w:t>Deputy Secretary.</w:t>
      </w:r>
    </w:p>
    <w:p w14:paraId="5BB1DA6B" w14:textId="77777777" w:rsidR="009D28F0" w:rsidRDefault="009D28F0" w:rsidP="009D28F0">
      <w:pPr>
        <w:widowControl/>
      </w:pPr>
    </w:p>
    <w:sectPr w:rsidR="009D28F0" w:rsidSect="00B52C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25D39" w14:textId="77777777" w:rsidR="00507D69" w:rsidRDefault="00507D69">
      <w:r>
        <w:separator/>
      </w:r>
    </w:p>
  </w:endnote>
  <w:endnote w:type="continuationSeparator" w:id="0">
    <w:p w14:paraId="18E8C611" w14:textId="77777777" w:rsidR="00507D69" w:rsidRDefault="005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6" w14:textId="77777777" w:rsidR="000B7294" w:rsidRDefault="000B7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7" w14:textId="77777777" w:rsidR="000B7294" w:rsidRDefault="000B7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9" w14:textId="77777777" w:rsidR="000B7294" w:rsidRDefault="000B7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45BEB" w14:textId="77777777" w:rsidR="00507D69" w:rsidRDefault="00507D69">
      <w:r>
        <w:separator/>
      </w:r>
    </w:p>
  </w:footnote>
  <w:footnote w:type="continuationSeparator" w:id="0">
    <w:p w14:paraId="1CA6C68F" w14:textId="77777777" w:rsidR="00507D69" w:rsidRDefault="00507D69">
      <w:r>
        <w:continuationSeparator/>
      </w:r>
    </w:p>
  </w:footnote>
  <w:footnote w:type="continuationNotice" w:id="1">
    <w:p w14:paraId="63BEB548" w14:textId="77777777" w:rsidR="00507D69" w:rsidRDefault="00507D69" w:rsidP="00823C78">
      <w:pPr>
        <w:pStyle w:val="Footer"/>
        <w:rPr>
          <w:i/>
        </w:rPr>
      </w:pPr>
    </w:p>
    <w:p w14:paraId="263D6F30" w14:textId="77777777" w:rsidR="00507D69" w:rsidRPr="00E872B9" w:rsidRDefault="00507D69" w:rsidP="00E872B9">
      <w:pPr>
        <w:pStyle w:val="Footer"/>
        <w:jc w:val="right"/>
      </w:pPr>
      <w:r>
        <w:t>(</w:t>
      </w:r>
      <w:proofErr w:type="gramStart"/>
      <w:r>
        <w:t>continued</w:t>
      </w:r>
      <w:proofErr w:type="gramEnd"/>
      <w:r w:rsidRPr="00E872B9">
        <w:t>...)</w:t>
      </w:r>
    </w:p>
  </w:footnote>
  <w:footnote w:id="2">
    <w:p w14:paraId="5BB1DA7A" w14:textId="77777777" w:rsidR="006533AA" w:rsidRDefault="006533AA">
      <w:pPr>
        <w:pStyle w:val="FootnoteText"/>
      </w:pPr>
      <w:r>
        <w:rPr>
          <w:rStyle w:val="FootnoteReference"/>
        </w:rPr>
        <w:footnoteRef/>
      </w:r>
      <w:r>
        <w:t xml:space="preserve"> </w:t>
      </w:r>
      <w:proofErr w:type="gramStart"/>
      <w:r>
        <w:rPr>
          <w:i/>
        </w:rPr>
        <w:t>Availability of E-Tag Information to Commission Staff</w:t>
      </w:r>
      <w:r w:rsidRPr="00C7685B">
        <w:t>,</w:t>
      </w:r>
      <w:r>
        <w:t xml:space="preserve"> 77 FR 76367 (Dec. 28, 2012), FERC Stats.</w:t>
      </w:r>
      <w:proofErr w:type="gramEnd"/>
      <w:r>
        <w:t xml:space="preserve"> </w:t>
      </w:r>
      <w:proofErr w:type="gramStart"/>
      <w:r>
        <w:t xml:space="preserve">&amp; </w:t>
      </w:r>
      <w:proofErr w:type="spellStart"/>
      <w:r>
        <w:t>Regs</w:t>
      </w:r>
      <w:proofErr w:type="spellEnd"/>
      <w:r>
        <w:t>.</w:t>
      </w:r>
      <w:proofErr w:type="gramEnd"/>
      <w:r>
        <w:t xml:space="preserve"> ¶ 31,339 (2012) (Order No. 771).</w:t>
      </w:r>
    </w:p>
  </w:footnote>
  <w:footnote w:id="3">
    <w:p w14:paraId="5BB1DA7B" w14:textId="77777777" w:rsidR="00B35883" w:rsidRDefault="00B35883">
      <w:pPr>
        <w:pStyle w:val="FootnoteText"/>
      </w:pPr>
      <w:r>
        <w:rPr>
          <w:rStyle w:val="FootnoteReference"/>
        </w:rPr>
        <w:footnoteRef/>
      </w:r>
      <w:r>
        <w:t xml:space="preserve"> The Commission rejected PJM/SPP’s answer</w:t>
      </w:r>
      <w:r w:rsidR="00640A52">
        <w:t xml:space="preserve"> in Order No. 771-A</w:t>
      </w:r>
      <w:r>
        <w:t xml:space="preserve">.  </w:t>
      </w:r>
      <w:r w:rsidRPr="00C82DC2">
        <w:rPr>
          <w:i/>
        </w:rPr>
        <w:t xml:space="preserve">See </w:t>
      </w:r>
      <w:r w:rsidRPr="007C14E6">
        <w:rPr>
          <w:i/>
        </w:rPr>
        <w:t>Availability of E-Tag Information to Commission Staff</w:t>
      </w:r>
      <w:r>
        <w:t>, 142 FERC ¶ 61,181 at P 7 (2013) (Order No. 771-A).</w:t>
      </w:r>
    </w:p>
  </w:footnote>
  <w:footnote w:id="4">
    <w:p w14:paraId="5BB1DA7C" w14:textId="77777777" w:rsidR="0053181C" w:rsidRDefault="0053181C" w:rsidP="00EB4759">
      <w:pPr>
        <w:pStyle w:val="FootnoteText"/>
      </w:pPr>
      <w:r w:rsidRPr="00DB4AEE">
        <w:rPr>
          <w:rStyle w:val="FootnoteReference"/>
        </w:rPr>
        <w:footnoteRef/>
      </w:r>
      <w:r w:rsidR="00B70FD4">
        <w:t xml:space="preserve"> </w:t>
      </w:r>
      <w:r w:rsidRPr="005C79D7">
        <w:t>We note that, in a notice issued on Feb</w:t>
      </w:r>
      <w:r w:rsidR="00233436">
        <w:t>ruary</w:t>
      </w:r>
      <w:r w:rsidRPr="005C79D7">
        <w:t xml:space="preserve"> 1, 2013, the Commission granted a limited time extension to Balancing Authorities related to their validation responsibilities under Order No. 771 until Order No. 771-A was issued</w:t>
      </w:r>
      <w:r>
        <w:t>.</w:t>
      </w:r>
    </w:p>
  </w:footnote>
  <w:footnote w:id="5">
    <w:p w14:paraId="5BB1DA7D" w14:textId="77777777" w:rsidR="0053181C" w:rsidRPr="00823C78" w:rsidRDefault="0053181C" w:rsidP="008107C8">
      <w:pPr>
        <w:pStyle w:val="FootnoteText"/>
      </w:pPr>
      <w:r w:rsidRPr="00DB4AEE">
        <w:rPr>
          <w:rStyle w:val="FootnoteReference"/>
        </w:rPr>
        <w:footnoteRef/>
      </w:r>
      <w:r w:rsidRPr="00823C78">
        <w:t xml:space="preserve"> </w:t>
      </w:r>
      <w:proofErr w:type="gramStart"/>
      <w:r w:rsidR="008621C3">
        <w:t xml:space="preserve">16 U.S.C. </w:t>
      </w:r>
      <w:r w:rsidR="00772C49">
        <w:t>§ </w:t>
      </w:r>
      <w:r w:rsidR="008621C3">
        <w:t>824(f) (2012).</w:t>
      </w:r>
      <w:proofErr w:type="gramEnd"/>
      <w:r w:rsidR="008621C3">
        <w:t xml:space="preserve">  </w:t>
      </w:r>
      <w:r w:rsidRPr="00823C78">
        <w:t>FPA section 201(f) provides:</w:t>
      </w:r>
    </w:p>
    <w:p w14:paraId="5BB1DA7E" w14:textId="77777777" w:rsidR="0053181C" w:rsidRDefault="0053181C" w:rsidP="00B903B7">
      <w:pPr>
        <w:widowControl/>
        <w:spacing w:after="240"/>
        <w:ind w:left="720" w:right="720"/>
      </w:pPr>
      <w:r>
        <w:rPr>
          <w:rFonts w:ascii="TimesNewRomanPSMT" w:hAnsi="TimesNewRomanPSMT" w:cs="TimesNewRomanPSMT"/>
          <w:szCs w:val="26"/>
        </w:rPr>
        <w:t xml:space="preserve">No provision in this Part shall apply to, or be deemed to include, the </w:t>
      </w:r>
      <w:r w:rsidR="00E872B9">
        <w:rPr>
          <w:rFonts w:ascii="TimesNewRomanPSMT" w:hAnsi="TimesNewRomanPSMT" w:cs="TimesNewRomanPSMT"/>
          <w:szCs w:val="26"/>
        </w:rPr>
        <w:br/>
      </w:r>
      <w:r>
        <w:rPr>
          <w:rFonts w:ascii="TimesNewRomanPSMT" w:hAnsi="TimesNewRomanPSMT" w:cs="TimesNewRomanPSMT"/>
          <w:szCs w:val="26"/>
        </w:rPr>
        <w:t xml:space="preserve">United States, a State or any political subdivision of a State, an electric cooperative that receives financing under the Rural Electrification Act </w:t>
      </w:r>
      <w:r w:rsidR="00E872B9">
        <w:rPr>
          <w:rFonts w:ascii="TimesNewRomanPSMT" w:hAnsi="TimesNewRomanPSMT" w:cs="TimesNewRomanPSMT"/>
          <w:szCs w:val="26"/>
        </w:rPr>
        <w:br/>
      </w:r>
      <w:r>
        <w:rPr>
          <w:rFonts w:ascii="TimesNewRomanPSMT" w:hAnsi="TimesNewRomanPSMT" w:cs="TimesNewRomanPSMT"/>
          <w:szCs w:val="26"/>
        </w:rPr>
        <w:t xml:space="preserve">of 1936 (7 U.S.C. </w:t>
      </w:r>
      <w:r w:rsidR="00772C49">
        <w:rPr>
          <w:szCs w:val="26"/>
        </w:rPr>
        <w:t>§</w:t>
      </w:r>
      <w:r w:rsidR="00772C49">
        <w:rPr>
          <w:rFonts w:ascii="TimesNewRomanPSMT" w:hAnsi="TimesNewRomanPSMT" w:cs="TimesNewRomanPSMT"/>
          <w:szCs w:val="26"/>
        </w:rPr>
        <w:t> </w:t>
      </w:r>
      <w:r>
        <w:rPr>
          <w:rFonts w:ascii="TimesNewRomanPSMT" w:hAnsi="TimesNewRomanPSMT" w:cs="TimesNewRomanPSMT"/>
          <w:szCs w:val="26"/>
        </w:rPr>
        <w:t>901</w:t>
      </w:r>
      <w:r w:rsidR="0044779E">
        <w:rPr>
          <w:rFonts w:ascii="TimesNewRomanPSMT" w:hAnsi="TimesNewRomanPSMT" w:cs="TimesNewRomanPSMT"/>
          <w:szCs w:val="26"/>
        </w:rPr>
        <w:t>,</w:t>
      </w:r>
      <w:r>
        <w:rPr>
          <w:rFonts w:ascii="TimesNewRomanPSMT" w:hAnsi="TimesNewRomanPSMT" w:cs="TimesNewRomanPSMT"/>
          <w:szCs w:val="26"/>
        </w:rPr>
        <w:t xml:space="preserve"> et seq.) or that sells less than 4,000,000 megawatt hours of electricity per year, or any agency, authority, or instrumentality of any one or more of the foregoing, or any corporation which is wholly owned, directly or indirectly, by any one or more of the foregoing, or any officer, agent, employee of any of the foregoing acting as such in the course of his official duty, unless such provision makes specific reference thereto.</w:t>
      </w:r>
    </w:p>
  </w:footnote>
  <w:footnote w:id="6">
    <w:p w14:paraId="5BB1DA7F" w14:textId="77777777" w:rsidR="0053181C" w:rsidRDefault="0053181C" w:rsidP="00FD16F6">
      <w:pPr>
        <w:pStyle w:val="FootnoteText"/>
      </w:pPr>
      <w:r w:rsidRPr="00DB4AEE">
        <w:rPr>
          <w:rStyle w:val="FootnoteReference"/>
        </w:rPr>
        <w:footnoteRef/>
      </w:r>
      <w:r>
        <w:t xml:space="preserve"> The Commission defined “complete e-Tags” for purposes of this rulemaking proceeding as:  (1) e-Tags for interchange transactions scheduled to flow into, out of, or within the United States’ portion of the Eastern or Western Interconnection, or into the Electric Reliability Council of Texas and from the United States’ portion of the Eastern or Western Interconnection, or from the Electric Reliability Council of Texas into the United States’ portion of the Eastern or Western Interconnection; and (2) information on every aspect of each such e-Tag, including all applicable e-Tag IDs, transaction types, market segments, physical segments, profile sets, transmission reservations, and energy schedules. </w:t>
      </w:r>
      <w:r w:rsidRPr="00095DCF">
        <w:rPr>
          <w:i/>
        </w:rPr>
        <w:t xml:space="preserve"> See</w:t>
      </w:r>
      <w:r>
        <w:t xml:space="preserve"> Order No. 771,</w:t>
      </w:r>
      <w:r w:rsidRPr="00814449">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w:t>
      </w:r>
      <w:proofErr w:type="gramStart"/>
      <w:r>
        <w:t>¶</w:t>
      </w:r>
      <w:r w:rsidR="0044779E">
        <w:t> </w:t>
      </w:r>
      <w:r w:rsidRPr="006C343C">
        <w:t xml:space="preserve">31,339 </w:t>
      </w:r>
      <w:r>
        <w:t>at n.2.</w:t>
      </w:r>
      <w:proofErr w:type="gramEnd"/>
    </w:p>
  </w:footnote>
  <w:footnote w:id="7">
    <w:p w14:paraId="5BB1DA80" w14:textId="77777777" w:rsidR="0053181C" w:rsidRDefault="0053181C">
      <w:pPr>
        <w:pStyle w:val="FootnoteText"/>
      </w:pPr>
      <w:r w:rsidRPr="00DB4AEE">
        <w:rPr>
          <w:rStyle w:val="FootnoteReference"/>
        </w:rPr>
        <w:footnoteRef/>
      </w:r>
      <w:r>
        <w:t xml:space="preserve"> Order No. 771,</w:t>
      </w:r>
      <w:r w:rsidRPr="009E6293">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27.</w:t>
      </w:r>
      <w:proofErr w:type="gramEnd"/>
    </w:p>
  </w:footnote>
  <w:footnote w:id="8">
    <w:p w14:paraId="5BB1DA81" w14:textId="77777777" w:rsidR="0053181C" w:rsidRDefault="0053181C" w:rsidP="002C0F39">
      <w:pPr>
        <w:pStyle w:val="FootnoteText"/>
      </w:pPr>
      <w:r w:rsidRPr="00DB4AEE">
        <w:rPr>
          <w:rStyle w:val="FootnoteReference"/>
        </w:rPr>
        <w:footnoteRef/>
      </w:r>
      <w:r>
        <w:t xml:space="preserve"> </w:t>
      </w:r>
      <w:r w:rsidRPr="00F07337">
        <w:rPr>
          <w:i/>
        </w:rPr>
        <w:t>Id</w:t>
      </w:r>
      <w:r>
        <w:rPr>
          <w:i/>
        </w:rPr>
        <w:t>.</w:t>
      </w:r>
      <w:r>
        <w:t xml:space="preserve"> P 1; </w:t>
      </w:r>
      <w:r w:rsidRPr="00E45891">
        <w:rPr>
          <w:i/>
        </w:rPr>
        <w:t>see also</w:t>
      </w:r>
      <w:r>
        <w:t xml:space="preserve"> 18 C</w:t>
      </w:r>
      <w:r w:rsidR="00772C49">
        <w:t>.</w:t>
      </w:r>
      <w:r>
        <w:t>F</w:t>
      </w:r>
      <w:r w:rsidR="00772C49">
        <w:t>.</w:t>
      </w:r>
      <w:r>
        <w:t>R</w:t>
      </w:r>
      <w:r w:rsidR="00772C49">
        <w:t>.</w:t>
      </w:r>
      <w:r w:rsidR="0044779E">
        <w:t> </w:t>
      </w:r>
      <w:r w:rsidR="00772C49">
        <w:t>§ </w:t>
      </w:r>
      <w:r>
        <w:t>366.2(d).</w:t>
      </w:r>
    </w:p>
  </w:footnote>
  <w:footnote w:id="9">
    <w:p w14:paraId="5BB1DA82" w14:textId="77777777" w:rsidR="0053181C" w:rsidRDefault="0053181C" w:rsidP="002C0F39">
      <w:pPr>
        <w:pStyle w:val="FootnoteText"/>
      </w:pPr>
      <w:r w:rsidRPr="00DB4AEE">
        <w:rPr>
          <w:rStyle w:val="FootnoteReference"/>
        </w:rPr>
        <w:footnoteRef/>
      </w:r>
      <w:r>
        <w:t xml:space="preserve"> </w:t>
      </w:r>
      <w:r w:rsidRPr="00F07337">
        <w:rPr>
          <w:i/>
        </w:rPr>
        <w:t>Id</w:t>
      </w:r>
      <w:r>
        <w:rPr>
          <w:i/>
        </w:rPr>
        <w:t xml:space="preserve">. </w:t>
      </w:r>
      <w:r>
        <w:t xml:space="preserve">P 41.  </w:t>
      </w:r>
      <w:r w:rsidRPr="00C840EF">
        <w:t>The validation function was clarified in Order No. 771-A.</w:t>
      </w:r>
    </w:p>
  </w:footnote>
  <w:footnote w:id="10">
    <w:p w14:paraId="5BB1DA83" w14:textId="77777777" w:rsidR="0053181C" w:rsidRDefault="0053181C" w:rsidP="0013158B">
      <w:pPr>
        <w:pStyle w:val="FootnoteText"/>
      </w:pPr>
      <w:r w:rsidRPr="00DB4AEE">
        <w:rPr>
          <w:rStyle w:val="FootnoteReference"/>
        </w:rPr>
        <w:footnoteRef/>
      </w:r>
      <w:r>
        <w:t xml:space="preserve"> </w:t>
      </w:r>
      <w:r w:rsidRPr="0053181C">
        <w:rPr>
          <w:i/>
        </w:rPr>
        <w:t xml:space="preserve">See </w:t>
      </w:r>
      <w:r w:rsidRPr="00787922">
        <w:rPr>
          <w:i/>
        </w:rPr>
        <w:t>PJM Interconnection, L.L.C.</w:t>
      </w:r>
      <w:r>
        <w:t>, 144 FERC ¶</w:t>
      </w:r>
      <w:r w:rsidR="00772C49">
        <w:t> </w:t>
      </w:r>
      <w:r>
        <w:t>61,152 (2013).  This order addresses the remaining requests for rehearing of Order No. 771.</w:t>
      </w:r>
    </w:p>
  </w:footnote>
  <w:footnote w:id="11">
    <w:p w14:paraId="5BB1DA84" w14:textId="77777777" w:rsidR="0053181C" w:rsidRDefault="0053181C">
      <w:pPr>
        <w:pStyle w:val="FootnoteText"/>
      </w:pPr>
      <w:r w:rsidRPr="00DB4AEE">
        <w:rPr>
          <w:rStyle w:val="FootnoteReference"/>
        </w:rPr>
        <w:footnoteRef/>
      </w:r>
      <w:r>
        <w:t xml:space="preserve"> </w:t>
      </w:r>
      <w:r w:rsidRPr="0051336B">
        <w:t xml:space="preserve">MISO’s </w:t>
      </w:r>
      <w:r>
        <w:t xml:space="preserve">tariff </w:t>
      </w:r>
      <w:r w:rsidRPr="0051336B">
        <w:t>filing was approve</w:t>
      </w:r>
      <w:r w:rsidRPr="0053181C">
        <w:t>d by delegated letter order</w:t>
      </w:r>
      <w:r w:rsidRPr="0051336B">
        <w:t xml:space="preserve"> in Docket No. ER13-2327-000 on October 29, 2013</w:t>
      </w:r>
      <w:r>
        <w:t>.</w:t>
      </w:r>
    </w:p>
  </w:footnote>
  <w:footnote w:id="12">
    <w:p w14:paraId="5BB1DA85" w14:textId="77777777" w:rsidR="0053181C" w:rsidRDefault="0053181C">
      <w:pPr>
        <w:pStyle w:val="FootnoteText"/>
      </w:pPr>
      <w:r w:rsidRPr="00DB4AEE">
        <w:rPr>
          <w:rStyle w:val="FootnoteReference"/>
        </w:rPr>
        <w:footnoteRef/>
      </w:r>
      <w:r>
        <w:t xml:space="preserve"> Order No. 771,</w:t>
      </w:r>
      <w:r w:rsidRPr="009E6293">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27.</w:t>
      </w:r>
      <w:proofErr w:type="gramEnd"/>
    </w:p>
  </w:footnote>
  <w:footnote w:id="13">
    <w:p w14:paraId="5BB1DA86" w14:textId="77777777" w:rsidR="0053181C" w:rsidRDefault="0053181C">
      <w:pPr>
        <w:pStyle w:val="FootnoteText"/>
      </w:pPr>
      <w:r w:rsidRPr="00DB4AEE">
        <w:rPr>
          <w:rStyle w:val="FootnoteReference"/>
        </w:rPr>
        <w:footnoteRef/>
      </w:r>
      <w:r>
        <w:t xml:space="preserve"> </w:t>
      </w:r>
      <w:r w:rsidRPr="00A77825">
        <w:rPr>
          <w:i/>
        </w:rPr>
        <w:t>Id</w:t>
      </w:r>
      <w:r>
        <w:t>. P 28.</w:t>
      </w:r>
    </w:p>
  </w:footnote>
  <w:footnote w:id="14">
    <w:p w14:paraId="5BB1DA87" w14:textId="77777777" w:rsidR="0053181C" w:rsidRDefault="0053181C">
      <w:pPr>
        <w:pStyle w:val="FootnoteText"/>
      </w:pPr>
      <w:r w:rsidRPr="00DB4AEE">
        <w:rPr>
          <w:rStyle w:val="FootnoteReference"/>
        </w:rPr>
        <w:footnoteRef/>
      </w:r>
      <w:r>
        <w:t xml:space="preserve"> </w:t>
      </w:r>
      <w:r w:rsidRPr="00A77825">
        <w:rPr>
          <w:i/>
        </w:rPr>
        <w:t>Id</w:t>
      </w:r>
      <w:r w:rsidR="00915212">
        <w:t>. P 28, n.</w:t>
      </w:r>
      <w:r>
        <w:t>72 (</w:t>
      </w:r>
      <w:r w:rsidRPr="00780251">
        <w:t>citing</w:t>
      </w:r>
      <w:r>
        <w:t xml:space="preserve"> </w:t>
      </w:r>
      <w:r w:rsidRPr="005254CB">
        <w:rPr>
          <w:i/>
        </w:rPr>
        <w:t>Gila River Power LLC</w:t>
      </w:r>
      <w:r>
        <w:t xml:space="preserve">, 141 FERC ¶ 61,136 (2012)).  </w:t>
      </w:r>
      <w:r w:rsidRPr="0053181C">
        <w:rPr>
          <w:i/>
        </w:rPr>
        <w:t>See also Constellation Energy Commodities Group, Inc.</w:t>
      </w:r>
      <w:r>
        <w:t>, 145 FERC ¶</w:t>
      </w:r>
      <w:r w:rsidR="0044779E">
        <w:t> </w:t>
      </w:r>
      <w:r>
        <w:t>61,062 (2013</w:t>
      </w:r>
      <w:r w:rsidRPr="005A1451">
        <w:t>)</w:t>
      </w:r>
      <w:r w:rsidR="00707FC2">
        <w:t xml:space="preserve"> </w:t>
      </w:r>
      <w:r w:rsidRPr="005A1451">
        <w:t xml:space="preserve">(where the Commission approved a settlement </w:t>
      </w:r>
      <w:r>
        <w:t xml:space="preserve">agreement </w:t>
      </w:r>
      <w:r w:rsidRPr="005A1451">
        <w:t xml:space="preserve">resolving an admitted violation of </w:t>
      </w:r>
      <w:r>
        <w:t xml:space="preserve">the Commission’s regulation at </w:t>
      </w:r>
      <w:r w:rsidRPr="005A1451">
        <w:t>18 CFR</w:t>
      </w:r>
      <w:r w:rsidR="0044779E">
        <w:t> </w:t>
      </w:r>
      <w:r w:rsidRPr="005A1451">
        <w:t xml:space="preserve">35.41(b) and related </w:t>
      </w:r>
      <w:r w:rsidR="00F32427" w:rsidRPr="00F32427">
        <w:t>California Independent System Operator Corporation (</w:t>
      </w:r>
      <w:r w:rsidRPr="005A1451">
        <w:t>CAISO</w:t>
      </w:r>
      <w:r w:rsidR="00F32427">
        <w:t>)</w:t>
      </w:r>
      <w:r w:rsidRPr="005A1451">
        <w:t xml:space="preserve"> tariff provisions for falsely designating transactions </w:t>
      </w:r>
      <w:r>
        <w:t xml:space="preserve">as “Wheeling Through” transactions </w:t>
      </w:r>
      <w:r w:rsidRPr="005A1451">
        <w:t>to improperly ensure awards of bids at multiple interties).</w:t>
      </w:r>
    </w:p>
  </w:footnote>
  <w:footnote w:id="15">
    <w:p w14:paraId="5BB1DA88" w14:textId="77777777" w:rsidR="0053181C" w:rsidRDefault="0053181C">
      <w:pPr>
        <w:pStyle w:val="FootnoteText"/>
      </w:pPr>
      <w:r w:rsidRPr="00DB4AEE">
        <w:rPr>
          <w:rStyle w:val="FootnoteReference"/>
        </w:rPr>
        <w:footnoteRef/>
      </w:r>
      <w:r>
        <w:t xml:space="preserve"> </w:t>
      </w:r>
      <w:r w:rsidRPr="00F07337">
        <w:rPr>
          <w:i/>
        </w:rPr>
        <w:t>Id</w:t>
      </w:r>
      <w:r>
        <w:rPr>
          <w:i/>
        </w:rPr>
        <w:t>.</w:t>
      </w:r>
      <w:r>
        <w:t xml:space="preserve"> P 29.</w:t>
      </w:r>
    </w:p>
  </w:footnote>
  <w:footnote w:id="16">
    <w:p w14:paraId="5BB1DA89" w14:textId="77777777" w:rsidR="0053181C" w:rsidRDefault="0053181C">
      <w:pPr>
        <w:pStyle w:val="FootnoteText"/>
      </w:pPr>
      <w:r w:rsidRPr="00DB4AEE">
        <w:rPr>
          <w:rStyle w:val="FootnoteReference"/>
        </w:rPr>
        <w:footnoteRef/>
      </w:r>
      <w:r>
        <w:t xml:space="preserve"> </w:t>
      </w:r>
      <w:r w:rsidRPr="00E57CDC">
        <w:rPr>
          <w:i/>
        </w:rPr>
        <w:t>Id</w:t>
      </w:r>
      <w:r>
        <w:t>.</w:t>
      </w:r>
    </w:p>
  </w:footnote>
  <w:footnote w:id="17">
    <w:p w14:paraId="5BB1DA8A" w14:textId="77777777" w:rsidR="0053181C" w:rsidRDefault="0053181C">
      <w:pPr>
        <w:pStyle w:val="FootnoteText"/>
      </w:pPr>
      <w:r w:rsidRPr="00DB4AEE">
        <w:rPr>
          <w:rStyle w:val="FootnoteReference"/>
        </w:rPr>
        <w:footnoteRef/>
      </w:r>
      <w:r>
        <w:t xml:space="preserve"> </w:t>
      </w:r>
      <w:r w:rsidRPr="0053181C">
        <w:rPr>
          <w:i/>
        </w:rPr>
        <w:t>See, e.g.</w:t>
      </w:r>
      <w:r w:rsidRPr="008377DA">
        <w:t xml:space="preserve">, </w:t>
      </w:r>
      <w:r w:rsidRPr="0053181C">
        <w:rPr>
          <w:i/>
        </w:rPr>
        <w:t>San Francisco Bay Area Rapid Transit v. Pacific Gas and Electric Co</w:t>
      </w:r>
      <w:r w:rsidRPr="008377DA">
        <w:t xml:space="preserve">., 151 FERC </w:t>
      </w:r>
      <w:r w:rsidRPr="0053181C">
        <w:t>¶</w:t>
      </w:r>
      <w:r w:rsidR="0044779E">
        <w:t> </w:t>
      </w:r>
      <w:r w:rsidRPr="008377DA">
        <w:t>61,030 (2015) (</w:t>
      </w:r>
      <w:r w:rsidRPr="0053181C">
        <w:t>complaint proceeding involving</w:t>
      </w:r>
      <w:r w:rsidRPr="008377DA">
        <w:t xml:space="preserve"> e-Tags </w:t>
      </w:r>
      <w:r w:rsidRPr="0053181C">
        <w:t>associated with importing</w:t>
      </w:r>
      <w:r w:rsidRPr="008377DA">
        <w:t xml:space="preserve"> power into </w:t>
      </w:r>
      <w:r w:rsidRPr="0053181C">
        <w:t>the CAISO Balancing Authority Area</w:t>
      </w:r>
      <w:r w:rsidRPr="008377DA">
        <w:t>)</w:t>
      </w:r>
      <w:r w:rsidRPr="0053181C">
        <w:t xml:space="preserve">; </w:t>
      </w:r>
      <w:r w:rsidRPr="0053181C">
        <w:rPr>
          <w:i/>
        </w:rPr>
        <w:t>Public Service Co. of New Mexico</w:t>
      </w:r>
      <w:r w:rsidRPr="0053181C">
        <w:t xml:space="preserve">, </w:t>
      </w:r>
      <w:r>
        <w:t>153</w:t>
      </w:r>
      <w:r w:rsidRPr="0053181C">
        <w:t xml:space="preserve"> FERC </w:t>
      </w:r>
      <w:r>
        <w:t>¶</w:t>
      </w:r>
      <w:r w:rsidR="0044779E">
        <w:t> </w:t>
      </w:r>
      <w:r>
        <w:t>61,060</w:t>
      </w:r>
      <w:r w:rsidR="00707FC2">
        <w:t>,</w:t>
      </w:r>
      <w:r>
        <w:t xml:space="preserve"> at P 65</w:t>
      </w:r>
      <w:r w:rsidRPr="0053181C">
        <w:t xml:space="preserve"> (2015) (where the Commission used e-Tag data to </w:t>
      </w:r>
      <w:r>
        <w:t>analyze</w:t>
      </w:r>
      <w:r w:rsidRPr="0053181C">
        <w:t xml:space="preserve"> </w:t>
      </w:r>
      <w:r>
        <w:t xml:space="preserve">certain aspects of </w:t>
      </w:r>
      <w:r w:rsidRPr="0053181C">
        <w:t xml:space="preserve">Public Service Company of New Mexico’s </w:t>
      </w:r>
      <w:r>
        <w:t>application for market-based rate authority</w:t>
      </w:r>
      <w:r w:rsidRPr="0053181C">
        <w:t>.)</w:t>
      </w:r>
    </w:p>
  </w:footnote>
  <w:footnote w:id="18">
    <w:p w14:paraId="5BB1DA8B" w14:textId="77777777" w:rsidR="0053181C" w:rsidRPr="002C0F39" w:rsidRDefault="0053181C" w:rsidP="004650FD">
      <w:pPr>
        <w:pStyle w:val="FootnoteText"/>
      </w:pPr>
      <w:r w:rsidRPr="00DB4AEE">
        <w:rPr>
          <w:rStyle w:val="FootnoteReference"/>
        </w:rPr>
        <w:footnoteRef/>
      </w:r>
      <w:r>
        <w:t xml:space="preserve"> </w:t>
      </w:r>
      <w:proofErr w:type="gramStart"/>
      <w:r w:rsidR="00610629">
        <w:t xml:space="preserve">Identified in </w:t>
      </w:r>
      <w:r w:rsidR="00707FC2" w:rsidRPr="00610629">
        <w:rPr>
          <w:i/>
        </w:rPr>
        <w:t>supra</w:t>
      </w:r>
      <w:r w:rsidR="00707FC2">
        <w:t xml:space="preserve"> </w:t>
      </w:r>
      <w:r w:rsidR="00610629">
        <w:t>P 2.</w:t>
      </w:r>
      <w:proofErr w:type="gramEnd"/>
    </w:p>
  </w:footnote>
  <w:footnote w:id="19">
    <w:p w14:paraId="5BB1DA8C" w14:textId="77777777" w:rsidR="0053181C" w:rsidRDefault="0053181C" w:rsidP="009A4EE5">
      <w:pPr>
        <w:pStyle w:val="FootnoteText"/>
      </w:pPr>
      <w:r w:rsidRPr="00DB4AEE">
        <w:rPr>
          <w:rStyle w:val="FootnoteReference"/>
        </w:rPr>
        <w:footnoteRef/>
      </w:r>
      <w:r>
        <w:t xml:space="preserve"> </w:t>
      </w:r>
      <w:proofErr w:type="gramStart"/>
      <w:r>
        <w:t>NRECA at 2.</w:t>
      </w:r>
      <w:proofErr w:type="gramEnd"/>
    </w:p>
  </w:footnote>
  <w:footnote w:id="20">
    <w:p w14:paraId="5BB1DA8D" w14:textId="77777777" w:rsidR="0053181C" w:rsidRDefault="0053181C" w:rsidP="009A4EE5">
      <w:pPr>
        <w:pStyle w:val="FootnoteText"/>
      </w:pPr>
      <w:r w:rsidRPr="00DB4AEE">
        <w:rPr>
          <w:rStyle w:val="FootnoteReference"/>
        </w:rPr>
        <w:footnoteRef/>
      </w:r>
      <w:r>
        <w:t xml:space="preserve"> </w:t>
      </w:r>
      <w:proofErr w:type="gramStart"/>
      <w:r w:rsidR="00AB6A82">
        <w:rPr>
          <w:i/>
        </w:rPr>
        <w:t>Id.</w:t>
      </w:r>
      <w:r w:rsidR="00AB6A82">
        <w:t xml:space="preserve"> </w:t>
      </w:r>
      <w:r>
        <w:t>at 2.</w:t>
      </w:r>
      <w:proofErr w:type="gramEnd"/>
    </w:p>
  </w:footnote>
  <w:footnote w:id="21">
    <w:p w14:paraId="5BB1DA8E" w14:textId="77777777" w:rsidR="0053181C" w:rsidRDefault="0053181C" w:rsidP="009A4EE5">
      <w:pPr>
        <w:pStyle w:val="FootnoteText"/>
      </w:pPr>
      <w:r w:rsidRPr="00DB4AEE">
        <w:rPr>
          <w:rStyle w:val="FootnoteReference"/>
        </w:rPr>
        <w:footnoteRef/>
      </w:r>
      <w:r>
        <w:t xml:space="preserve"> </w:t>
      </w:r>
      <w:proofErr w:type="gramStart"/>
      <w:r>
        <w:t>16 U.S.C. §</w:t>
      </w:r>
      <w:r w:rsidR="00AB6A82">
        <w:t> </w:t>
      </w:r>
      <w:r>
        <w:t>824(f).</w:t>
      </w:r>
      <w:proofErr w:type="gramEnd"/>
      <w:r>
        <w:t xml:space="preserve">  NRECA at 2-3.</w:t>
      </w:r>
    </w:p>
  </w:footnote>
  <w:footnote w:id="22">
    <w:p w14:paraId="5BB1DA8F" w14:textId="77777777" w:rsidR="0053181C" w:rsidRDefault="0053181C" w:rsidP="006B19B2">
      <w:pPr>
        <w:pStyle w:val="FootnoteText"/>
      </w:pPr>
      <w:r w:rsidRPr="00DB4AEE">
        <w:rPr>
          <w:rStyle w:val="FootnoteReference"/>
        </w:rPr>
        <w:footnoteRef/>
      </w:r>
      <w:r>
        <w:t xml:space="preserve"> </w:t>
      </w:r>
      <w:proofErr w:type="gramStart"/>
      <w:r w:rsidR="00AB6A82">
        <w:rPr>
          <w:i/>
        </w:rPr>
        <w:t>Id.</w:t>
      </w:r>
      <w:r w:rsidR="00AB6A82">
        <w:t xml:space="preserve"> </w:t>
      </w:r>
      <w:r>
        <w:t>at 9.</w:t>
      </w:r>
      <w:proofErr w:type="gramEnd"/>
    </w:p>
  </w:footnote>
  <w:footnote w:id="23">
    <w:p w14:paraId="5BB1DA90" w14:textId="77777777" w:rsidR="0053181C" w:rsidRDefault="0053181C" w:rsidP="00CE4EEB">
      <w:pPr>
        <w:pStyle w:val="FootnoteText"/>
      </w:pPr>
      <w:r w:rsidRPr="00DB4AEE">
        <w:rPr>
          <w:rStyle w:val="FootnoteReference"/>
        </w:rPr>
        <w:footnoteRef/>
      </w:r>
      <w:r>
        <w:t xml:space="preserve"> </w:t>
      </w:r>
      <w:r w:rsidR="00AB6A82">
        <w:rPr>
          <w:i/>
        </w:rPr>
        <w:t xml:space="preserve">Id. </w:t>
      </w:r>
      <w:r>
        <w:t>(</w:t>
      </w:r>
      <w:r w:rsidRPr="0053181C">
        <w:t xml:space="preserve">citing </w:t>
      </w:r>
      <w:r>
        <w:rPr>
          <w:i/>
        </w:rPr>
        <w:t>Duncan v. Walker</w:t>
      </w:r>
      <w:r>
        <w:t xml:space="preserve">, 533 U.S. 167 (2001); </w:t>
      </w:r>
      <w:r>
        <w:rPr>
          <w:i/>
        </w:rPr>
        <w:t xml:space="preserve">United States v. </w:t>
      </w:r>
      <w:proofErr w:type="spellStart"/>
      <w:r>
        <w:rPr>
          <w:i/>
        </w:rPr>
        <w:t>Menasche</w:t>
      </w:r>
      <w:proofErr w:type="spellEnd"/>
      <w:r>
        <w:t>, 348 U.S. 528 (1955)).</w:t>
      </w:r>
    </w:p>
  </w:footnote>
  <w:footnote w:id="24">
    <w:p w14:paraId="5BB1DA91" w14:textId="77777777" w:rsidR="0053181C" w:rsidRDefault="0053181C" w:rsidP="00CE4EEB">
      <w:pPr>
        <w:pStyle w:val="FootnoteText"/>
      </w:pPr>
      <w:r w:rsidRPr="00DB4AEE">
        <w:rPr>
          <w:rStyle w:val="FootnoteReference"/>
        </w:rPr>
        <w:footnoteRef/>
      </w:r>
      <w:r>
        <w:t xml:space="preserve"> </w:t>
      </w:r>
      <w:proofErr w:type="gramStart"/>
      <w:r w:rsidR="00AB6A82">
        <w:rPr>
          <w:i/>
        </w:rPr>
        <w:t>Id.</w:t>
      </w:r>
      <w:r w:rsidR="00AB6A82">
        <w:t xml:space="preserve"> </w:t>
      </w:r>
      <w:r>
        <w:t>at 10.</w:t>
      </w:r>
      <w:proofErr w:type="gramEnd"/>
    </w:p>
  </w:footnote>
  <w:footnote w:id="25">
    <w:p w14:paraId="5BB1DA92" w14:textId="77777777" w:rsidR="0053181C" w:rsidRDefault="0053181C" w:rsidP="00CE4EEB">
      <w:pPr>
        <w:pStyle w:val="FootnoteText"/>
      </w:pPr>
      <w:r w:rsidRPr="00DB4AEE">
        <w:rPr>
          <w:rStyle w:val="FootnoteReference"/>
        </w:rPr>
        <w:footnoteRef/>
      </w:r>
      <w:r>
        <w:t xml:space="preserve"> </w:t>
      </w:r>
      <w:r w:rsidR="00AB6A82">
        <w:rPr>
          <w:i/>
        </w:rPr>
        <w:t>Id.</w:t>
      </w:r>
      <w:r w:rsidR="00AB6A82">
        <w:t xml:space="preserve"> </w:t>
      </w:r>
      <w:r>
        <w:t>at 9 (</w:t>
      </w:r>
      <w:r w:rsidRPr="00780251">
        <w:t>citing</w:t>
      </w:r>
      <w:r w:rsidRPr="00D86B1A">
        <w:t xml:space="preserve"> American Heritage Dictionary of the English Language </w:t>
      </w:r>
      <w:r>
        <w:t xml:space="preserve">920 </w:t>
      </w:r>
      <w:r w:rsidR="00ED5D09">
        <w:br/>
      </w:r>
      <w:r>
        <w:t>(4th ed. 2000)).</w:t>
      </w:r>
    </w:p>
  </w:footnote>
  <w:footnote w:id="26">
    <w:p w14:paraId="5BB1DA93" w14:textId="77777777" w:rsidR="0053181C" w:rsidRDefault="0053181C" w:rsidP="00CE4EEB">
      <w:pPr>
        <w:pStyle w:val="FootnoteText"/>
      </w:pPr>
      <w:r w:rsidRPr="00DB4AEE">
        <w:rPr>
          <w:rStyle w:val="FootnoteReference"/>
        </w:rPr>
        <w:footnoteRef/>
      </w:r>
      <w:r>
        <w:t xml:space="preserve"> </w:t>
      </w:r>
      <w:r w:rsidR="005B6113">
        <w:rPr>
          <w:i/>
        </w:rPr>
        <w:t>Id.</w:t>
      </w:r>
      <w:r w:rsidR="005B6113">
        <w:t xml:space="preserve"> </w:t>
      </w:r>
      <w:r>
        <w:t>(</w:t>
      </w:r>
      <w:r w:rsidRPr="00780251">
        <w:t xml:space="preserve">citing </w:t>
      </w:r>
      <w:r>
        <w:t>Webster’s Third New International Dictionary 1189 (1961)).</w:t>
      </w:r>
    </w:p>
  </w:footnote>
  <w:footnote w:id="27">
    <w:p w14:paraId="5BB1DA94" w14:textId="77777777" w:rsidR="0053181C" w:rsidRDefault="0053181C" w:rsidP="00CE4EEB">
      <w:pPr>
        <w:pStyle w:val="FootnoteText"/>
      </w:pPr>
      <w:r w:rsidRPr="00DB4AEE">
        <w:rPr>
          <w:rStyle w:val="FootnoteReference"/>
        </w:rPr>
        <w:footnoteRef/>
      </w:r>
      <w:r>
        <w:t xml:space="preserve"> </w:t>
      </w:r>
      <w:r w:rsidR="005B6113">
        <w:rPr>
          <w:i/>
        </w:rPr>
        <w:t>Id.</w:t>
      </w:r>
      <w:r w:rsidR="005B6113">
        <w:t xml:space="preserve"> </w:t>
      </w:r>
      <w:r>
        <w:t>(</w:t>
      </w:r>
      <w:r w:rsidRPr="00780251">
        <w:t>citing</w:t>
      </w:r>
      <w:r>
        <w:t xml:space="preserve"> Black’s Law Dictionary 902 (9th ed. 2009)).</w:t>
      </w:r>
    </w:p>
  </w:footnote>
  <w:footnote w:id="28">
    <w:p w14:paraId="5BB1DA95" w14:textId="77777777" w:rsidR="0053181C" w:rsidRDefault="0053181C" w:rsidP="00CE4EEB">
      <w:pPr>
        <w:pStyle w:val="FootnoteText"/>
      </w:pPr>
      <w:r w:rsidRPr="00DB4AEE">
        <w:rPr>
          <w:rStyle w:val="FootnoteReference"/>
        </w:rPr>
        <w:footnoteRef/>
      </w:r>
      <w:r>
        <w:t xml:space="preserve"> </w:t>
      </w:r>
      <w:proofErr w:type="gramStart"/>
      <w:r w:rsidR="005B6113">
        <w:rPr>
          <w:i/>
        </w:rPr>
        <w:t>Id.</w:t>
      </w:r>
      <w:r>
        <w:t>at 10.</w:t>
      </w:r>
      <w:proofErr w:type="gramEnd"/>
    </w:p>
  </w:footnote>
  <w:footnote w:id="29">
    <w:p w14:paraId="5BB1DA96" w14:textId="77777777" w:rsidR="0053181C" w:rsidRDefault="0053181C" w:rsidP="00CE4EEB">
      <w:pPr>
        <w:pStyle w:val="FootnoteText"/>
      </w:pPr>
      <w:r w:rsidRPr="00DB4AEE">
        <w:rPr>
          <w:rStyle w:val="FootnoteReference"/>
        </w:rPr>
        <w:footnoteRef/>
      </w:r>
      <w:r>
        <w:t xml:space="preserve"> </w:t>
      </w:r>
      <w:r w:rsidR="005B6113">
        <w:rPr>
          <w:i/>
        </w:rPr>
        <w:t>Id.</w:t>
      </w:r>
      <w:r w:rsidR="005B6113">
        <w:t xml:space="preserve"> </w:t>
      </w:r>
      <w:r>
        <w:t>(</w:t>
      </w:r>
      <w:r w:rsidRPr="00780251">
        <w:t>citing</w:t>
      </w:r>
      <w:r>
        <w:t xml:space="preserve"> </w:t>
      </w:r>
      <w:r>
        <w:rPr>
          <w:i/>
        </w:rPr>
        <w:t>Crandon v. United States</w:t>
      </w:r>
      <w:r>
        <w:t xml:space="preserve">, 494 U.S. 152 (1990); </w:t>
      </w:r>
      <w:r>
        <w:rPr>
          <w:i/>
        </w:rPr>
        <w:t>Kmart Corp. v. Cartier, Inc.</w:t>
      </w:r>
      <w:r>
        <w:t>, 486 U.S. 281 (1988)).</w:t>
      </w:r>
    </w:p>
  </w:footnote>
  <w:footnote w:id="30">
    <w:p w14:paraId="5BB1DA97" w14:textId="77777777" w:rsidR="0053181C" w:rsidRDefault="0053181C" w:rsidP="00CE4EEB">
      <w:pPr>
        <w:pStyle w:val="FootnoteText"/>
      </w:pPr>
      <w:r w:rsidRPr="00DB4AEE">
        <w:rPr>
          <w:rStyle w:val="FootnoteReference"/>
        </w:rPr>
        <w:footnoteRef/>
      </w:r>
      <w:r w:rsidR="005B6113">
        <w:rPr>
          <w:i/>
        </w:rPr>
        <w:t>Id</w:t>
      </w:r>
      <w:r>
        <w:t>.</w:t>
      </w:r>
    </w:p>
  </w:footnote>
  <w:footnote w:id="31">
    <w:p w14:paraId="5BB1DA98" w14:textId="77777777" w:rsidR="0053181C" w:rsidRDefault="0053181C" w:rsidP="00CE4EEB">
      <w:pPr>
        <w:pStyle w:val="FootnoteText"/>
      </w:pPr>
      <w:r w:rsidRPr="00DB4AEE">
        <w:rPr>
          <w:rStyle w:val="FootnoteReference"/>
        </w:rPr>
        <w:footnoteRef/>
      </w:r>
      <w:r>
        <w:t xml:space="preserve"> </w:t>
      </w:r>
      <w:r w:rsidR="005B6113">
        <w:rPr>
          <w:i/>
        </w:rPr>
        <w:t>Id.</w:t>
      </w:r>
      <w:r w:rsidR="005B6113">
        <w:t xml:space="preserve"> </w:t>
      </w:r>
      <w:r>
        <w:t>at 10-11.</w:t>
      </w:r>
    </w:p>
  </w:footnote>
  <w:footnote w:id="32">
    <w:p w14:paraId="5BB1DA99" w14:textId="77777777" w:rsidR="0053181C" w:rsidRDefault="0053181C" w:rsidP="009A4EE5">
      <w:pPr>
        <w:pStyle w:val="FootnoteText"/>
      </w:pPr>
      <w:r w:rsidRPr="00DB4AEE">
        <w:rPr>
          <w:rStyle w:val="FootnoteReference"/>
        </w:rPr>
        <w:footnoteRef/>
      </w:r>
      <w:r>
        <w:t xml:space="preserve"> </w:t>
      </w:r>
      <w:proofErr w:type="gramStart"/>
      <w:r w:rsidR="005B6113">
        <w:rPr>
          <w:i/>
        </w:rPr>
        <w:t>Id.</w:t>
      </w:r>
      <w:r w:rsidR="005B6113">
        <w:t xml:space="preserve"> </w:t>
      </w:r>
      <w:r>
        <w:t>at 11.</w:t>
      </w:r>
      <w:proofErr w:type="gramEnd"/>
    </w:p>
  </w:footnote>
  <w:footnote w:id="33">
    <w:p w14:paraId="5BB1DA9A" w14:textId="77777777" w:rsidR="0053181C" w:rsidRDefault="0053181C" w:rsidP="009A4EE5">
      <w:pPr>
        <w:pStyle w:val="FootnoteText"/>
      </w:pPr>
      <w:r w:rsidRPr="00DB4AEE">
        <w:rPr>
          <w:rStyle w:val="FootnoteReference"/>
        </w:rPr>
        <w:footnoteRef/>
      </w:r>
      <w:r>
        <w:t xml:space="preserve"> </w:t>
      </w:r>
      <w:proofErr w:type="gramStart"/>
      <w:r w:rsidR="005B6113">
        <w:rPr>
          <w:i/>
        </w:rPr>
        <w:t>Id.</w:t>
      </w:r>
      <w:r w:rsidR="005B6113">
        <w:t xml:space="preserve"> </w:t>
      </w:r>
      <w:r>
        <w:t>at 13 (</w:t>
      </w:r>
      <w:r w:rsidRPr="00780251">
        <w:t>citing</w:t>
      </w:r>
      <w:r>
        <w:t xml:space="preserve"> Order No. 771, </w:t>
      </w:r>
      <w:r w:rsidRPr="006C343C">
        <w:t xml:space="preserve">FERC Stats &amp; </w:t>
      </w:r>
      <w:proofErr w:type="spellStart"/>
      <w:r w:rsidRPr="006C343C">
        <w:t>Regs</w:t>
      </w:r>
      <w:proofErr w:type="spellEnd"/>
      <w:r w:rsidRPr="006C343C">
        <w:t xml:space="preserve"> ¶ 31,339</w:t>
      </w:r>
      <w:r>
        <w:t xml:space="preserve"> at P 19).</w:t>
      </w:r>
      <w:proofErr w:type="gramEnd"/>
    </w:p>
  </w:footnote>
  <w:footnote w:id="34">
    <w:p w14:paraId="5BB1DA9B" w14:textId="77777777" w:rsidR="0053181C" w:rsidRDefault="0053181C" w:rsidP="009A4EE5">
      <w:pPr>
        <w:pStyle w:val="FootnoteText"/>
      </w:pPr>
      <w:r w:rsidRPr="00DB4AEE">
        <w:rPr>
          <w:rStyle w:val="FootnoteReference"/>
        </w:rPr>
        <w:footnoteRef/>
      </w:r>
      <w:r w:rsidR="005B6113">
        <w:rPr>
          <w:i/>
        </w:rPr>
        <w:t>Id</w:t>
      </w:r>
      <w:r>
        <w:t>.</w:t>
      </w:r>
    </w:p>
  </w:footnote>
  <w:footnote w:id="35">
    <w:p w14:paraId="5BB1DA9C" w14:textId="77777777" w:rsidR="0053181C" w:rsidRDefault="0053181C">
      <w:pPr>
        <w:pStyle w:val="FootnoteText"/>
      </w:pPr>
      <w:r w:rsidRPr="00DB4AEE">
        <w:rPr>
          <w:rStyle w:val="FootnoteReference"/>
        </w:rPr>
        <w:footnoteRef/>
      </w:r>
      <w:r>
        <w:t xml:space="preserve"> </w:t>
      </w:r>
      <w:proofErr w:type="gramStart"/>
      <w:r>
        <w:t>338 U.S. 632 (1950).</w:t>
      </w:r>
      <w:proofErr w:type="gramEnd"/>
    </w:p>
  </w:footnote>
  <w:footnote w:id="36">
    <w:p w14:paraId="5BB1DA9D" w14:textId="77777777" w:rsidR="0053181C" w:rsidRDefault="0053181C">
      <w:pPr>
        <w:pStyle w:val="FootnoteText"/>
      </w:pPr>
      <w:r w:rsidRPr="00DB4AEE">
        <w:rPr>
          <w:rStyle w:val="FootnoteReference"/>
        </w:rPr>
        <w:footnoteRef/>
      </w:r>
      <w:r>
        <w:t xml:space="preserve"> </w:t>
      </w:r>
      <w:proofErr w:type="gramStart"/>
      <w:r>
        <w:t>NRECA at 15.</w:t>
      </w:r>
      <w:proofErr w:type="gramEnd"/>
    </w:p>
  </w:footnote>
  <w:footnote w:id="37">
    <w:p w14:paraId="5BB1DA9E" w14:textId="77777777" w:rsidR="0053181C" w:rsidRDefault="0053181C">
      <w:pPr>
        <w:pStyle w:val="FootnoteText"/>
      </w:pPr>
      <w:r w:rsidRPr="00DB4AEE">
        <w:rPr>
          <w:rStyle w:val="FootnoteReference"/>
        </w:rPr>
        <w:footnoteRef/>
      </w:r>
      <w:r>
        <w:t xml:space="preserve"> </w:t>
      </w:r>
      <w:proofErr w:type="gramStart"/>
      <w:r w:rsidR="00D06AB7">
        <w:rPr>
          <w:i/>
        </w:rPr>
        <w:t>Id.</w:t>
      </w:r>
      <w:r w:rsidR="00D06AB7">
        <w:t xml:space="preserve"> </w:t>
      </w:r>
      <w:r>
        <w:t>at 19.</w:t>
      </w:r>
      <w:proofErr w:type="gramEnd"/>
    </w:p>
  </w:footnote>
  <w:footnote w:id="38">
    <w:p w14:paraId="5BB1DA9F" w14:textId="77777777" w:rsidR="0053181C" w:rsidRDefault="0053181C">
      <w:pPr>
        <w:pStyle w:val="FootnoteText"/>
      </w:pPr>
      <w:r w:rsidRPr="00DB4AEE">
        <w:rPr>
          <w:rStyle w:val="FootnoteReference"/>
        </w:rPr>
        <w:footnoteRef/>
      </w:r>
      <w:r w:rsidRPr="002347AE">
        <w:t xml:space="preserve"> </w:t>
      </w:r>
      <w:proofErr w:type="gramStart"/>
      <w:r w:rsidRPr="002347AE">
        <w:rPr>
          <w:i/>
        </w:rPr>
        <w:t>Chevron</w:t>
      </w:r>
      <w:r w:rsidR="00ED5D09">
        <w:rPr>
          <w:i/>
        </w:rPr>
        <w:t>,</w:t>
      </w:r>
      <w:r w:rsidRPr="002347AE">
        <w:rPr>
          <w:i/>
        </w:rPr>
        <w:t xml:space="preserve"> U.S.A. v. Natural Resources Defense Council</w:t>
      </w:r>
      <w:r w:rsidR="00ED5D09">
        <w:rPr>
          <w:i/>
        </w:rPr>
        <w:t xml:space="preserve"> Inc.</w:t>
      </w:r>
      <w:r w:rsidRPr="002347AE">
        <w:t xml:space="preserve">, 467 U.S. 837, </w:t>
      </w:r>
      <w:r w:rsidR="00ED5D09">
        <w:br/>
      </w:r>
      <w:r w:rsidRPr="002347AE">
        <w:t>842-45 (1984) (Chevron).</w:t>
      </w:r>
      <w:proofErr w:type="gramEnd"/>
    </w:p>
  </w:footnote>
  <w:footnote w:id="39">
    <w:p w14:paraId="5BB1DAA0" w14:textId="77777777" w:rsidR="0053181C" w:rsidRPr="00464B4B" w:rsidRDefault="0053181C" w:rsidP="00464B4B">
      <w:pPr>
        <w:pStyle w:val="FootnoteText"/>
        <w:rPr>
          <w:szCs w:val="26"/>
        </w:rPr>
      </w:pPr>
      <w:r w:rsidRPr="00DB4AEE">
        <w:rPr>
          <w:rStyle w:val="FootnoteReference"/>
        </w:rPr>
        <w:footnoteRef/>
      </w:r>
      <w:r>
        <w:t xml:space="preserve"> </w:t>
      </w:r>
      <w:r w:rsidRPr="0053181C">
        <w:rPr>
          <w:i/>
          <w:szCs w:val="26"/>
        </w:rPr>
        <w:t>Examining Enron:  Developments Regarding Electricity Price</w:t>
      </w:r>
      <w:r w:rsidRPr="00464B4B">
        <w:rPr>
          <w:szCs w:val="26"/>
        </w:rPr>
        <w:t xml:space="preserve"> </w:t>
      </w:r>
      <w:r w:rsidRPr="0053181C">
        <w:rPr>
          <w:i/>
          <w:iCs/>
          <w:szCs w:val="26"/>
        </w:rPr>
        <w:t>Manipulation in California</w:t>
      </w:r>
      <w:r w:rsidRPr="0053181C">
        <w:rPr>
          <w:szCs w:val="26"/>
        </w:rPr>
        <w:t xml:space="preserve">: </w:t>
      </w:r>
      <w:r w:rsidRPr="0053181C">
        <w:rPr>
          <w:i/>
          <w:iCs/>
          <w:szCs w:val="26"/>
        </w:rPr>
        <w:t>Hearing</w:t>
      </w:r>
      <w:r>
        <w:rPr>
          <w:i/>
          <w:iCs/>
          <w:szCs w:val="26"/>
        </w:rPr>
        <w:t xml:space="preserve"> </w:t>
      </w:r>
      <w:r w:rsidRPr="0053181C">
        <w:rPr>
          <w:i/>
          <w:iCs/>
          <w:szCs w:val="26"/>
        </w:rPr>
        <w:t xml:space="preserve">Before the </w:t>
      </w:r>
      <w:proofErr w:type="spellStart"/>
      <w:r w:rsidRPr="0053181C">
        <w:rPr>
          <w:i/>
          <w:iCs/>
          <w:szCs w:val="26"/>
        </w:rPr>
        <w:t>Subcomm</w:t>
      </w:r>
      <w:proofErr w:type="spellEnd"/>
      <w:r w:rsidRPr="0053181C">
        <w:rPr>
          <w:i/>
          <w:iCs/>
          <w:szCs w:val="26"/>
        </w:rPr>
        <w:t xml:space="preserve">. on Consumer Affairs, Foreign Commerce </w:t>
      </w:r>
      <w:r w:rsidR="009B68BC">
        <w:rPr>
          <w:i/>
          <w:iCs/>
          <w:szCs w:val="26"/>
        </w:rPr>
        <w:t>and</w:t>
      </w:r>
      <w:r w:rsidRPr="0053181C">
        <w:rPr>
          <w:i/>
          <w:iCs/>
          <w:szCs w:val="26"/>
        </w:rPr>
        <w:t xml:space="preserve"> Tourism of the S. Comm. on Commerce,</w:t>
      </w:r>
      <w:r>
        <w:rPr>
          <w:i/>
          <w:iCs/>
          <w:szCs w:val="26"/>
        </w:rPr>
        <w:t xml:space="preserve"> </w:t>
      </w:r>
      <w:r w:rsidRPr="0053181C">
        <w:rPr>
          <w:i/>
          <w:iCs/>
          <w:szCs w:val="26"/>
        </w:rPr>
        <w:t>Science, and Transportation</w:t>
      </w:r>
      <w:r w:rsidRPr="0053181C">
        <w:rPr>
          <w:szCs w:val="26"/>
        </w:rPr>
        <w:t>, 107th Cong. 140 (2002) (statement of Sen. Wyden to Patrick Wood III, Chairman,</w:t>
      </w:r>
      <w:r>
        <w:rPr>
          <w:szCs w:val="26"/>
        </w:rPr>
        <w:t xml:space="preserve"> </w:t>
      </w:r>
      <w:r w:rsidRPr="0053181C">
        <w:rPr>
          <w:szCs w:val="26"/>
        </w:rPr>
        <w:t xml:space="preserve">Federal Energy Regulatory Commission); </w:t>
      </w:r>
      <w:r w:rsidRPr="0053181C">
        <w:rPr>
          <w:i/>
          <w:iCs/>
          <w:szCs w:val="26"/>
        </w:rPr>
        <w:t xml:space="preserve">see also id. </w:t>
      </w:r>
      <w:proofErr w:type="gramStart"/>
      <w:r w:rsidRPr="0053181C">
        <w:rPr>
          <w:szCs w:val="26"/>
        </w:rPr>
        <w:t>at</w:t>
      </w:r>
      <w:proofErr w:type="gramEnd"/>
      <w:r w:rsidRPr="0053181C">
        <w:rPr>
          <w:szCs w:val="26"/>
        </w:rPr>
        <w:t xml:space="preserve"> 144 (statement of Sen.</w:t>
      </w:r>
      <w:r>
        <w:rPr>
          <w:szCs w:val="26"/>
        </w:rPr>
        <w:t xml:space="preserve"> </w:t>
      </w:r>
      <w:r w:rsidRPr="0053181C">
        <w:rPr>
          <w:szCs w:val="26"/>
        </w:rPr>
        <w:t>Byron Dorgan to Patrick Wood III, Chairman, Federal Energy Regulatory Commission, “[B]e a tiger . . .”).</w:t>
      </w:r>
    </w:p>
  </w:footnote>
  <w:footnote w:id="40">
    <w:p w14:paraId="5BB1DAA1" w14:textId="77777777" w:rsidR="009B68BC" w:rsidRDefault="009B68BC">
      <w:pPr>
        <w:pStyle w:val="FootnoteText"/>
      </w:pPr>
      <w:r>
        <w:rPr>
          <w:rStyle w:val="FootnoteReference"/>
        </w:rPr>
        <w:footnoteRef/>
      </w:r>
      <w:r>
        <w:t xml:space="preserve"> </w:t>
      </w:r>
      <w:r w:rsidRPr="00121CC7">
        <w:rPr>
          <w:i/>
          <w:iCs/>
        </w:rPr>
        <w:t xml:space="preserve">Asleep at the Switch: FERC’s Oversight of the Enron Corporation: Hearing </w:t>
      </w:r>
      <w:proofErr w:type="gramStart"/>
      <w:r w:rsidRPr="00121CC7">
        <w:rPr>
          <w:i/>
          <w:iCs/>
        </w:rPr>
        <w:t>Before</w:t>
      </w:r>
      <w:proofErr w:type="gramEnd"/>
      <w:r w:rsidRPr="00121CC7">
        <w:rPr>
          <w:i/>
          <w:iCs/>
        </w:rPr>
        <w:t xml:space="preserve"> the S. Comm. </w:t>
      </w:r>
      <w:proofErr w:type="gramStart"/>
      <w:r w:rsidRPr="00121CC7">
        <w:rPr>
          <w:i/>
          <w:iCs/>
        </w:rPr>
        <w:t>On</w:t>
      </w:r>
      <w:r>
        <w:rPr>
          <w:i/>
          <w:iCs/>
        </w:rPr>
        <w:t xml:space="preserve"> </w:t>
      </w:r>
      <w:r w:rsidRPr="00121CC7">
        <w:rPr>
          <w:i/>
          <w:iCs/>
        </w:rPr>
        <w:t>Gov’t Affairs</w:t>
      </w:r>
      <w:r w:rsidRPr="00121CC7">
        <w:t>, 107th Cong. 59 (2003) (statement of Joseph Lieberman, Chairman, Senate Committee on</w:t>
      </w:r>
      <w:r>
        <w:t xml:space="preserve"> Governmental Affairs).</w:t>
      </w:r>
      <w:proofErr w:type="gramEnd"/>
    </w:p>
  </w:footnote>
  <w:footnote w:id="41">
    <w:p w14:paraId="5BB1DAA2" w14:textId="77777777" w:rsidR="005A4080" w:rsidRDefault="005A4080">
      <w:pPr>
        <w:pStyle w:val="FootnoteText"/>
      </w:pPr>
      <w:r>
        <w:rPr>
          <w:rStyle w:val="FootnoteReference"/>
        </w:rPr>
        <w:footnoteRef/>
      </w:r>
      <w:r w:rsidR="00772C49">
        <w:t xml:space="preserve"> </w:t>
      </w:r>
      <w:r>
        <w:t>We also note that the Commission’s authority to issue a rule requiring that it be afforded access to e-Tags is also supported by its authority under FPA section 309, which gives the Commission authority to perform necessary acts and prescribe such orders, rules and regulations as it may find necessary or appropriate to carry out the provisions of the Federal Power Act.</w:t>
      </w:r>
    </w:p>
  </w:footnote>
  <w:footnote w:id="42">
    <w:p w14:paraId="5BB1DAA3" w14:textId="77777777" w:rsidR="0053181C" w:rsidRDefault="0053181C">
      <w:pPr>
        <w:pStyle w:val="FootnoteText"/>
      </w:pPr>
      <w:r w:rsidRPr="00DB4AEE">
        <w:rPr>
          <w:rStyle w:val="FootnoteReference"/>
        </w:rPr>
        <w:footnoteRef/>
      </w:r>
      <w:r>
        <w:t xml:space="preserve"> </w:t>
      </w:r>
      <w:proofErr w:type="gramStart"/>
      <w:r>
        <w:t xml:space="preserve">Section 1284 of </w:t>
      </w:r>
      <w:proofErr w:type="spellStart"/>
      <w:r>
        <w:t>EPAct</w:t>
      </w:r>
      <w:proofErr w:type="spellEnd"/>
      <w:r>
        <w:t xml:space="preserve"> 2005.</w:t>
      </w:r>
      <w:proofErr w:type="gramEnd"/>
    </w:p>
  </w:footnote>
  <w:footnote w:id="43">
    <w:p w14:paraId="5BB1DAA4" w14:textId="77777777" w:rsidR="0053181C" w:rsidRDefault="0053181C">
      <w:pPr>
        <w:pStyle w:val="FootnoteText"/>
      </w:pPr>
      <w:r w:rsidRPr="00DB4AEE">
        <w:rPr>
          <w:rStyle w:val="FootnoteReference"/>
        </w:rPr>
        <w:footnoteRef/>
      </w:r>
      <w:r>
        <w:t xml:space="preserve"> Section 307(a), 16 U.S.C. </w:t>
      </w:r>
      <w:r w:rsidR="00772C49">
        <w:t>§ </w:t>
      </w:r>
      <w:r>
        <w:t xml:space="preserve">825f (a), as revised by </w:t>
      </w:r>
      <w:proofErr w:type="spellStart"/>
      <w:r>
        <w:t>EPAct</w:t>
      </w:r>
      <w:proofErr w:type="spellEnd"/>
      <w:r>
        <w:t xml:space="preserve"> 2005, provides in relevant part:</w:t>
      </w:r>
    </w:p>
    <w:p w14:paraId="5BB1DAA5" w14:textId="77777777" w:rsidR="0053181C" w:rsidRDefault="0053181C" w:rsidP="0063391E">
      <w:pPr>
        <w:pStyle w:val="FootnoteText"/>
        <w:ind w:left="720" w:firstLine="0"/>
      </w:pPr>
      <w:r w:rsidRPr="00AE2858">
        <w:t>The Commission may investigate any facts, conditions, practices, or matters which it may find necessary or proper in order to determine whether any person</w:t>
      </w:r>
      <w:r w:rsidRPr="0002294D">
        <w:t xml:space="preserve">, </w:t>
      </w:r>
      <w:r w:rsidRPr="00F03718">
        <w:t>electric utility, transmitting utility, or other entity</w:t>
      </w:r>
      <w:r w:rsidRPr="00AE2858">
        <w:t xml:space="preserve"> has violated or is about to violate any provisions of this</w:t>
      </w:r>
      <w:r>
        <w:t xml:space="preserve"> chapter</w:t>
      </w:r>
      <w:r w:rsidRPr="00AE2858">
        <w:t xml:space="preserve"> or any rule, regulation, or order thereunder, or to aid in the enforcement of the provisions of this </w:t>
      </w:r>
      <w:r>
        <w:t>chapter</w:t>
      </w:r>
      <w:r w:rsidRPr="00AE2858">
        <w:t xml:space="preserve"> or in prescribing rules or regulations thereunder, or in obtaining information to serve as a basis for recommending further legislation concerning the matters to which this </w:t>
      </w:r>
      <w:r>
        <w:t>chapter</w:t>
      </w:r>
      <w:r w:rsidRPr="00AE2858">
        <w:t xml:space="preserve"> relates,</w:t>
      </w:r>
      <w:r w:rsidRPr="0002294D">
        <w:t xml:space="preserve"> </w:t>
      </w:r>
      <w:r w:rsidRPr="00F03718">
        <w:t>or in obtaining information about the sale of electric energy in interstate commerce and the transmission of electric energy in interstate commerce.</w:t>
      </w:r>
    </w:p>
  </w:footnote>
  <w:footnote w:id="44">
    <w:p w14:paraId="5BB1DAA6" w14:textId="77777777" w:rsidR="0053181C" w:rsidRDefault="0053181C">
      <w:pPr>
        <w:pStyle w:val="FootnoteText"/>
      </w:pPr>
      <w:r w:rsidRPr="00DB4AEE">
        <w:rPr>
          <w:rStyle w:val="FootnoteReference"/>
        </w:rPr>
        <w:footnoteRef/>
      </w:r>
      <w:r>
        <w:t xml:space="preserve"> Order No. 771,</w:t>
      </w:r>
      <w:r w:rsidRPr="005F4F3F">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16.</w:t>
      </w:r>
      <w:proofErr w:type="gramEnd"/>
    </w:p>
  </w:footnote>
  <w:footnote w:id="45">
    <w:p w14:paraId="5BB1DAA7" w14:textId="77777777" w:rsidR="0053181C" w:rsidRDefault="0053181C" w:rsidP="008233EF">
      <w:pPr>
        <w:pStyle w:val="FootnoteText"/>
      </w:pPr>
      <w:r w:rsidRPr="00DB4AEE">
        <w:rPr>
          <w:rStyle w:val="FootnoteReference"/>
        </w:rPr>
        <w:footnoteRef/>
      </w:r>
      <w:r>
        <w:t xml:space="preserve"> </w:t>
      </w:r>
      <w:r w:rsidRPr="0053181C">
        <w:rPr>
          <w:i/>
        </w:rPr>
        <w:t>Id.</w:t>
      </w:r>
      <w:r>
        <w:t xml:space="preserve"> P 16.</w:t>
      </w:r>
    </w:p>
  </w:footnote>
  <w:footnote w:id="46">
    <w:p w14:paraId="5BB1DAA8" w14:textId="77777777" w:rsidR="0053181C" w:rsidRDefault="0053181C">
      <w:pPr>
        <w:pStyle w:val="FootnoteText"/>
      </w:pPr>
      <w:r w:rsidRPr="00DB4AEE">
        <w:rPr>
          <w:rStyle w:val="FootnoteReference"/>
        </w:rPr>
        <w:footnoteRef/>
      </w:r>
      <w:r>
        <w:t xml:space="preserve"> </w:t>
      </w:r>
      <w:r>
        <w:rPr>
          <w:i/>
        </w:rPr>
        <w:t>Id.</w:t>
      </w:r>
      <w:r>
        <w:t xml:space="preserve"> P 28.</w:t>
      </w:r>
    </w:p>
  </w:footnote>
  <w:footnote w:id="47">
    <w:p w14:paraId="5BB1DAA9" w14:textId="77777777" w:rsidR="0053181C" w:rsidRDefault="0053181C">
      <w:pPr>
        <w:pStyle w:val="FootnoteText"/>
      </w:pPr>
      <w:r w:rsidRPr="00DB4AEE">
        <w:rPr>
          <w:rStyle w:val="FootnoteReference"/>
        </w:rPr>
        <w:footnoteRef/>
      </w:r>
      <w:r>
        <w:t xml:space="preserve"> </w:t>
      </w:r>
      <w:r>
        <w:rPr>
          <w:i/>
        </w:rPr>
        <w:t>See id.</w:t>
      </w:r>
      <w:r>
        <w:t xml:space="preserve"> P 28 (</w:t>
      </w:r>
      <w:r w:rsidRPr="0053181C">
        <w:t>citing</w:t>
      </w:r>
      <w:r w:rsidRPr="00E36962">
        <w:rPr>
          <w:i/>
        </w:rPr>
        <w:t xml:space="preserve"> Gila River Power, LLC</w:t>
      </w:r>
      <w:r>
        <w:t xml:space="preserve">, 141 FERC ¶ 61,136 (2012); </w:t>
      </w:r>
      <w:r w:rsidRPr="0053181C">
        <w:rPr>
          <w:i/>
        </w:rPr>
        <w:t>see also</w:t>
      </w:r>
      <w:r>
        <w:t xml:space="preserve"> </w:t>
      </w:r>
      <w:r w:rsidRPr="005549AF">
        <w:rPr>
          <w:i/>
        </w:rPr>
        <w:t>Constellation Energy Commodities Group, Inc.</w:t>
      </w:r>
      <w:r>
        <w:t>, 145 FERC ¶ 61,062 (2013</w:t>
      </w:r>
      <w:r w:rsidRPr="005A1451">
        <w:t>)</w:t>
      </w:r>
      <w:r w:rsidR="00336DCF">
        <w:t>)</w:t>
      </w:r>
      <w:r>
        <w:t>.</w:t>
      </w:r>
    </w:p>
  </w:footnote>
  <w:footnote w:id="48">
    <w:p w14:paraId="5BB1DAAA" w14:textId="77777777" w:rsidR="0053181C" w:rsidRDefault="0053181C" w:rsidP="001C616B">
      <w:pPr>
        <w:pStyle w:val="FootnoteText"/>
      </w:pPr>
      <w:r w:rsidRPr="00DB4AEE">
        <w:rPr>
          <w:rStyle w:val="FootnoteReference"/>
        </w:rPr>
        <w:footnoteRef/>
      </w:r>
      <w:r>
        <w:t xml:space="preserve"> </w:t>
      </w:r>
      <w:r>
        <w:rPr>
          <w:i/>
        </w:rPr>
        <w:t>Id.</w:t>
      </w:r>
      <w:r>
        <w:t xml:space="preserve"> P 16.</w:t>
      </w:r>
    </w:p>
  </w:footnote>
  <w:footnote w:id="49">
    <w:p w14:paraId="5BB1DAAB" w14:textId="77777777" w:rsidR="0053181C" w:rsidRDefault="0053181C">
      <w:pPr>
        <w:pStyle w:val="FootnoteText"/>
      </w:pPr>
      <w:r w:rsidRPr="00DB4AEE">
        <w:rPr>
          <w:rStyle w:val="FootnoteReference"/>
        </w:rPr>
        <w:footnoteRef/>
      </w:r>
      <w:r>
        <w:t xml:space="preserve"> </w:t>
      </w:r>
      <w:proofErr w:type="gramStart"/>
      <w:r>
        <w:t>NRECA at 11.</w:t>
      </w:r>
      <w:proofErr w:type="gramEnd"/>
    </w:p>
  </w:footnote>
  <w:footnote w:id="50">
    <w:p w14:paraId="5BB1DAAC" w14:textId="77777777" w:rsidR="0053181C" w:rsidRDefault="0053181C" w:rsidP="007D07EE">
      <w:pPr>
        <w:pStyle w:val="FootnoteText"/>
      </w:pPr>
      <w:r w:rsidRPr="00DB4AEE">
        <w:rPr>
          <w:rStyle w:val="FootnoteReference"/>
        </w:rPr>
        <w:footnoteRef/>
      </w:r>
      <w:r>
        <w:t xml:space="preserve"> </w:t>
      </w:r>
      <w:r w:rsidR="00D06AB7">
        <w:rPr>
          <w:i/>
        </w:rPr>
        <w:t>Id.</w:t>
      </w:r>
      <w:r w:rsidR="00D06AB7">
        <w:t xml:space="preserve"> </w:t>
      </w:r>
      <w:r>
        <w:t>at 9 (</w:t>
      </w:r>
      <w:r w:rsidRPr="0053181C">
        <w:t xml:space="preserve">citing </w:t>
      </w:r>
      <w:r w:rsidRPr="00F03718">
        <w:rPr>
          <w:i/>
        </w:rPr>
        <w:t>Duncan v. Walker</w:t>
      </w:r>
      <w:r>
        <w:t xml:space="preserve">, 533 U.S. 167 (2001); </w:t>
      </w:r>
      <w:r w:rsidRPr="00F03718">
        <w:rPr>
          <w:i/>
        </w:rPr>
        <w:t xml:space="preserve">United States v. </w:t>
      </w:r>
      <w:proofErr w:type="spellStart"/>
      <w:r w:rsidRPr="00F03718">
        <w:rPr>
          <w:i/>
        </w:rPr>
        <w:t>Menasche</w:t>
      </w:r>
      <w:proofErr w:type="spellEnd"/>
      <w:r>
        <w:t>, 348 U.S. 528 (1955)).</w:t>
      </w:r>
    </w:p>
  </w:footnote>
  <w:footnote w:id="51">
    <w:p w14:paraId="5BB1DAAD" w14:textId="77777777" w:rsidR="0053181C" w:rsidRPr="003167F1" w:rsidRDefault="0053181C">
      <w:pPr>
        <w:pStyle w:val="FootnoteText"/>
      </w:pPr>
      <w:r w:rsidRPr="00DB4AEE">
        <w:rPr>
          <w:rStyle w:val="FootnoteReference"/>
        </w:rPr>
        <w:footnoteRef/>
      </w:r>
      <w:r w:rsidRPr="003167F1">
        <w:t xml:space="preserve"> </w:t>
      </w:r>
      <w:r w:rsidR="00D06AB7" w:rsidRPr="00810EDD">
        <w:rPr>
          <w:i/>
        </w:rPr>
        <w:t>Id.</w:t>
      </w:r>
    </w:p>
  </w:footnote>
  <w:footnote w:id="52">
    <w:p w14:paraId="5BB1DAAE" w14:textId="77777777" w:rsidR="0053181C" w:rsidRPr="0053181C" w:rsidRDefault="0053181C" w:rsidP="007D07EE">
      <w:pPr>
        <w:pStyle w:val="FootnoteText"/>
        <w:rPr>
          <w:highlight w:val="yellow"/>
        </w:rPr>
      </w:pPr>
      <w:r w:rsidRPr="00DB4AEE">
        <w:rPr>
          <w:rStyle w:val="FootnoteReference"/>
        </w:rPr>
        <w:footnoteRef/>
      </w:r>
      <w:r w:rsidRPr="003167F1">
        <w:t xml:space="preserve"> Merriam-Webster Dictionary</w:t>
      </w:r>
      <w:r w:rsidRPr="0053181C">
        <w:t xml:space="preserve"> </w:t>
      </w:r>
      <w:r w:rsidRPr="0053181C">
        <w:rPr>
          <w:i/>
        </w:rPr>
        <w:t>available at</w:t>
      </w:r>
      <w:r w:rsidRPr="0053181C">
        <w:t xml:space="preserve">:  </w:t>
      </w:r>
      <w:hyperlink r:id="rId1" w:history="1">
        <w:r w:rsidR="00D06AB7" w:rsidRPr="00666F9B">
          <w:rPr>
            <w:rStyle w:val="Hyperlink"/>
          </w:rPr>
          <w:t>http://www.merriam-webster.com</w:t>
        </w:r>
      </w:hyperlink>
      <w:r w:rsidRPr="003167F1">
        <w:t>.</w:t>
      </w:r>
    </w:p>
  </w:footnote>
  <w:footnote w:id="53">
    <w:p w14:paraId="5BB1DAAF" w14:textId="77777777" w:rsidR="0053181C" w:rsidRDefault="0053181C">
      <w:pPr>
        <w:pStyle w:val="FootnoteText"/>
      </w:pPr>
      <w:r w:rsidRPr="00DB4AEE">
        <w:rPr>
          <w:rStyle w:val="FootnoteReference"/>
        </w:rPr>
        <w:footnoteRef/>
      </w:r>
      <w:r>
        <w:t xml:space="preserve"> </w:t>
      </w:r>
      <w:r w:rsidRPr="00BF26C2">
        <w:t xml:space="preserve">16 U.S.C. </w:t>
      </w:r>
      <w:r w:rsidR="00772C49">
        <w:t>§ </w:t>
      </w:r>
      <w:r w:rsidRPr="00BF26C2">
        <w:t xml:space="preserve">825j </w:t>
      </w:r>
      <w:r>
        <w:t xml:space="preserve">(2012) </w:t>
      </w:r>
      <w:r w:rsidRPr="00BF26C2">
        <w:t>(emphasis added)</w:t>
      </w:r>
      <w:r>
        <w:t>.</w:t>
      </w:r>
    </w:p>
  </w:footnote>
  <w:footnote w:id="54">
    <w:p w14:paraId="5BB1DAB0" w14:textId="77777777" w:rsidR="0053181C" w:rsidRDefault="0053181C" w:rsidP="00201336">
      <w:pPr>
        <w:pStyle w:val="FootnoteText"/>
      </w:pPr>
      <w:r w:rsidRPr="00DB4AEE">
        <w:rPr>
          <w:rStyle w:val="FootnoteReference"/>
        </w:rPr>
        <w:footnoteRef/>
      </w:r>
      <w:r>
        <w:t xml:space="preserve"> Order No. 771,</w:t>
      </w:r>
      <w:r w:rsidRPr="001D4A0B">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15.</w:t>
      </w:r>
      <w:proofErr w:type="gramEnd"/>
    </w:p>
  </w:footnote>
  <w:footnote w:id="55">
    <w:p w14:paraId="5BB1DAB1" w14:textId="77777777" w:rsidR="0053181C" w:rsidRDefault="0053181C" w:rsidP="00FA7CA9">
      <w:pPr>
        <w:pStyle w:val="FootnoteText"/>
      </w:pPr>
      <w:r w:rsidRPr="00DB4AEE">
        <w:rPr>
          <w:rStyle w:val="FootnoteReference"/>
        </w:rPr>
        <w:footnoteRef/>
      </w:r>
      <w:r>
        <w:t xml:space="preserve"> </w:t>
      </w:r>
      <w:r w:rsidR="00562F3A">
        <w:rPr>
          <w:i/>
        </w:rPr>
        <w:t>Id.</w:t>
      </w:r>
      <w:r w:rsidR="00562F3A">
        <w:t xml:space="preserve"> </w:t>
      </w:r>
      <w:r>
        <w:t>P 28.</w:t>
      </w:r>
    </w:p>
  </w:footnote>
  <w:footnote w:id="56">
    <w:p w14:paraId="5BB1DAB2" w14:textId="77777777" w:rsidR="0053181C" w:rsidRPr="00772C49" w:rsidRDefault="0053181C">
      <w:pPr>
        <w:pStyle w:val="FootnoteText"/>
      </w:pPr>
      <w:r w:rsidRPr="00DB4AEE">
        <w:rPr>
          <w:rStyle w:val="FootnoteReference"/>
        </w:rPr>
        <w:footnoteRef/>
      </w:r>
      <w:r>
        <w:t xml:space="preserve"> </w:t>
      </w:r>
      <w:r>
        <w:rPr>
          <w:i/>
        </w:rPr>
        <w:t>See infra</w:t>
      </w:r>
      <w:r w:rsidR="00772C49">
        <w:rPr>
          <w:i/>
        </w:rPr>
        <w:t xml:space="preserve"> </w:t>
      </w:r>
      <w:r w:rsidR="00772C49">
        <w:t>n.45.</w:t>
      </w:r>
    </w:p>
  </w:footnote>
  <w:footnote w:id="57">
    <w:p w14:paraId="5BB1DAB3" w14:textId="77777777" w:rsidR="0053181C" w:rsidRDefault="0053181C">
      <w:pPr>
        <w:pStyle w:val="FootnoteText"/>
      </w:pPr>
      <w:r w:rsidRPr="00DB4AEE">
        <w:rPr>
          <w:rStyle w:val="FootnoteReference"/>
        </w:rPr>
        <w:footnoteRef/>
      </w:r>
      <w:r>
        <w:t xml:space="preserve"> </w:t>
      </w:r>
      <w:r w:rsidRPr="00912282">
        <w:rPr>
          <w:i/>
          <w:szCs w:val="24"/>
        </w:rPr>
        <w:t>See</w:t>
      </w:r>
      <w:r>
        <w:t xml:space="preserve"> </w:t>
      </w:r>
      <w:r w:rsidRPr="00912282">
        <w:rPr>
          <w:i/>
          <w:szCs w:val="24"/>
        </w:rPr>
        <w:t>TRW Inc. v. Andrews</w:t>
      </w:r>
      <w:r w:rsidRPr="00912282">
        <w:rPr>
          <w:szCs w:val="24"/>
        </w:rPr>
        <w:t xml:space="preserve">, </w:t>
      </w:r>
      <w:r w:rsidR="00422121">
        <w:rPr>
          <w:szCs w:val="24"/>
        </w:rPr>
        <w:t>534</w:t>
      </w:r>
      <w:r w:rsidRPr="00912282">
        <w:rPr>
          <w:szCs w:val="24"/>
        </w:rPr>
        <w:t xml:space="preserve"> U.S. 1</w:t>
      </w:r>
      <w:r w:rsidR="00422121">
        <w:rPr>
          <w:szCs w:val="24"/>
        </w:rPr>
        <w:t>9, 31</w:t>
      </w:r>
      <w:r w:rsidRPr="00912282">
        <w:rPr>
          <w:szCs w:val="24"/>
        </w:rPr>
        <w:t xml:space="preserve"> (2001); </w:t>
      </w:r>
      <w:r w:rsidRPr="00912282">
        <w:rPr>
          <w:i/>
          <w:szCs w:val="24"/>
        </w:rPr>
        <w:t>see also Corley v. U.S.</w:t>
      </w:r>
      <w:r w:rsidRPr="00912282">
        <w:rPr>
          <w:szCs w:val="24"/>
        </w:rPr>
        <w:t xml:space="preserve">, </w:t>
      </w:r>
      <w:r w:rsidR="000B15E0">
        <w:rPr>
          <w:szCs w:val="24"/>
        </w:rPr>
        <w:br/>
        <w:t>556</w:t>
      </w:r>
      <w:r w:rsidRPr="00912282">
        <w:rPr>
          <w:szCs w:val="24"/>
        </w:rPr>
        <w:t xml:space="preserve"> U.S. </w:t>
      </w:r>
      <w:r w:rsidR="000B15E0">
        <w:rPr>
          <w:szCs w:val="24"/>
        </w:rPr>
        <w:t>303</w:t>
      </w:r>
      <w:r w:rsidR="00422121">
        <w:rPr>
          <w:szCs w:val="24"/>
        </w:rPr>
        <w:t xml:space="preserve">, </w:t>
      </w:r>
      <w:r w:rsidR="000B15E0">
        <w:rPr>
          <w:szCs w:val="24"/>
        </w:rPr>
        <w:t>314</w:t>
      </w:r>
      <w:r w:rsidRPr="00912282">
        <w:rPr>
          <w:szCs w:val="24"/>
        </w:rPr>
        <w:t xml:space="preserve"> (2009).</w:t>
      </w:r>
    </w:p>
  </w:footnote>
  <w:footnote w:id="58">
    <w:p w14:paraId="5BB1DAB4" w14:textId="77777777" w:rsidR="0053181C" w:rsidRDefault="0053181C" w:rsidP="005D24BE">
      <w:pPr>
        <w:pStyle w:val="FootnoteText"/>
      </w:pPr>
      <w:r w:rsidRPr="00DB4AEE">
        <w:rPr>
          <w:rStyle w:val="FootnoteReference"/>
        </w:rPr>
        <w:footnoteRef/>
      </w:r>
      <w:r>
        <w:t xml:space="preserve"> </w:t>
      </w:r>
      <w:r w:rsidRPr="0053181C">
        <w:rPr>
          <w:i/>
        </w:rPr>
        <w:t>See</w:t>
      </w:r>
      <w:r>
        <w:t xml:space="preserve"> FPA section 3(22</w:t>
      </w:r>
      <w:proofErr w:type="gramStart"/>
      <w:r>
        <w:t>)(</w:t>
      </w:r>
      <w:proofErr w:type="gramEnd"/>
      <w:r>
        <w:t>A).</w:t>
      </w:r>
    </w:p>
  </w:footnote>
  <w:footnote w:id="59">
    <w:p w14:paraId="5BB1DAB5" w14:textId="77777777" w:rsidR="0053181C" w:rsidRDefault="0053181C" w:rsidP="005D24BE">
      <w:pPr>
        <w:pStyle w:val="FootnoteText"/>
      </w:pPr>
      <w:r w:rsidRPr="00DB4AEE">
        <w:rPr>
          <w:rStyle w:val="FootnoteReference"/>
        </w:rPr>
        <w:footnoteRef/>
      </w:r>
      <w:r>
        <w:t xml:space="preserve"> </w:t>
      </w:r>
      <w:r w:rsidRPr="0053181C">
        <w:rPr>
          <w:i/>
        </w:rPr>
        <w:t>See</w:t>
      </w:r>
      <w:r>
        <w:t xml:space="preserve"> FPA section 3(23).</w:t>
      </w:r>
    </w:p>
  </w:footnote>
  <w:footnote w:id="60">
    <w:p w14:paraId="5BB1DAB6" w14:textId="77777777" w:rsidR="0053181C" w:rsidRDefault="0053181C" w:rsidP="00FE3B7A">
      <w:pPr>
        <w:pStyle w:val="FootnoteText"/>
      </w:pPr>
      <w:r w:rsidRPr="00DB4AEE">
        <w:rPr>
          <w:rStyle w:val="FootnoteReference"/>
        </w:rPr>
        <w:footnoteRef/>
      </w:r>
      <w:r>
        <w:t xml:space="preserve"> NRECA at 10 (</w:t>
      </w:r>
      <w:r w:rsidRPr="0053181C">
        <w:t xml:space="preserve">citing </w:t>
      </w:r>
      <w:r w:rsidRPr="00F03718">
        <w:rPr>
          <w:i/>
        </w:rPr>
        <w:t>Crandon v. United States</w:t>
      </w:r>
      <w:r>
        <w:t xml:space="preserve">, 494 U.S. 152, 158 (1990), </w:t>
      </w:r>
      <w:r w:rsidRPr="00F03718">
        <w:rPr>
          <w:i/>
        </w:rPr>
        <w:t>Kmart Corp. v. Cartier, Inc.</w:t>
      </w:r>
      <w:r>
        <w:t>, 486 U.S. 281, 291 (1988)).</w:t>
      </w:r>
    </w:p>
  </w:footnote>
  <w:footnote w:id="61">
    <w:p w14:paraId="5BB1DAB7" w14:textId="77777777" w:rsidR="0053181C" w:rsidRDefault="0053181C" w:rsidP="00FE3B7A">
      <w:pPr>
        <w:pStyle w:val="FootnoteText"/>
      </w:pPr>
      <w:r w:rsidRPr="00DB4AEE">
        <w:rPr>
          <w:rStyle w:val="FootnoteReference"/>
        </w:rPr>
        <w:footnoteRef/>
      </w:r>
      <w:r>
        <w:t xml:space="preserve"> FPA section 304(a) requires every licensee or public utility to file with the Commission annual or other periodic or special reports as the Commission may prescribe as necessary or appropriate to assist the Commission in the proper administration of the FPA.  </w:t>
      </w:r>
      <w:proofErr w:type="gramStart"/>
      <w:r>
        <w:t>16 U.S.C.</w:t>
      </w:r>
      <w:r w:rsidR="00772C49">
        <w:t xml:space="preserve"> §</w:t>
      </w:r>
      <w:r>
        <w:t> 304.</w:t>
      </w:r>
      <w:proofErr w:type="gramEnd"/>
    </w:p>
  </w:footnote>
  <w:footnote w:id="62">
    <w:p w14:paraId="5BB1DAB8" w14:textId="77777777" w:rsidR="0053181C" w:rsidRDefault="0053181C" w:rsidP="008233EF">
      <w:pPr>
        <w:pStyle w:val="FootnoteText"/>
      </w:pPr>
      <w:r w:rsidRPr="00DB4AEE">
        <w:rPr>
          <w:rStyle w:val="FootnoteReference"/>
        </w:rPr>
        <w:footnoteRef/>
      </w:r>
      <w:r>
        <w:t xml:space="preserve"> Order No. 771,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17.</w:t>
      </w:r>
      <w:proofErr w:type="gramEnd"/>
    </w:p>
  </w:footnote>
  <w:footnote w:id="63">
    <w:p w14:paraId="5BB1DAB9" w14:textId="77777777" w:rsidR="0053181C" w:rsidRDefault="0053181C">
      <w:pPr>
        <w:pStyle w:val="FootnoteText"/>
      </w:pPr>
      <w:r w:rsidRPr="00DB4AEE">
        <w:rPr>
          <w:rStyle w:val="FootnoteReference"/>
        </w:rPr>
        <w:footnoteRef/>
      </w:r>
      <w:r>
        <w:t xml:space="preserve"> </w:t>
      </w:r>
      <w:r w:rsidRPr="0053181C">
        <w:rPr>
          <w:i/>
        </w:rPr>
        <w:t>See</w:t>
      </w:r>
      <w:r>
        <w:t xml:space="preserve"> 16 U.S.C. </w:t>
      </w:r>
      <w:r w:rsidR="00772C49">
        <w:t>§§ </w:t>
      </w:r>
      <w:proofErr w:type="gramStart"/>
      <w:r>
        <w:t>825f(</w:t>
      </w:r>
      <w:proofErr w:type="gramEnd"/>
      <w:r>
        <w:t>b), 825f(c) and 825f(d).</w:t>
      </w:r>
    </w:p>
  </w:footnote>
  <w:footnote w:id="64">
    <w:p w14:paraId="5BB1DABA" w14:textId="77777777" w:rsidR="0053181C" w:rsidRDefault="0053181C">
      <w:pPr>
        <w:pStyle w:val="FootnoteText"/>
      </w:pPr>
      <w:r w:rsidRPr="00DB4AEE">
        <w:rPr>
          <w:rStyle w:val="FootnoteReference"/>
        </w:rPr>
        <w:footnoteRef/>
      </w:r>
      <w:r>
        <w:t xml:space="preserve"> In particular, s</w:t>
      </w:r>
      <w:r w:rsidRPr="003B7A56">
        <w:t>ection 1b.2 of the Commission’s regulations</w:t>
      </w:r>
      <w:r>
        <w:t>, 18 C.F.R. 1b.2,</w:t>
      </w:r>
      <w:r w:rsidRPr="003B7A56">
        <w:t xml:space="preserve"> </w:t>
      </w:r>
      <w:r>
        <w:t>provides</w:t>
      </w:r>
      <w:r w:rsidRPr="003B7A56">
        <w:t xml:space="preserve"> that Part 1b “applies to investigations conducted by the Commission but does not apply to adjudicative proceedings.”</w:t>
      </w:r>
    </w:p>
  </w:footnote>
  <w:footnote w:id="65">
    <w:p w14:paraId="5BB1DABB" w14:textId="77777777" w:rsidR="0053181C" w:rsidRDefault="0053181C">
      <w:pPr>
        <w:pStyle w:val="FootnoteText"/>
      </w:pPr>
      <w:r w:rsidRPr="00DB4AEE">
        <w:rPr>
          <w:rStyle w:val="FootnoteReference"/>
        </w:rPr>
        <w:footnoteRef/>
      </w:r>
      <w:r>
        <w:t xml:space="preserve"> </w:t>
      </w:r>
      <w:r w:rsidRPr="00495F98">
        <w:rPr>
          <w:i/>
        </w:rPr>
        <w:t xml:space="preserve">See, e.g., </w:t>
      </w:r>
      <w:r w:rsidRPr="00252B4A">
        <w:rPr>
          <w:i/>
        </w:rPr>
        <w:t>Reporting on North American Energy Standards Board Public Key Infrastructure Standards</w:t>
      </w:r>
      <w:r>
        <w:t>, 140 FERC ¶</w:t>
      </w:r>
      <w:r w:rsidR="00562F3A">
        <w:t> </w:t>
      </w:r>
      <w:r>
        <w:t>61,066 (2012) (where the Commission instituted a section 307(a) proceeding to investigate the facts and practices surrounding the implementation of certain NAESB standards by requiring entities, including those not otherwise subject to the Commission’s jurisdiction as a public utility, to submit a report)</w:t>
      </w:r>
      <w:r w:rsidR="008C2B12">
        <w:t>.</w:t>
      </w:r>
    </w:p>
  </w:footnote>
  <w:footnote w:id="66">
    <w:p w14:paraId="5BB1DABC" w14:textId="77777777" w:rsidR="0053181C" w:rsidRDefault="0053181C" w:rsidP="00495F98">
      <w:pPr>
        <w:pStyle w:val="FootnoteText"/>
      </w:pPr>
      <w:r w:rsidRPr="00DB4AEE">
        <w:rPr>
          <w:rStyle w:val="FootnoteReference"/>
        </w:rPr>
        <w:footnoteRef/>
      </w:r>
      <w:r>
        <w:t xml:space="preserve"> </w:t>
      </w:r>
      <w:r w:rsidRPr="009276E9">
        <w:rPr>
          <w:i/>
        </w:rPr>
        <w:t>See</w:t>
      </w:r>
      <w:r>
        <w:rPr>
          <w:i/>
        </w:rPr>
        <w:t>, e.g.,</w:t>
      </w:r>
      <w:r>
        <w:t xml:space="preserve"> </w:t>
      </w:r>
      <w:r w:rsidRPr="00912969">
        <w:rPr>
          <w:i/>
        </w:rPr>
        <w:t>Policy Statement on the Commission’s Role Regarding the Environmental Protection Agency’s Mercury and Air Toxics Standards</w:t>
      </w:r>
      <w:r>
        <w:t>, 139 FERC ¶</w:t>
      </w:r>
      <w:r w:rsidR="00562F3A">
        <w:t> </w:t>
      </w:r>
      <w:r>
        <w:t xml:space="preserve">61,131 (2012) (where the Commission stated that it will use its general investigative authority under FPA section 307(a) to examine whether there might be a violation </w:t>
      </w:r>
      <w:r w:rsidR="00B4048F">
        <w:br/>
      </w:r>
      <w:r>
        <w:t>of a Commission-approved Reliability Standard in connection with advising the Environmental Protection Agency on requests by certain generating units to operate in noncompliance with EPA’s Mercury and Air Toxics Standards)</w:t>
      </w:r>
      <w:r w:rsidR="008C2B12">
        <w:t>.</w:t>
      </w:r>
    </w:p>
  </w:footnote>
  <w:footnote w:id="67">
    <w:p w14:paraId="5BB1DABD" w14:textId="77777777" w:rsidR="0053181C" w:rsidRDefault="0053181C">
      <w:pPr>
        <w:pStyle w:val="FootnoteText"/>
      </w:pPr>
      <w:r w:rsidRPr="00DB4AEE">
        <w:rPr>
          <w:rStyle w:val="FootnoteReference"/>
        </w:rPr>
        <w:footnoteRef/>
      </w:r>
      <w:r>
        <w:t xml:space="preserve"> </w:t>
      </w:r>
      <w:r w:rsidRPr="00A96ADB">
        <w:rPr>
          <w:i/>
        </w:rPr>
        <w:t>See</w:t>
      </w:r>
      <w:r>
        <w:t xml:space="preserve"> Order No. 771,</w:t>
      </w:r>
      <w:r w:rsidRPr="00FA53D4">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 31,339</w:t>
      </w:r>
      <w:r>
        <w:t xml:space="preserve"> at P 19</w:t>
      </w:r>
      <w:r w:rsidR="00E35030">
        <w:t xml:space="preserve"> &amp; n.47 (citing</w:t>
      </w:r>
      <w:r w:rsidR="00522CC4">
        <w:t xml:space="preserve">, </w:t>
      </w:r>
      <w:r w:rsidR="00522CC4" w:rsidRPr="00336DCF">
        <w:rPr>
          <w:i/>
        </w:rPr>
        <w:t>e.g.</w:t>
      </w:r>
      <w:r w:rsidR="00522CC4">
        <w:t>,</w:t>
      </w:r>
      <w:r w:rsidR="00E35030">
        <w:t xml:space="preserve"> </w:t>
      </w:r>
      <w:r w:rsidR="00E35030" w:rsidRPr="00336DCF">
        <w:rPr>
          <w:i/>
        </w:rPr>
        <w:t>Enhancement of Electricity Market Surveillance and Analysis through Ongoing Electronic Delivery of Data from Regional Transmission Organizations and Independent System Operators</w:t>
      </w:r>
      <w:r w:rsidR="00E35030">
        <w:t>, Order No.</w:t>
      </w:r>
      <w:r w:rsidR="00522CC4">
        <w:t xml:space="preserve"> 760,</w:t>
      </w:r>
      <w:r w:rsidR="00E35030">
        <w:t xml:space="preserve"> FERC Stats. &amp; </w:t>
      </w:r>
      <w:proofErr w:type="spellStart"/>
      <w:r w:rsidR="00E35030">
        <w:t>Regs</w:t>
      </w:r>
      <w:proofErr w:type="spellEnd"/>
      <w:r w:rsidR="00E35030">
        <w:t xml:space="preserve">. </w:t>
      </w:r>
      <w:proofErr w:type="gramStart"/>
      <w:r w:rsidR="00E35030">
        <w:t>¶ 31,</w:t>
      </w:r>
      <w:r w:rsidR="00522CC4">
        <w:t>330 (2012)</w:t>
      </w:r>
      <w:r w:rsidR="008621C3">
        <w:t>)</w:t>
      </w:r>
      <w:r>
        <w:t>.</w:t>
      </w:r>
      <w:proofErr w:type="gramEnd"/>
    </w:p>
  </w:footnote>
  <w:footnote w:id="68">
    <w:p w14:paraId="5BB1DABE" w14:textId="77777777" w:rsidR="0053181C" w:rsidRDefault="0053181C">
      <w:pPr>
        <w:pStyle w:val="FootnoteText"/>
      </w:pPr>
      <w:r w:rsidRPr="00DB4AEE">
        <w:rPr>
          <w:rStyle w:val="FootnoteReference"/>
        </w:rPr>
        <w:footnoteRef/>
      </w:r>
      <w:r>
        <w:t xml:space="preserve"> </w:t>
      </w:r>
      <w:r w:rsidRPr="00A96ADB">
        <w:rPr>
          <w:i/>
        </w:rPr>
        <w:t>See</w:t>
      </w:r>
      <w:r>
        <w:t xml:space="preserve"> </w:t>
      </w:r>
      <w:r w:rsidR="00562F3A">
        <w:rPr>
          <w:i/>
        </w:rPr>
        <w:t>id.</w:t>
      </w:r>
      <w:r w:rsidR="00562F3A">
        <w:t xml:space="preserve"> </w:t>
      </w:r>
      <w:r w:rsidR="00B4048F">
        <w:t>P 17, n.</w:t>
      </w:r>
      <w:r>
        <w:t xml:space="preserve">47.  The Commission also relied on its investigative authority under FPA section 307(a) in a recent proposal to collect certain information about </w:t>
      </w:r>
      <w:r w:rsidR="00B4048F">
        <w:br/>
      </w:r>
      <w:r>
        <w:t xml:space="preserve">entities connected to market participants.  </w:t>
      </w:r>
      <w:r w:rsidRPr="0053181C">
        <w:rPr>
          <w:i/>
        </w:rPr>
        <w:t>See Collection of Connected Entity Data from Regional Transmission Organizations and Independent System Operators</w:t>
      </w:r>
      <w:r>
        <w:t>, Notice of Proposed Rulemaking, 152 FERC ¶</w:t>
      </w:r>
      <w:r w:rsidR="00F818AB">
        <w:t> </w:t>
      </w:r>
      <w:r>
        <w:t>61,219 (2015).</w:t>
      </w:r>
    </w:p>
  </w:footnote>
  <w:footnote w:id="69">
    <w:p w14:paraId="5BB1DABF" w14:textId="77777777" w:rsidR="0053181C" w:rsidRDefault="0053181C" w:rsidP="0070009E">
      <w:pPr>
        <w:pStyle w:val="FootnoteText"/>
      </w:pPr>
      <w:r w:rsidRPr="00DB4AEE">
        <w:rPr>
          <w:rStyle w:val="FootnoteReference"/>
        </w:rPr>
        <w:footnoteRef/>
      </w:r>
      <w:r>
        <w:t xml:space="preserve"> </w:t>
      </w:r>
      <w:r w:rsidRPr="0037057F">
        <w:rPr>
          <w:i/>
        </w:rPr>
        <w:t>See</w:t>
      </w:r>
      <w:r>
        <w:t xml:space="preserve"> Order No. 771,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18.</w:t>
      </w:r>
      <w:proofErr w:type="gramEnd"/>
    </w:p>
  </w:footnote>
  <w:footnote w:id="70">
    <w:p w14:paraId="5BB1DAC0" w14:textId="77777777" w:rsidR="0053181C" w:rsidRDefault="0053181C" w:rsidP="00990035">
      <w:pPr>
        <w:pStyle w:val="FootnoteText"/>
      </w:pPr>
      <w:r w:rsidRPr="00DB4AEE">
        <w:rPr>
          <w:rStyle w:val="FootnoteReference"/>
        </w:rPr>
        <w:footnoteRef/>
      </w:r>
      <w:r>
        <w:t xml:space="preserve"> </w:t>
      </w:r>
      <w:proofErr w:type="gramStart"/>
      <w:r>
        <w:t>338 U.S. at 641.</w:t>
      </w:r>
      <w:proofErr w:type="gramEnd"/>
    </w:p>
  </w:footnote>
  <w:footnote w:id="71">
    <w:p w14:paraId="5BB1DAC1" w14:textId="77777777" w:rsidR="0053181C" w:rsidRDefault="0053181C" w:rsidP="001D6501">
      <w:pPr>
        <w:pStyle w:val="FootnoteText"/>
      </w:pPr>
      <w:r w:rsidRPr="00DB4AEE">
        <w:rPr>
          <w:rStyle w:val="FootnoteReference"/>
        </w:rPr>
        <w:footnoteRef/>
      </w:r>
      <w:r w:rsidR="00562F3A">
        <w:t xml:space="preserve"> </w:t>
      </w:r>
      <w:proofErr w:type="gramStart"/>
      <w:r w:rsidR="00562F3A">
        <w:rPr>
          <w:i/>
        </w:rPr>
        <w:t>Id</w:t>
      </w:r>
      <w:r>
        <w:t>. at 642-43.</w:t>
      </w:r>
      <w:proofErr w:type="gramEnd"/>
    </w:p>
  </w:footnote>
  <w:footnote w:id="72">
    <w:p w14:paraId="5BB1DAC2" w14:textId="77777777" w:rsidR="0053181C" w:rsidRDefault="0053181C">
      <w:pPr>
        <w:pStyle w:val="FootnoteText"/>
      </w:pPr>
      <w:r w:rsidRPr="00DB4AEE">
        <w:rPr>
          <w:rStyle w:val="FootnoteReference"/>
        </w:rPr>
        <w:footnoteRef/>
      </w:r>
      <w:r w:rsidRPr="004223A2">
        <w:t xml:space="preserve"> </w:t>
      </w:r>
      <w:r w:rsidRPr="004223A2">
        <w:rPr>
          <w:i/>
        </w:rPr>
        <w:t>See</w:t>
      </w:r>
      <w:r w:rsidRPr="004223A2">
        <w:t xml:space="preserve"> Order No. 771, FERC Stats</w:t>
      </w:r>
      <w:r w:rsidRPr="0053181C">
        <w:t>.</w:t>
      </w:r>
      <w:r w:rsidRPr="004223A2">
        <w:t xml:space="preserve"> </w:t>
      </w:r>
      <w:proofErr w:type="gramStart"/>
      <w:r w:rsidRPr="004223A2">
        <w:t xml:space="preserve">&amp; </w:t>
      </w:r>
      <w:proofErr w:type="spellStart"/>
      <w:r w:rsidRPr="004223A2">
        <w:t>Regs</w:t>
      </w:r>
      <w:proofErr w:type="spellEnd"/>
      <w:r w:rsidRPr="0053181C">
        <w:t>.</w:t>
      </w:r>
      <w:proofErr w:type="gramEnd"/>
      <w:r w:rsidRPr="004223A2">
        <w:t xml:space="preserve"> </w:t>
      </w:r>
      <w:proofErr w:type="gramStart"/>
      <w:r w:rsidRPr="004223A2">
        <w:t>¶ 31,339 at P 18</w:t>
      </w:r>
      <w:r w:rsidRPr="0053181C">
        <w:t xml:space="preserve"> (citing </w:t>
      </w:r>
      <w:r w:rsidRPr="0053181C">
        <w:rPr>
          <w:i/>
        </w:rPr>
        <w:t>Morton Salt</w:t>
      </w:r>
      <w:r w:rsidRPr="0053181C">
        <w:t>, 338 U.S. at 642)</w:t>
      </w:r>
      <w:r w:rsidRPr="004223A2">
        <w:t>.</w:t>
      </w:r>
      <w:proofErr w:type="gramEnd"/>
    </w:p>
  </w:footnote>
  <w:footnote w:id="73">
    <w:p w14:paraId="5BB1DAC3" w14:textId="77777777" w:rsidR="0053181C" w:rsidRDefault="0053181C" w:rsidP="00A62420">
      <w:pPr>
        <w:pStyle w:val="FootnoteText"/>
      </w:pPr>
      <w:r w:rsidRPr="00DB4AEE">
        <w:rPr>
          <w:rStyle w:val="FootnoteReference"/>
        </w:rPr>
        <w:footnoteRef/>
      </w:r>
      <w:r>
        <w:t xml:space="preserve"> </w:t>
      </w:r>
      <w:proofErr w:type="gramStart"/>
      <w:r>
        <w:t>338 U.S. at 648.</w:t>
      </w:r>
      <w:proofErr w:type="gramEnd"/>
    </w:p>
  </w:footnote>
  <w:footnote w:id="74">
    <w:p w14:paraId="5BB1DAC4" w14:textId="77777777" w:rsidR="0053181C" w:rsidRDefault="0053181C" w:rsidP="005229AF">
      <w:pPr>
        <w:pStyle w:val="FootnoteText"/>
      </w:pPr>
      <w:r w:rsidRPr="00DB4AEE">
        <w:rPr>
          <w:rStyle w:val="FootnoteReference"/>
        </w:rPr>
        <w:footnoteRef/>
      </w:r>
      <w:r>
        <w:t xml:space="preserve"> Southern Companies consist of Southern Company Services, Inc. acting as agent for Alabama Power Company, Georgia Power Company, Gulf Power Company, Mississippi Power Company, and Southern Power Company.</w:t>
      </w:r>
    </w:p>
  </w:footnote>
  <w:footnote w:id="75">
    <w:p w14:paraId="5BB1DAC5" w14:textId="77777777" w:rsidR="003747D4" w:rsidRDefault="003747D4">
      <w:pPr>
        <w:pStyle w:val="FootnoteText"/>
      </w:pPr>
      <w:r>
        <w:rPr>
          <w:rStyle w:val="FootnoteReference"/>
        </w:rPr>
        <w:footnoteRef/>
      </w:r>
      <w:r>
        <w:t xml:space="preserve"> </w:t>
      </w:r>
      <w:proofErr w:type="gramStart"/>
      <w:r w:rsidRPr="00810EDD">
        <w:rPr>
          <w:i/>
        </w:rPr>
        <w:t>Availability of E-Tag Information to Commission Staff</w:t>
      </w:r>
      <w:r>
        <w:t xml:space="preserve">, Notice of Proposed </w:t>
      </w:r>
      <w:r w:rsidR="00D42FF6">
        <w:t>R</w:t>
      </w:r>
      <w:r>
        <w:t>ulemaking, FERC Stats.</w:t>
      </w:r>
      <w:proofErr w:type="gramEnd"/>
      <w:r>
        <w:t xml:space="preserve"> </w:t>
      </w:r>
      <w:proofErr w:type="gramStart"/>
      <w:r>
        <w:t xml:space="preserve">&amp; </w:t>
      </w:r>
      <w:proofErr w:type="spellStart"/>
      <w:r>
        <w:t>Regs</w:t>
      </w:r>
      <w:proofErr w:type="spellEnd"/>
      <w:r>
        <w:t>.</w:t>
      </w:r>
      <w:proofErr w:type="gramEnd"/>
      <w:r>
        <w:t xml:space="preserve"> </w:t>
      </w:r>
      <w:proofErr w:type="gramStart"/>
      <w:r>
        <w:t>¶ 3</w:t>
      </w:r>
      <w:r w:rsidR="00D42FF6">
        <w:t>2</w:t>
      </w:r>
      <w:r>
        <w:t>,</w:t>
      </w:r>
      <w:r w:rsidR="00D42FF6">
        <w:t>675</w:t>
      </w:r>
      <w:r>
        <w:t xml:space="preserve"> (201</w:t>
      </w:r>
      <w:r w:rsidR="00D42FF6">
        <w:t>1</w:t>
      </w:r>
      <w:r>
        <w:t>)</w:t>
      </w:r>
      <w:r w:rsidR="00D42FF6">
        <w:t xml:space="preserve"> (E-Tag NOPR).</w:t>
      </w:r>
      <w:proofErr w:type="gramEnd"/>
    </w:p>
  </w:footnote>
  <w:footnote w:id="76">
    <w:p w14:paraId="5BB1DAC6" w14:textId="77777777" w:rsidR="0053181C" w:rsidRDefault="0053181C" w:rsidP="005229AF">
      <w:pPr>
        <w:pStyle w:val="FootnoteText"/>
      </w:pPr>
      <w:r w:rsidRPr="00DB4AEE">
        <w:rPr>
          <w:rStyle w:val="FootnoteReference"/>
        </w:rPr>
        <w:footnoteRef/>
      </w:r>
      <w:r>
        <w:t xml:space="preserve"> Southern Companies at 1-2 (</w:t>
      </w:r>
      <w:r w:rsidRPr="0053181C">
        <w:t xml:space="preserve">citing </w:t>
      </w:r>
      <w:r>
        <w:rPr>
          <w:i/>
        </w:rPr>
        <w:t>Int’l Union, United Mine</w:t>
      </w:r>
      <w:r w:rsidR="00213C62">
        <w:rPr>
          <w:i/>
        </w:rPr>
        <w:t xml:space="preserve"> Workers of Am. v. Mine Safety and</w:t>
      </w:r>
      <w:r>
        <w:rPr>
          <w:i/>
        </w:rPr>
        <w:t xml:space="preserve"> Health Admin.</w:t>
      </w:r>
      <w:r>
        <w:t xml:space="preserve">, 407 F.3d 1250, 1259 (D.C. Cir. 2005); </w:t>
      </w:r>
      <w:r>
        <w:rPr>
          <w:i/>
        </w:rPr>
        <w:t>Northeast Md. Waste Disposal Auth. v. EPA</w:t>
      </w:r>
      <w:r>
        <w:t>, 358 F.3d 936, 951-52 (D.C. Cir. 2004)).</w:t>
      </w:r>
    </w:p>
  </w:footnote>
  <w:footnote w:id="77">
    <w:p w14:paraId="5BB1DAC7" w14:textId="77777777" w:rsidR="0053181C" w:rsidRDefault="0053181C" w:rsidP="00A02C78">
      <w:pPr>
        <w:pStyle w:val="FootnoteText"/>
      </w:pPr>
      <w:r w:rsidRPr="00DB4AEE">
        <w:rPr>
          <w:rStyle w:val="FootnoteReference"/>
        </w:rPr>
        <w:footnoteRef/>
      </w:r>
      <w:r>
        <w:t xml:space="preserve"> </w:t>
      </w:r>
      <w:r w:rsidR="00562F3A">
        <w:rPr>
          <w:i/>
        </w:rPr>
        <w:t>Id.</w:t>
      </w:r>
      <w:r w:rsidR="00562F3A">
        <w:t xml:space="preserve"> </w:t>
      </w:r>
      <w:r>
        <w:t>at 4 (</w:t>
      </w:r>
      <w:r w:rsidRPr="005E607A">
        <w:t xml:space="preserve">citing </w:t>
      </w:r>
      <w:proofErr w:type="spellStart"/>
      <w:r w:rsidRPr="00912FC4">
        <w:rPr>
          <w:i/>
        </w:rPr>
        <w:t>As</w:t>
      </w:r>
      <w:r w:rsidR="00213C62">
        <w:rPr>
          <w:i/>
        </w:rPr>
        <w:t>s’n</w:t>
      </w:r>
      <w:proofErr w:type="spellEnd"/>
      <w:r w:rsidR="00213C62">
        <w:rPr>
          <w:i/>
        </w:rPr>
        <w:t xml:space="preserve"> of Private Sector Colleges and</w:t>
      </w:r>
      <w:r w:rsidRPr="00912FC4">
        <w:rPr>
          <w:i/>
        </w:rPr>
        <w:t xml:space="preserve"> </w:t>
      </w:r>
      <w:proofErr w:type="spellStart"/>
      <w:r w:rsidRPr="00912FC4">
        <w:rPr>
          <w:i/>
        </w:rPr>
        <w:t>Univs</w:t>
      </w:r>
      <w:proofErr w:type="spellEnd"/>
      <w:r w:rsidRPr="00912FC4">
        <w:rPr>
          <w:i/>
        </w:rPr>
        <w:t xml:space="preserve">. </w:t>
      </w:r>
      <w:r>
        <w:rPr>
          <w:i/>
        </w:rPr>
        <w:t>v</w:t>
      </w:r>
      <w:r w:rsidRPr="00912FC4">
        <w:rPr>
          <w:i/>
        </w:rPr>
        <w:t>. Duncan</w:t>
      </w:r>
      <w:r>
        <w:t>, 681 F.3d 427, 462 (D.C. Cir. 2012) (</w:t>
      </w:r>
      <w:r w:rsidRPr="005E607A">
        <w:t xml:space="preserve">quoting </w:t>
      </w:r>
      <w:r w:rsidRPr="00912FC4">
        <w:rPr>
          <w:i/>
        </w:rPr>
        <w:t>CSX Transp., Inc</w:t>
      </w:r>
      <w:r>
        <w:t>.</w:t>
      </w:r>
      <w:r w:rsidR="00213C62">
        <w:t xml:space="preserve"> </w:t>
      </w:r>
      <w:r w:rsidR="00213C62" w:rsidRPr="00213C62">
        <w:rPr>
          <w:i/>
        </w:rPr>
        <w:t>v. Surface Transp. Bd</w:t>
      </w:r>
      <w:r w:rsidR="00213C62">
        <w:t>.</w:t>
      </w:r>
      <w:r>
        <w:t>, 584 F.3d 1076 at 1081-82 (D.C. Cir. 2009)).</w:t>
      </w:r>
    </w:p>
  </w:footnote>
  <w:footnote w:id="78">
    <w:p w14:paraId="5BB1DAC8" w14:textId="77777777" w:rsidR="0053181C" w:rsidRDefault="0053181C" w:rsidP="005229AF">
      <w:pPr>
        <w:pStyle w:val="FootnoteText"/>
      </w:pPr>
      <w:r w:rsidRPr="00DB4AEE">
        <w:rPr>
          <w:rStyle w:val="FootnoteReference"/>
        </w:rPr>
        <w:footnoteRef/>
      </w:r>
      <w:r w:rsidR="00562F3A">
        <w:rPr>
          <w:i/>
        </w:rPr>
        <w:t>Id</w:t>
      </w:r>
      <w:r>
        <w:t>.</w:t>
      </w:r>
    </w:p>
  </w:footnote>
  <w:footnote w:id="79">
    <w:p w14:paraId="5BB1DAC9" w14:textId="77777777" w:rsidR="0053181C" w:rsidRDefault="0053181C" w:rsidP="00A02C78">
      <w:pPr>
        <w:pStyle w:val="FootnoteText"/>
      </w:pPr>
      <w:r w:rsidRPr="00DB4AEE">
        <w:rPr>
          <w:rStyle w:val="FootnoteReference"/>
        </w:rPr>
        <w:footnoteRef/>
      </w:r>
      <w:r>
        <w:t xml:space="preserve"> </w:t>
      </w:r>
      <w:r w:rsidR="00562F3A">
        <w:rPr>
          <w:i/>
        </w:rPr>
        <w:t xml:space="preserve">Id. </w:t>
      </w:r>
      <w:r>
        <w:t>(</w:t>
      </w:r>
      <w:r w:rsidRPr="005E607A">
        <w:t xml:space="preserve">citing </w:t>
      </w:r>
      <w:r w:rsidRPr="00912FC4">
        <w:rPr>
          <w:i/>
        </w:rPr>
        <w:t>Northeast Md. Waste Disposal Auth. v. EPA</w:t>
      </w:r>
      <w:r>
        <w:t>, 358 F.3d 936, 951-52 (D.C. Cir. 2004)).</w:t>
      </w:r>
    </w:p>
  </w:footnote>
  <w:footnote w:id="80">
    <w:p w14:paraId="5BB1DACA" w14:textId="77777777" w:rsidR="0053181C" w:rsidRDefault="0053181C" w:rsidP="005229AF">
      <w:pPr>
        <w:pStyle w:val="FootnoteText"/>
      </w:pPr>
      <w:r w:rsidRPr="00DB4AEE">
        <w:rPr>
          <w:rStyle w:val="FootnoteReference"/>
        </w:rPr>
        <w:footnoteRef/>
      </w:r>
      <w:r>
        <w:t xml:space="preserve"> </w:t>
      </w:r>
      <w:proofErr w:type="gramStart"/>
      <w:r w:rsidR="00562F3A">
        <w:rPr>
          <w:i/>
        </w:rPr>
        <w:t>Id.</w:t>
      </w:r>
      <w:r w:rsidR="00562F3A">
        <w:t xml:space="preserve"> </w:t>
      </w:r>
      <w:r>
        <w:t xml:space="preserve">at 5 </w:t>
      </w:r>
      <w:r w:rsidR="003747D4">
        <w:t>(</w:t>
      </w:r>
      <w:r w:rsidRPr="005E607A">
        <w:t xml:space="preserve">citing </w:t>
      </w:r>
      <w:r>
        <w:t>E-Tag NOPR</w:t>
      </w:r>
      <w:r w:rsidR="00D42FF6">
        <w:t xml:space="preserve">, </w:t>
      </w:r>
      <w:r w:rsidR="00D42FF6" w:rsidRPr="00D42FF6">
        <w:t xml:space="preserve">FERC Stats. &amp; </w:t>
      </w:r>
      <w:proofErr w:type="spellStart"/>
      <w:r w:rsidR="00D42FF6" w:rsidRPr="00D42FF6">
        <w:t>Regs</w:t>
      </w:r>
      <w:proofErr w:type="spellEnd"/>
      <w:r w:rsidR="00D42FF6" w:rsidRPr="00D42FF6">
        <w:t>.</w:t>
      </w:r>
      <w:proofErr w:type="gramEnd"/>
      <w:r w:rsidR="00D42FF6" w:rsidRPr="00D42FF6">
        <w:t xml:space="preserve"> </w:t>
      </w:r>
      <w:proofErr w:type="gramStart"/>
      <w:r w:rsidR="00D42FF6" w:rsidRPr="00D42FF6">
        <w:t>¶ 32,675</w:t>
      </w:r>
      <w:r>
        <w:t xml:space="preserve"> at P 20</w:t>
      </w:r>
      <w:r w:rsidR="003747D4">
        <w:t>)</w:t>
      </w:r>
      <w:r>
        <w:t>.</w:t>
      </w:r>
      <w:proofErr w:type="gramEnd"/>
    </w:p>
  </w:footnote>
  <w:footnote w:id="81">
    <w:p w14:paraId="5BB1DACB" w14:textId="77777777" w:rsidR="0053181C" w:rsidRDefault="0053181C" w:rsidP="005229AF">
      <w:pPr>
        <w:pStyle w:val="FootnoteText"/>
      </w:pPr>
      <w:r w:rsidRPr="00DB4AEE">
        <w:rPr>
          <w:rStyle w:val="FootnoteReference"/>
        </w:rPr>
        <w:footnoteRef/>
      </w:r>
      <w:r>
        <w:t xml:space="preserve"> </w:t>
      </w:r>
      <w:proofErr w:type="gramStart"/>
      <w:r w:rsidR="00562F3A">
        <w:rPr>
          <w:i/>
        </w:rPr>
        <w:t>Id.</w:t>
      </w:r>
      <w:r w:rsidR="00562F3A">
        <w:t xml:space="preserve"> </w:t>
      </w:r>
      <w:r>
        <w:t>(</w:t>
      </w:r>
      <w:r w:rsidRPr="005E607A">
        <w:t xml:space="preserve">citing </w:t>
      </w:r>
      <w:r>
        <w:t>Order No. 771,</w:t>
      </w:r>
      <w:r w:rsidRPr="004F7023">
        <w:t xml:space="preserve"> </w:t>
      </w:r>
      <w:r w:rsidRPr="006C343C">
        <w:t xml:space="preserve">FERC Stats &amp; </w:t>
      </w:r>
      <w:proofErr w:type="spellStart"/>
      <w:r w:rsidRPr="006C343C">
        <w:t>Regs</w:t>
      </w:r>
      <w:proofErr w:type="spellEnd"/>
      <w:r w:rsidRPr="006C343C">
        <w:t xml:space="preserve"> ¶ 31,339</w:t>
      </w:r>
      <w:r>
        <w:t xml:space="preserve"> at P 65).</w:t>
      </w:r>
      <w:proofErr w:type="gramEnd"/>
    </w:p>
  </w:footnote>
  <w:footnote w:id="82">
    <w:p w14:paraId="5BB1DACC" w14:textId="77777777" w:rsidR="0053181C" w:rsidRDefault="0053181C" w:rsidP="005229AF">
      <w:pPr>
        <w:pStyle w:val="FootnoteText"/>
      </w:pPr>
      <w:r w:rsidRPr="00DB4AEE">
        <w:rPr>
          <w:rStyle w:val="FootnoteReference"/>
        </w:rPr>
        <w:footnoteRef/>
      </w:r>
      <w:r w:rsidR="00562F3A">
        <w:t xml:space="preserve"> </w:t>
      </w:r>
      <w:r w:rsidR="00562F3A">
        <w:rPr>
          <w:i/>
        </w:rPr>
        <w:t>Id</w:t>
      </w:r>
      <w:r>
        <w:t>.</w:t>
      </w:r>
    </w:p>
  </w:footnote>
  <w:footnote w:id="83">
    <w:p w14:paraId="5BB1DACD" w14:textId="77777777" w:rsidR="0053181C" w:rsidRDefault="0053181C" w:rsidP="005229AF">
      <w:pPr>
        <w:pStyle w:val="FootnoteText"/>
      </w:pPr>
      <w:r w:rsidRPr="00DB4AEE">
        <w:rPr>
          <w:rStyle w:val="FootnoteReference"/>
        </w:rPr>
        <w:footnoteRef/>
      </w:r>
      <w:r w:rsidR="00562F3A">
        <w:t xml:space="preserve"> </w:t>
      </w:r>
      <w:r w:rsidR="00562F3A">
        <w:rPr>
          <w:i/>
        </w:rPr>
        <w:t>Id</w:t>
      </w:r>
      <w:r>
        <w:t>.</w:t>
      </w:r>
    </w:p>
  </w:footnote>
  <w:footnote w:id="84">
    <w:p w14:paraId="5BB1DACE" w14:textId="77777777" w:rsidR="0053181C" w:rsidRDefault="0053181C">
      <w:pPr>
        <w:pStyle w:val="FootnoteText"/>
      </w:pPr>
      <w:r w:rsidRPr="00DB4AEE">
        <w:rPr>
          <w:rStyle w:val="FootnoteReference"/>
        </w:rPr>
        <w:footnoteRef/>
      </w:r>
      <w:r>
        <w:t xml:space="preserve"> Order No. 771,</w:t>
      </w:r>
      <w:r w:rsidRPr="00BF7A39">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32.</w:t>
      </w:r>
      <w:proofErr w:type="gramEnd"/>
    </w:p>
  </w:footnote>
  <w:footnote w:id="85">
    <w:p w14:paraId="5BB1DACF" w14:textId="77777777" w:rsidR="0053181C" w:rsidRDefault="0053181C">
      <w:pPr>
        <w:pStyle w:val="FootnoteText"/>
      </w:pPr>
      <w:r w:rsidRPr="00DB4AEE">
        <w:rPr>
          <w:rStyle w:val="FootnoteReference"/>
        </w:rPr>
        <w:footnoteRef/>
      </w:r>
      <w:r>
        <w:t xml:space="preserve"> 5 U.S.C.</w:t>
      </w:r>
      <w:r w:rsidR="003747D4">
        <w:t> </w:t>
      </w:r>
      <w:r>
        <w:t>553(b</w:t>
      </w:r>
      <w:proofErr w:type="gramStart"/>
      <w:r>
        <w:t>)(</w:t>
      </w:r>
      <w:proofErr w:type="gramEnd"/>
      <w:r>
        <w:t>3</w:t>
      </w:r>
      <w:r w:rsidRPr="00C87DA5">
        <w:t>);</w:t>
      </w:r>
      <w:r>
        <w:t xml:space="preserve"> </w:t>
      </w:r>
      <w:r w:rsidRPr="007D2AF6">
        <w:rPr>
          <w:i/>
        </w:rPr>
        <w:t>see also Small Refiner Lead Phas</w:t>
      </w:r>
      <w:r>
        <w:rPr>
          <w:i/>
        </w:rPr>
        <w:t>e</w:t>
      </w:r>
      <w:r w:rsidRPr="007D2AF6">
        <w:rPr>
          <w:i/>
        </w:rPr>
        <w:t>-Down Task Force v. EPA</w:t>
      </w:r>
      <w:r>
        <w:t>, 705 F.2d 506, 519 (D.C. Cir. 1983) (</w:t>
      </w:r>
      <w:r w:rsidRPr="00C82DC2">
        <w:rPr>
          <w:i/>
        </w:rPr>
        <w:t>Small Refiner</w:t>
      </w:r>
      <w:r>
        <w:t>).</w:t>
      </w:r>
    </w:p>
  </w:footnote>
  <w:footnote w:id="86">
    <w:p w14:paraId="5BB1DAD0" w14:textId="77777777" w:rsidR="0053181C" w:rsidRDefault="0053181C">
      <w:pPr>
        <w:pStyle w:val="FootnoteText"/>
      </w:pPr>
      <w:r w:rsidRPr="00DB4AEE">
        <w:rPr>
          <w:rStyle w:val="FootnoteReference"/>
        </w:rPr>
        <w:footnoteRef/>
      </w:r>
      <w:r>
        <w:t xml:space="preserve"> </w:t>
      </w:r>
      <w:r w:rsidRPr="007D2AF6">
        <w:rPr>
          <w:i/>
        </w:rPr>
        <w:t>Small Refiner</w:t>
      </w:r>
      <w:r>
        <w:t xml:space="preserve">, 705 F.2d at 519, 549; </w:t>
      </w:r>
      <w:r w:rsidRPr="007D2AF6">
        <w:rPr>
          <w:i/>
        </w:rPr>
        <w:t xml:space="preserve">Nat’l Mining </w:t>
      </w:r>
      <w:proofErr w:type="spellStart"/>
      <w:r w:rsidRPr="007D2AF6">
        <w:rPr>
          <w:i/>
        </w:rPr>
        <w:t>Ass’n</w:t>
      </w:r>
      <w:proofErr w:type="spellEnd"/>
      <w:r w:rsidRPr="007D2AF6">
        <w:rPr>
          <w:i/>
        </w:rPr>
        <w:t xml:space="preserve"> v. Mine Safety and Health Admin</w:t>
      </w:r>
      <w:r>
        <w:t>., 116 F.3d 520, 531 (D.C. Cir. 1997) (noting that “[o]</w:t>
      </w:r>
      <w:proofErr w:type="spellStart"/>
      <w:r>
        <w:t>ur</w:t>
      </w:r>
      <w:proofErr w:type="spellEnd"/>
      <w:r>
        <w:t xml:space="preserve"> cases offer no precise definition of what counts as a </w:t>
      </w:r>
      <w:r w:rsidR="00816D3B">
        <w:t>‘</w:t>
      </w:r>
      <w:r>
        <w:t>logical outgrowth’”).</w:t>
      </w:r>
    </w:p>
  </w:footnote>
  <w:footnote w:id="87">
    <w:p w14:paraId="5BB1DAD1" w14:textId="77777777" w:rsidR="0053181C" w:rsidRDefault="0053181C">
      <w:pPr>
        <w:pStyle w:val="FootnoteText"/>
      </w:pPr>
      <w:r w:rsidRPr="00DB4AEE">
        <w:rPr>
          <w:rStyle w:val="FootnoteReference"/>
        </w:rPr>
        <w:footnoteRef/>
      </w:r>
      <w:r>
        <w:t xml:space="preserve"> </w:t>
      </w:r>
      <w:proofErr w:type="gramStart"/>
      <w:r w:rsidRPr="007D2AF6">
        <w:rPr>
          <w:i/>
        </w:rPr>
        <w:t xml:space="preserve">Sierra Club v. </w:t>
      </w:r>
      <w:proofErr w:type="spellStart"/>
      <w:r w:rsidRPr="007D2AF6">
        <w:rPr>
          <w:i/>
        </w:rPr>
        <w:t>Costle</w:t>
      </w:r>
      <w:proofErr w:type="spellEnd"/>
      <w:r>
        <w:t>, 657 F.2d 298, 352 (D.C. Cir. 1981).</w:t>
      </w:r>
      <w:proofErr w:type="gramEnd"/>
    </w:p>
  </w:footnote>
  <w:footnote w:id="88">
    <w:p w14:paraId="5BB1DAD2" w14:textId="77777777" w:rsidR="0053181C" w:rsidRDefault="0053181C">
      <w:pPr>
        <w:pStyle w:val="FootnoteText"/>
      </w:pPr>
      <w:r w:rsidRPr="00DB4AEE">
        <w:rPr>
          <w:rStyle w:val="FootnoteReference"/>
        </w:rPr>
        <w:footnoteRef/>
      </w:r>
      <w:r>
        <w:t xml:space="preserve"> </w:t>
      </w:r>
      <w:r w:rsidRPr="0011234C">
        <w:rPr>
          <w:i/>
        </w:rPr>
        <w:t>Small Refiner</w:t>
      </w:r>
      <w:r>
        <w:t xml:space="preserve">, 705 F.2d at 549; </w:t>
      </w:r>
      <w:r w:rsidRPr="0011234C">
        <w:rPr>
          <w:i/>
        </w:rPr>
        <w:t>see also Council Tree Comm</w:t>
      </w:r>
      <w:r w:rsidR="0049177D">
        <w:rPr>
          <w:i/>
        </w:rPr>
        <w:t>uni</w:t>
      </w:r>
      <w:r w:rsidRPr="0011234C">
        <w:rPr>
          <w:i/>
        </w:rPr>
        <w:t>c</w:t>
      </w:r>
      <w:r w:rsidR="0049177D">
        <w:rPr>
          <w:i/>
        </w:rPr>
        <w:t>atio</w:t>
      </w:r>
      <w:r w:rsidRPr="0011234C">
        <w:rPr>
          <w:i/>
        </w:rPr>
        <w:t xml:space="preserve">ns, Inc. </w:t>
      </w:r>
      <w:r w:rsidR="00816D3B">
        <w:rPr>
          <w:i/>
        </w:rPr>
        <w:br/>
      </w:r>
      <w:r w:rsidRPr="0011234C">
        <w:rPr>
          <w:i/>
        </w:rPr>
        <w:t>v. FCC</w:t>
      </w:r>
      <w:r>
        <w:t>, 619 F.3d 235, 249 (3d Cir. 2010) (the “logical growth” doctrine asks if the “substance of an agency’s rule strays too far from the description contained in the initial notice….”).</w:t>
      </w:r>
    </w:p>
  </w:footnote>
  <w:footnote w:id="89">
    <w:p w14:paraId="5BB1DAD3" w14:textId="77777777" w:rsidR="0053181C" w:rsidRDefault="0053181C">
      <w:pPr>
        <w:pStyle w:val="FootnoteText"/>
      </w:pPr>
      <w:r w:rsidRPr="00DB4AEE">
        <w:rPr>
          <w:rStyle w:val="FootnoteReference"/>
        </w:rPr>
        <w:footnoteRef/>
      </w:r>
      <w:r>
        <w:t xml:space="preserve"> </w:t>
      </w:r>
      <w:proofErr w:type="gramStart"/>
      <w:r w:rsidRPr="007D2AF6">
        <w:rPr>
          <w:i/>
        </w:rPr>
        <w:t>Natural Resources Defense Council, Inc. v. Thomas</w:t>
      </w:r>
      <w:r>
        <w:t xml:space="preserve">, 838 F.2d 1224 (D.C. </w:t>
      </w:r>
      <w:r w:rsidR="00816D3B">
        <w:br/>
      </w:r>
      <w:r>
        <w:t>Cir. 1988).</w:t>
      </w:r>
      <w:proofErr w:type="gramEnd"/>
    </w:p>
  </w:footnote>
  <w:footnote w:id="90">
    <w:p w14:paraId="5BB1DAD4" w14:textId="77777777" w:rsidR="0053181C" w:rsidRDefault="0053181C">
      <w:pPr>
        <w:pStyle w:val="FootnoteText"/>
      </w:pPr>
      <w:r w:rsidRPr="00DB4AEE">
        <w:rPr>
          <w:rStyle w:val="FootnoteReference"/>
        </w:rPr>
        <w:footnoteRef/>
      </w:r>
      <w:r>
        <w:t xml:space="preserve"> </w:t>
      </w:r>
      <w:r w:rsidRPr="007D2AF6">
        <w:rPr>
          <w:i/>
        </w:rPr>
        <w:t xml:space="preserve">Nat’l Asphalt Pavement </w:t>
      </w:r>
      <w:proofErr w:type="spellStart"/>
      <w:r w:rsidRPr="007D2AF6">
        <w:rPr>
          <w:i/>
        </w:rPr>
        <w:t>Ass’n</w:t>
      </w:r>
      <w:proofErr w:type="spellEnd"/>
      <w:r w:rsidRPr="007D2AF6">
        <w:rPr>
          <w:i/>
        </w:rPr>
        <w:t xml:space="preserve"> v. Train</w:t>
      </w:r>
      <w:r w:rsidR="007D6DEF">
        <w:t>, 539 F.2d 775, 779 n.</w:t>
      </w:r>
      <w:r>
        <w:t xml:space="preserve">2 (D.C. Cir. 1976), </w:t>
      </w:r>
      <w:r w:rsidRPr="0053181C">
        <w:t>quoted in</w:t>
      </w:r>
      <w:r w:rsidRPr="007D2AF6">
        <w:rPr>
          <w:i/>
        </w:rPr>
        <w:t xml:space="preserve"> Appalachian Power Co. v. EPA</w:t>
      </w:r>
      <w:r w:rsidR="007D6DEF">
        <w:t>, 579 F.2d 846, 852 n.</w:t>
      </w:r>
      <w:r>
        <w:t>12 (4</w:t>
      </w:r>
      <w:r w:rsidRPr="0053181C">
        <w:t xml:space="preserve">th </w:t>
      </w:r>
      <w:r>
        <w:t>Cir. 1978).</w:t>
      </w:r>
    </w:p>
  </w:footnote>
  <w:footnote w:id="91">
    <w:p w14:paraId="5BB1DAD5" w14:textId="77777777" w:rsidR="0053181C" w:rsidRDefault="0053181C" w:rsidP="00867449">
      <w:pPr>
        <w:pStyle w:val="FootnoteText"/>
      </w:pPr>
      <w:r w:rsidRPr="00DB4AEE">
        <w:rPr>
          <w:rStyle w:val="FootnoteReference"/>
        </w:rPr>
        <w:footnoteRef/>
      </w:r>
      <w:r>
        <w:t xml:space="preserve"> </w:t>
      </w:r>
      <w:r w:rsidRPr="0053181C">
        <w:rPr>
          <w:i/>
        </w:rPr>
        <w:t>See</w:t>
      </w:r>
      <w:r>
        <w:t xml:space="preserve"> Order No. 771,</w:t>
      </w:r>
      <w:r w:rsidRPr="00B10E07">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32 (</w:t>
      </w:r>
      <w:r w:rsidRPr="00CF2851">
        <w:t xml:space="preserve">citing </w:t>
      </w:r>
      <w:r>
        <w:t>Market Monitors’ comments at 10).</w:t>
      </w:r>
      <w:proofErr w:type="gramEnd"/>
    </w:p>
  </w:footnote>
  <w:footnote w:id="92">
    <w:p w14:paraId="5BB1DAD6" w14:textId="77777777" w:rsidR="0053181C" w:rsidRDefault="0053181C" w:rsidP="00867449">
      <w:pPr>
        <w:pStyle w:val="FootnoteText"/>
      </w:pPr>
      <w:r w:rsidRPr="00DB4AEE">
        <w:rPr>
          <w:rStyle w:val="FootnoteReference"/>
        </w:rPr>
        <w:footnoteRef/>
      </w:r>
      <w:r>
        <w:t xml:space="preserve"> </w:t>
      </w:r>
      <w:r w:rsidRPr="0011234C">
        <w:rPr>
          <w:i/>
        </w:rPr>
        <w:t>See</w:t>
      </w:r>
      <w:r w:rsidR="00A93535">
        <w:rPr>
          <w:i/>
        </w:rPr>
        <w:t xml:space="preserve"> </w:t>
      </w:r>
      <w:r w:rsidR="00D42FF6">
        <w:rPr>
          <w:i/>
        </w:rPr>
        <w:t>id</w:t>
      </w:r>
      <w:r>
        <w:t>.</w:t>
      </w:r>
    </w:p>
  </w:footnote>
  <w:footnote w:id="93">
    <w:p w14:paraId="5BB1DAD7" w14:textId="77777777" w:rsidR="0053181C" w:rsidRDefault="0053181C">
      <w:pPr>
        <w:pStyle w:val="FootnoteText"/>
      </w:pPr>
      <w:r w:rsidRPr="00DB4AEE">
        <w:rPr>
          <w:rStyle w:val="FootnoteReference"/>
        </w:rPr>
        <w:footnoteRef/>
      </w:r>
      <w:r>
        <w:t xml:space="preserve"> 44 U.S.C.</w:t>
      </w:r>
      <w:r w:rsidR="00D42FF6">
        <w:t> </w:t>
      </w:r>
      <w:r w:rsidR="00772C49">
        <w:t>§ </w:t>
      </w:r>
      <w:r>
        <w:t>3507(a</w:t>
      </w:r>
      <w:proofErr w:type="gramStart"/>
      <w:r>
        <w:t>)(</w:t>
      </w:r>
      <w:proofErr w:type="gramEnd"/>
      <w:r>
        <w:t>D)(v).</w:t>
      </w:r>
    </w:p>
  </w:footnote>
  <w:footnote w:id="94">
    <w:p w14:paraId="5BB1DAD8" w14:textId="77777777" w:rsidR="0053181C" w:rsidRDefault="0053181C">
      <w:pPr>
        <w:pStyle w:val="FootnoteText"/>
      </w:pPr>
      <w:r w:rsidRPr="00DB4AEE">
        <w:rPr>
          <w:rStyle w:val="FootnoteReference"/>
        </w:rPr>
        <w:footnoteRef/>
      </w:r>
      <w:r>
        <w:t xml:space="preserve"> </w:t>
      </w:r>
      <w:proofErr w:type="gramStart"/>
      <w:r>
        <w:t>5 CFR</w:t>
      </w:r>
      <w:r w:rsidR="00D42FF6">
        <w:t> </w:t>
      </w:r>
      <w:r>
        <w:t>1320.11(h); 5 C</w:t>
      </w:r>
      <w:r w:rsidR="00772C49">
        <w:t>.</w:t>
      </w:r>
      <w:r>
        <w:t>F</w:t>
      </w:r>
      <w:r w:rsidR="00772C49">
        <w:t>.</w:t>
      </w:r>
      <w:r>
        <w:t>R</w:t>
      </w:r>
      <w:r w:rsidR="00772C49">
        <w:t>.</w:t>
      </w:r>
      <w:r w:rsidR="00D42FF6">
        <w:t> </w:t>
      </w:r>
      <w:r w:rsidR="00772C49">
        <w:t>§ </w:t>
      </w:r>
      <w:r>
        <w:t>1320.6.</w:t>
      </w:r>
      <w:proofErr w:type="gramEnd"/>
    </w:p>
  </w:footnote>
  <w:footnote w:id="95">
    <w:p w14:paraId="5BB1DAD9" w14:textId="77777777" w:rsidR="0053181C" w:rsidRDefault="0053181C" w:rsidP="005839FA">
      <w:pPr>
        <w:pStyle w:val="FootnoteText"/>
      </w:pPr>
      <w:r w:rsidRPr="00DB4AEE">
        <w:rPr>
          <w:rStyle w:val="FootnoteReference"/>
        </w:rPr>
        <w:footnoteRef/>
      </w:r>
      <w:r>
        <w:t xml:space="preserve"> </w:t>
      </w:r>
      <w:r w:rsidRPr="0011234C">
        <w:rPr>
          <w:i/>
        </w:rPr>
        <w:t xml:space="preserve">See </w:t>
      </w:r>
      <w:r>
        <w:t>E-Tag NOPR</w:t>
      </w:r>
      <w:r w:rsidR="00D42FF6">
        <w:t xml:space="preserve">, </w:t>
      </w:r>
      <w:r w:rsidR="00D42FF6" w:rsidRPr="00D42FF6">
        <w:t xml:space="preserve">FERC Stats. </w:t>
      </w:r>
      <w:proofErr w:type="gramStart"/>
      <w:r w:rsidR="00D42FF6" w:rsidRPr="00D42FF6">
        <w:t xml:space="preserve">&amp; </w:t>
      </w:r>
      <w:proofErr w:type="spellStart"/>
      <w:r w:rsidR="00D42FF6" w:rsidRPr="00D42FF6">
        <w:t>Regs</w:t>
      </w:r>
      <w:proofErr w:type="spellEnd"/>
      <w:r w:rsidR="00D42FF6" w:rsidRPr="00D42FF6">
        <w:t>.</w:t>
      </w:r>
      <w:proofErr w:type="gramEnd"/>
      <w:r w:rsidR="00D42FF6" w:rsidRPr="00D42FF6">
        <w:t xml:space="preserve"> ¶ 32,675</w:t>
      </w:r>
      <w:r>
        <w:t xml:space="preserve"> at P 19; Order No. 771,</w:t>
      </w:r>
      <w:r w:rsidRPr="000F2813">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61.</w:t>
      </w:r>
      <w:proofErr w:type="gramEnd"/>
    </w:p>
  </w:footnote>
  <w:footnote w:id="96">
    <w:p w14:paraId="5BB1DADA" w14:textId="77777777" w:rsidR="0053181C" w:rsidRDefault="0053181C">
      <w:pPr>
        <w:pStyle w:val="FootnoteText"/>
      </w:pPr>
      <w:r w:rsidRPr="00DB4AEE">
        <w:rPr>
          <w:rStyle w:val="FootnoteReference"/>
        </w:rPr>
        <w:footnoteRef/>
      </w:r>
      <w:r>
        <w:t xml:space="preserve"> </w:t>
      </w:r>
      <w:r w:rsidRPr="00912FC4">
        <w:rPr>
          <w:i/>
        </w:rPr>
        <w:t>See</w:t>
      </w:r>
      <w:r>
        <w:t xml:space="preserve"> Order No. 771,</w:t>
      </w:r>
      <w:r w:rsidRPr="000F2813">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62.</w:t>
      </w:r>
      <w:proofErr w:type="gramEnd"/>
    </w:p>
  </w:footnote>
  <w:footnote w:id="97">
    <w:p w14:paraId="5BB1DADB" w14:textId="77777777" w:rsidR="0053181C" w:rsidRDefault="0053181C">
      <w:pPr>
        <w:pStyle w:val="FootnoteText"/>
      </w:pPr>
      <w:r w:rsidRPr="00DB4AEE">
        <w:rPr>
          <w:rStyle w:val="FootnoteReference"/>
        </w:rPr>
        <w:footnoteRef/>
      </w:r>
      <w:r>
        <w:t xml:space="preserve"> We also note that, just as the Commission is giving consideration in this order to the arguments presented in the requests for rehearing, we would have given consideration to any contrary estimates of the burden of complying with the Final Rule promulgated in Order No. 771 if Southern Companies advanced any such alternative estimate in either reply comments or in its rehearing request.</w:t>
      </w:r>
    </w:p>
  </w:footnote>
  <w:footnote w:id="98">
    <w:p w14:paraId="5BB1DADC" w14:textId="77777777" w:rsidR="0053181C" w:rsidRDefault="0053181C" w:rsidP="00816311">
      <w:pPr>
        <w:pStyle w:val="FootnoteText"/>
      </w:pPr>
      <w:r w:rsidRPr="00DB4AEE">
        <w:rPr>
          <w:rStyle w:val="FootnoteReference"/>
        </w:rPr>
        <w:footnoteRef/>
      </w:r>
      <w:r>
        <w:t xml:space="preserve"> </w:t>
      </w:r>
      <w:r w:rsidRPr="00912FC4">
        <w:rPr>
          <w:i/>
        </w:rPr>
        <w:t>See</w:t>
      </w:r>
      <w:r>
        <w:t xml:space="preserve"> Order No. 771,</w:t>
      </w:r>
      <w:r w:rsidRPr="0011234C">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63.</w:t>
      </w:r>
      <w:proofErr w:type="gramEnd"/>
    </w:p>
  </w:footnote>
  <w:footnote w:id="99">
    <w:p w14:paraId="5BB1DADD" w14:textId="77777777" w:rsidR="0053181C" w:rsidRDefault="0053181C" w:rsidP="00816311">
      <w:pPr>
        <w:pStyle w:val="FootnoteText"/>
      </w:pPr>
      <w:r w:rsidRPr="00DB4AEE">
        <w:rPr>
          <w:rStyle w:val="FootnoteReference"/>
        </w:rPr>
        <w:footnoteRef/>
      </w:r>
      <w:r>
        <w:t xml:space="preserve"> </w:t>
      </w:r>
      <w:r w:rsidRPr="0053181C">
        <w:rPr>
          <w:i/>
        </w:rPr>
        <w:t xml:space="preserve">See </w:t>
      </w:r>
      <w:r w:rsidR="00D42FF6">
        <w:rPr>
          <w:i/>
        </w:rPr>
        <w:t>id.</w:t>
      </w:r>
      <w:r>
        <w:t xml:space="preserve"> PP 64-65.</w:t>
      </w:r>
    </w:p>
  </w:footnote>
  <w:footnote w:id="100">
    <w:p w14:paraId="5BB1DADE" w14:textId="77777777" w:rsidR="0053181C" w:rsidRDefault="0053181C" w:rsidP="009F7D79">
      <w:pPr>
        <w:pStyle w:val="FootnoteText"/>
      </w:pPr>
      <w:r w:rsidRPr="00DB4AEE">
        <w:rPr>
          <w:rStyle w:val="FootnoteReference"/>
        </w:rPr>
        <w:footnoteRef/>
      </w:r>
      <w:r>
        <w:t xml:space="preserve"> </w:t>
      </w:r>
      <w:proofErr w:type="gramStart"/>
      <w:r>
        <w:t>Southern Companies at 6.</w:t>
      </w:r>
      <w:proofErr w:type="gramEnd"/>
    </w:p>
  </w:footnote>
  <w:footnote w:id="101">
    <w:p w14:paraId="5BB1DADF" w14:textId="77777777" w:rsidR="0053181C" w:rsidRDefault="0053181C" w:rsidP="00754F38">
      <w:pPr>
        <w:pStyle w:val="FootnoteText"/>
      </w:pPr>
      <w:r w:rsidRPr="00DB4AEE">
        <w:rPr>
          <w:rStyle w:val="FootnoteReference"/>
        </w:rPr>
        <w:footnoteRef/>
      </w:r>
      <w:r>
        <w:t xml:space="preserve"> </w:t>
      </w:r>
      <w:proofErr w:type="gramStart"/>
      <w:r w:rsidR="00D42FF6">
        <w:rPr>
          <w:i/>
        </w:rPr>
        <w:t>Id.</w:t>
      </w:r>
      <w:r w:rsidR="00D42FF6">
        <w:t xml:space="preserve"> </w:t>
      </w:r>
      <w:r>
        <w:t>at 9.</w:t>
      </w:r>
      <w:proofErr w:type="gramEnd"/>
    </w:p>
  </w:footnote>
  <w:footnote w:id="102">
    <w:p w14:paraId="5BB1DAE0" w14:textId="77777777" w:rsidR="0053181C" w:rsidRDefault="0053181C" w:rsidP="00A00982">
      <w:pPr>
        <w:pStyle w:val="FootnoteText"/>
      </w:pPr>
      <w:r w:rsidRPr="00DB4AEE">
        <w:rPr>
          <w:rStyle w:val="FootnoteReference"/>
        </w:rPr>
        <w:footnoteRef/>
      </w:r>
      <w:r>
        <w:t xml:space="preserve"> </w:t>
      </w:r>
      <w:proofErr w:type="gramStart"/>
      <w:r w:rsidRPr="0053181C">
        <w:rPr>
          <w:i/>
        </w:rPr>
        <w:t>See, e.g.</w:t>
      </w:r>
      <w:r>
        <w:t>, Order No. 771,</w:t>
      </w:r>
      <w:r w:rsidRPr="00C9596E">
        <w:t xml:space="preserve"> </w:t>
      </w:r>
      <w:r w:rsidRPr="006C343C">
        <w:t>FERC Stats</w:t>
      </w:r>
      <w:r>
        <w:t>.</w:t>
      </w:r>
      <w:proofErr w:type="gramEnd"/>
      <w:r w:rsidRPr="006C343C">
        <w:t xml:space="preserve"> </w:t>
      </w:r>
      <w:proofErr w:type="gramStart"/>
      <w:r w:rsidRPr="006C343C">
        <w:t xml:space="preserve">&amp; </w:t>
      </w:r>
      <w:proofErr w:type="spellStart"/>
      <w:r w:rsidRPr="006C343C">
        <w:t>Regs</w:t>
      </w:r>
      <w:proofErr w:type="spellEnd"/>
      <w:r>
        <w:t>.</w:t>
      </w:r>
      <w:proofErr w:type="gramEnd"/>
      <w:r w:rsidRPr="006C343C">
        <w:t xml:space="preserve"> ¶ 31,339</w:t>
      </w:r>
      <w:r>
        <w:t xml:space="preserve"> at PP 17-21.  </w:t>
      </w:r>
      <w:r w:rsidRPr="0053181C">
        <w:t xml:space="preserve">NAESB has since developed a process to implement the requirements under Order Nos. 771 and 771-A.  </w:t>
      </w:r>
      <w:r w:rsidRPr="0053181C">
        <w:rPr>
          <w:i/>
        </w:rPr>
        <w:t>See</w:t>
      </w:r>
      <w:r w:rsidRPr="0053181C">
        <w:t xml:space="preserve"> NAESB Electronic Tagging Functional Specifications, Version 1.8.2, at Appendix A (Special Interconnection Implementation Requirements).</w:t>
      </w:r>
    </w:p>
  </w:footnote>
  <w:footnote w:id="103">
    <w:p w14:paraId="5BB1DAE1" w14:textId="77777777" w:rsidR="0053181C" w:rsidRDefault="0053181C">
      <w:pPr>
        <w:pStyle w:val="FootnoteText"/>
      </w:pPr>
      <w:r w:rsidRPr="00DB4AEE">
        <w:rPr>
          <w:rStyle w:val="FootnoteReference"/>
        </w:rPr>
        <w:footnoteRef/>
      </w:r>
      <w:r>
        <w:t xml:space="preserve"> Order No. 771,</w:t>
      </w:r>
      <w:r w:rsidRPr="002F1168">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58.</w:t>
      </w:r>
      <w:proofErr w:type="gramEnd"/>
    </w:p>
  </w:footnote>
  <w:footnote w:id="104">
    <w:p w14:paraId="5BB1DAE2" w14:textId="77777777" w:rsidR="0053181C" w:rsidRDefault="0053181C" w:rsidP="008B1A95">
      <w:pPr>
        <w:pStyle w:val="FootnoteText"/>
      </w:pPr>
      <w:r w:rsidRPr="00DB4AEE">
        <w:rPr>
          <w:rStyle w:val="FootnoteReference"/>
        </w:rPr>
        <w:footnoteRef/>
      </w:r>
      <w:r>
        <w:t xml:space="preserve"> </w:t>
      </w:r>
      <w:r w:rsidRPr="000B2149">
        <w:rPr>
          <w:i/>
        </w:rPr>
        <w:t>See</w:t>
      </w:r>
      <w:r>
        <w:t xml:space="preserve"> </w:t>
      </w:r>
      <w:r w:rsidRPr="000B2149">
        <w:t>Order No. 771-A at P 28</w:t>
      </w:r>
      <w:r>
        <w:t xml:space="preserve"> (</w:t>
      </w:r>
      <w:r w:rsidRPr="00CF2851">
        <w:t xml:space="preserve">citing </w:t>
      </w:r>
      <w:r>
        <w:t xml:space="preserve">Order No. 771, FERC Stats. &amp; </w:t>
      </w:r>
      <w:proofErr w:type="spellStart"/>
      <w:r>
        <w:t>Regs</w:t>
      </w:r>
      <w:proofErr w:type="spellEnd"/>
      <w:r>
        <w:t xml:space="preserve">. </w:t>
      </w:r>
      <w:proofErr w:type="gramStart"/>
      <w:r>
        <w:t>¶</w:t>
      </w:r>
      <w:r w:rsidR="0049177D">
        <w:t> </w:t>
      </w:r>
      <w:r>
        <w:t>31,</w:t>
      </w:r>
      <w:r w:rsidR="006B0269">
        <w:t>33</w:t>
      </w:r>
      <w:r>
        <w:t>9 at P 58)</w:t>
      </w:r>
      <w:r w:rsidRPr="000B2149">
        <w:t>.</w:t>
      </w:r>
      <w:proofErr w:type="gramEnd"/>
      <w:r>
        <w:t xml:space="preserve">  In particular, FOIA exemption 4 protects trade secrets and commercial or financial information that is privileged or confidential from disclosure.</w:t>
      </w:r>
    </w:p>
  </w:footnote>
  <w:footnote w:id="105">
    <w:p w14:paraId="5BB1DAE3" w14:textId="77777777" w:rsidR="0053181C" w:rsidRDefault="0053181C">
      <w:pPr>
        <w:pStyle w:val="FootnoteText"/>
      </w:pPr>
      <w:r w:rsidRPr="00DB4AEE">
        <w:rPr>
          <w:rStyle w:val="FootnoteReference"/>
        </w:rPr>
        <w:footnoteRef/>
      </w:r>
      <w:r>
        <w:t xml:space="preserve"> </w:t>
      </w:r>
      <w:proofErr w:type="gramStart"/>
      <w:r w:rsidRPr="0053181C">
        <w:rPr>
          <w:i/>
        </w:rPr>
        <w:t>See, e.g.</w:t>
      </w:r>
      <w:r w:rsidRPr="0053181C">
        <w:t xml:space="preserve">, </w:t>
      </w:r>
      <w:r w:rsidRPr="0053181C">
        <w:rPr>
          <w:i/>
        </w:rPr>
        <w:t>Standards of Conduct for Transmission Providers</w:t>
      </w:r>
      <w:r w:rsidRPr="0053181C">
        <w:t xml:space="preserve">, Order No. 717, </w:t>
      </w:r>
      <w:r w:rsidRPr="00A4165C">
        <w:rPr>
          <w:szCs w:val="26"/>
        </w:rPr>
        <w:t>FERC Stats.</w:t>
      </w:r>
      <w:proofErr w:type="gramEnd"/>
      <w:r w:rsidRPr="00A4165C">
        <w:rPr>
          <w:szCs w:val="26"/>
        </w:rPr>
        <w:t xml:space="preserve"> </w:t>
      </w:r>
      <w:proofErr w:type="gramStart"/>
      <w:r w:rsidRPr="00A4165C">
        <w:rPr>
          <w:szCs w:val="26"/>
        </w:rPr>
        <w:t xml:space="preserve">&amp; </w:t>
      </w:r>
      <w:proofErr w:type="spellStart"/>
      <w:r w:rsidRPr="00A4165C">
        <w:rPr>
          <w:szCs w:val="26"/>
        </w:rPr>
        <w:t>Regs</w:t>
      </w:r>
      <w:proofErr w:type="spellEnd"/>
      <w:r w:rsidRPr="00A4165C">
        <w:rPr>
          <w:szCs w:val="26"/>
        </w:rPr>
        <w:t>.</w:t>
      </w:r>
      <w:proofErr w:type="gramEnd"/>
      <w:r w:rsidRPr="00A4165C">
        <w:rPr>
          <w:szCs w:val="26"/>
        </w:rPr>
        <w:t xml:space="preserve"> ¶</w:t>
      </w:r>
      <w:r w:rsidR="00A93535">
        <w:rPr>
          <w:szCs w:val="26"/>
        </w:rPr>
        <w:t> </w:t>
      </w:r>
      <w:r w:rsidRPr="00A4165C">
        <w:rPr>
          <w:szCs w:val="26"/>
        </w:rPr>
        <w:t>31,280</w:t>
      </w:r>
      <w:r w:rsidR="00A93535">
        <w:rPr>
          <w:szCs w:val="26"/>
        </w:rPr>
        <w:t>,</w:t>
      </w:r>
      <w:r w:rsidRPr="00A4165C">
        <w:rPr>
          <w:szCs w:val="26"/>
        </w:rPr>
        <w:t xml:space="preserve"> </w:t>
      </w:r>
      <w:r w:rsidRPr="00EC1B2A">
        <w:t>at P 293</w:t>
      </w:r>
      <w:r w:rsidRPr="00A4165C">
        <w:rPr>
          <w:szCs w:val="26"/>
        </w:rPr>
        <w:t xml:space="preserve"> (2008)</w:t>
      </w:r>
      <w:r w:rsidR="00874D80">
        <w:rPr>
          <w:szCs w:val="26"/>
        </w:rPr>
        <w:t xml:space="preserve">, </w:t>
      </w:r>
      <w:r w:rsidR="00874D80">
        <w:rPr>
          <w:i/>
          <w:iCs/>
          <w:szCs w:val="26"/>
        </w:rPr>
        <w:t xml:space="preserve">order on </w:t>
      </w:r>
      <w:proofErr w:type="spellStart"/>
      <w:r w:rsidR="00874D80">
        <w:rPr>
          <w:i/>
          <w:iCs/>
          <w:szCs w:val="26"/>
        </w:rPr>
        <w:t>reh’g</w:t>
      </w:r>
      <w:proofErr w:type="spellEnd"/>
      <w:r w:rsidR="00874D80" w:rsidRPr="00A57ACE">
        <w:rPr>
          <w:iCs/>
          <w:szCs w:val="26"/>
        </w:rPr>
        <w:t>,</w:t>
      </w:r>
      <w:r w:rsidR="00874D80">
        <w:rPr>
          <w:szCs w:val="26"/>
        </w:rPr>
        <w:t xml:space="preserve"> Order No. 717-A, </w:t>
      </w:r>
      <w:r w:rsidR="00085BA9">
        <w:rPr>
          <w:szCs w:val="26"/>
        </w:rPr>
        <w:t xml:space="preserve">FERC Stats. &amp; </w:t>
      </w:r>
      <w:proofErr w:type="spellStart"/>
      <w:r w:rsidR="00085BA9">
        <w:rPr>
          <w:szCs w:val="26"/>
        </w:rPr>
        <w:t>Regs</w:t>
      </w:r>
      <w:proofErr w:type="spellEnd"/>
      <w:r w:rsidR="00085BA9">
        <w:rPr>
          <w:szCs w:val="26"/>
        </w:rPr>
        <w:t>, ¶ 31,297,</w:t>
      </w:r>
      <w:r w:rsidR="00874D80">
        <w:rPr>
          <w:szCs w:val="26"/>
        </w:rPr>
        <w:t xml:space="preserve"> </w:t>
      </w:r>
      <w:r w:rsidR="00874D80">
        <w:rPr>
          <w:i/>
          <w:iCs/>
          <w:szCs w:val="26"/>
        </w:rPr>
        <w:t xml:space="preserve">order on </w:t>
      </w:r>
      <w:proofErr w:type="spellStart"/>
      <w:r w:rsidR="00874D80">
        <w:rPr>
          <w:i/>
          <w:iCs/>
          <w:szCs w:val="26"/>
        </w:rPr>
        <w:t>reh’g</w:t>
      </w:r>
      <w:proofErr w:type="spellEnd"/>
      <w:r w:rsidR="00874D80" w:rsidRPr="00A57ACE">
        <w:rPr>
          <w:iCs/>
          <w:szCs w:val="26"/>
        </w:rPr>
        <w:t>,</w:t>
      </w:r>
      <w:r w:rsidR="00874D80">
        <w:rPr>
          <w:i/>
          <w:iCs/>
          <w:szCs w:val="26"/>
        </w:rPr>
        <w:t xml:space="preserve"> </w:t>
      </w:r>
      <w:r w:rsidR="00874D80">
        <w:rPr>
          <w:szCs w:val="26"/>
        </w:rPr>
        <w:t xml:space="preserve">Order No. 717-B, 129 FERC ¶ 61,123 (2009), </w:t>
      </w:r>
      <w:r w:rsidR="00874D80">
        <w:rPr>
          <w:i/>
          <w:iCs/>
          <w:szCs w:val="26"/>
        </w:rPr>
        <w:t xml:space="preserve">order on </w:t>
      </w:r>
      <w:proofErr w:type="spellStart"/>
      <w:r w:rsidR="00874D80">
        <w:rPr>
          <w:i/>
          <w:iCs/>
          <w:szCs w:val="26"/>
        </w:rPr>
        <w:t>reh’g</w:t>
      </w:r>
      <w:proofErr w:type="spellEnd"/>
      <w:r w:rsidR="00874D80" w:rsidRPr="00A57ACE">
        <w:rPr>
          <w:iCs/>
          <w:szCs w:val="26"/>
        </w:rPr>
        <w:t xml:space="preserve">, </w:t>
      </w:r>
      <w:r w:rsidR="00874D80">
        <w:rPr>
          <w:szCs w:val="26"/>
        </w:rPr>
        <w:t xml:space="preserve">Order No. 717-C, 131 FERC ¶ 61,045 (2010), </w:t>
      </w:r>
      <w:r w:rsidR="00874D80">
        <w:rPr>
          <w:i/>
          <w:szCs w:val="26"/>
        </w:rPr>
        <w:t xml:space="preserve">order on </w:t>
      </w:r>
      <w:proofErr w:type="spellStart"/>
      <w:r w:rsidR="00874D80">
        <w:rPr>
          <w:i/>
          <w:szCs w:val="26"/>
        </w:rPr>
        <w:t>reh’g</w:t>
      </w:r>
      <w:proofErr w:type="spellEnd"/>
      <w:r w:rsidR="00874D80">
        <w:rPr>
          <w:szCs w:val="26"/>
        </w:rPr>
        <w:t xml:space="preserve">, Order </w:t>
      </w:r>
      <w:r w:rsidR="00085BA9">
        <w:rPr>
          <w:szCs w:val="26"/>
        </w:rPr>
        <w:br/>
      </w:r>
      <w:r w:rsidR="00874D80">
        <w:rPr>
          <w:szCs w:val="26"/>
        </w:rPr>
        <w:t>No. 717-D, 135 FERC ¶ 61,017 (2011).</w:t>
      </w:r>
    </w:p>
  </w:footnote>
  <w:footnote w:id="106">
    <w:p w14:paraId="5BB1DAE4" w14:textId="77777777" w:rsidR="0053181C" w:rsidRDefault="0053181C" w:rsidP="00A15ED1">
      <w:pPr>
        <w:pStyle w:val="FootnoteText"/>
      </w:pPr>
      <w:r w:rsidRPr="00DB4AEE">
        <w:rPr>
          <w:rStyle w:val="FootnoteReference"/>
        </w:rPr>
        <w:footnoteRef/>
      </w:r>
      <w:r>
        <w:t xml:space="preserve"> </w:t>
      </w:r>
      <w:proofErr w:type="gramStart"/>
      <w:r>
        <w:t>NRECA at 3.</w:t>
      </w:r>
      <w:proofErr w:type="gramEnd"/>
    </w:p>
  </w:footnote>
  <w:footnote w:id="107">
    <w:p w14:paraId="5BB1DAE5" w14:textId="77777777" w:rsidR="0053181C" w:rsidRDefault="0053181C" w:rsidP="00A15ED1">
      <w:pPr>
        <w:pStyle w:val="FootnoteText"/>
      </w:pPr>
      <w:r w:rsidRPr="00DB4AEE">
        <w:rPr>
          <w:rStyle w:val="FootnoteReference"/>
        </w:rPr>
        <w:footnoteRef/>
      </w:r>
      <w:r>
        <w:t xml:space="preserve"> </w:t>
      </w:r>
      <w:proofErr w:type="gramStart"/>
      <w:r w:rsidR="00D42FF6">
        <w:rPr>
          <w:i/>
        </w:rPr>
        <w:t>Id.</w:t>
      </w:r>
      <w:r w:rsidR="00D42FF6">
        <w:t xml:space="preserve"> </w:t>
      </w:r>
      <w:r>
        <w:t>at 2.</w:t>
      </w:r>
      <w:proofErr w:type="gramEnd"/>
    </w:p>
  </w:footnote>
  <w:footnote w:id="108">
    <w:p w14:paraId="5BB1DAE6" w14:textId="77777777" w:rsidR="0053181C" w:rsidRDefault="0053181C">
      <w:pPr>
        <w:pStyle w:val="FootnoteText"/>
      </w:pPr>
      <w:r w:rsidRPr="00DB4AEE">
        <w:rPr>
          <w:rStyle w:val="FootnoteReference"/>
        </w:rPr>
        <w:footnoteRef/>
      </w:r>
      <w:r>
        <w:t xml:space="preserve"> </w:t>
      </w:r>
      <w:proofErr w:type="gramStart"/>
      <w:r>
        <w:t>391 F.3d 1255 (D.C. Cir. 2004).</w:t>
      </w:r>
      <w:proofErr w:type="gramEnd"/>
    </w:p>
  </w:footnote>
  <w:footnote w:id="109">
    <w:p w14:paraId="5BB1DAE7" w14:textId="77777777" w:rsidR="0053181C" w:rsidRDefault="0053181C">
      <w:pPr>
        <w:pStyle w:val="FootnoteText"/>
      </w:pPr>
      <w:r w:rsidRPr="00DB4AEE">
        <w:rPr>
          <w:rStyle w:val="FootnoteReference"/>
        </w:rPr>
        <w:footnoteRef/>
      </w:r>
      <w:r>
        <w:t xml:space="preserve"> </w:t>
      </w:r>
      <w:proofErr w:type="gramStart"/>
      <w:r>
        <w:t xml:space="preserve">NRECA at 21, </w:t>
      </w:r>
      <w:r w:rsidRPr="00CF2851">
        <w:t xml:space="preserve">citing </w:t>
      </w:r>
      <w:r>
        <w:t>391 F.3d at 1258.</w:t>
      </w:r>
      <w:proofErr w:type="gramEnd"/>
    </w:p>
  </w:footnote>
  <w:footnote w:id="110">
    <w:p w14:paraId="5BB1DAE8" w14:textId="77777777" w:rsidR="0053181C" w:rsidRDefault="0053181C">
      <w:pPr>
        <w:pStyle w:val="FootnoteText"/>
      </w:pPr>
      <w:r w:rsidRPr="00DB4AEE">
        <w:rPr>
          <w:rStyle w:val="FootnoteReference"/>
        </w:rPr>
        <w:footnoteRef/>
      </w:r>
      <w:r w:rsidR="00D42FF6">
        <w:rPr>
          <w:i/>
        </w:rPr>
        <w:t>Id</w:t>
      </w:r>
      <w:r>
        <w:t>.</w:t>
      </w:r>
    </w:p>
  </w:footnote>
  <w:footnote w:id="111">
    <w:p w14:paraId="5BB1DAE9" w14:textId="77777777" w:rsidR="0053181C" w:rsidRDefault="0053181C" w:rsidP="00A15ED1">
      <w:pPr>
        <w:pStyle w:val="FootnoteText"/>
      </w:pPr>
      <w:r w:rsidRPr="00DB4AEE">
        <w:rPr>
          <w:rStyle w:val="FootnoteReference"/>
        </w:rPr>
        <w:footnoteRef/>
      </w:r>
      <w:r>
        <w:t xml:space="preserve"> Southern Companies at 2-3, 10.</w:t>
      </w:r>
    </w:p>
  </w:footnote>
  <w:footnote w:id="112">
    <w:p w14:paraId="5BB1DAEA" w14:textId="77777777" w:rsidR="0053181C" w:rsidRDefault="0053181C" w:rsidP="00A15ED1">
      <w:pPr>
        <w:pStyle w:val="FootnoteText"/>
      </w:pPr>
      <w:r w:rsidRPr="00DB4AEE">
        <w:rPr>
          <w:rStyle w:val="FootnoteReference"/>
        </w:rPr>
        <w:footnoteRef/>
      </w:r>
      <w:r>
        <w:t xml:space="preserve"> </w:t>
      </w:r>
      <w:proofErr w:type="gramStart"/>
      <w:r w:rsidR="00D42FF6">
        <w:rPr>
          <w:i/>
        </w:rPr>
        <w:t>Id.</w:t>
      </w:r>
      <w:r w:rsidR="00D42FF6">
        <w:t xml:space="preserve"> </w:t>
      </w:r>
      <w:r>
        <w:t>at 10.</w:t>
      </w:r>
      <w:proofErr w:type="gramEnd"/>
    </w:p>
  </w:footnote>
  <w:footnote w:id="113">
    <w:p w14:paraId="5BB1DAEB" w14:textId="77777777" w:rsidR="0053181C" w:rsidRDefault="0053181C" w:rsidP="00A15ED1">
      <w:pPr>
        <w:pStyle w:val="FootnoteText"/>
      </w:pPr>
      <w:r w:rsidRPr="00DB4AEE">
        <w:rPr>
          <w:rStyle w:val="FootnoteReference"/>
        </w:rPr>
        <w:footnoteRef/>
      </w:r>
      <w:r w:rsidR="00D42FF6">
        <w:t xml:space="preserve"> </w:t>
      </w:r>
      <w:r w:rsidR="00D42FF6">
        <w:rPr>
          <w:i/>
        </w:rPr>
        <w:t>Id</w:t>
      </w:r>
      <w:r>
        <w:t>.</w:t>
      </w:r>
    </w:p>
  </w:footnote>
  <w:footnote w:id="114">
    <w:p w14:paraId="5BB1DAEC" w14:textId="77777777" w:rsidR="0053181C" w:rsidRDefault="0053181C" w:rsidP="00A15ED1">
      <w:pPr>
        <w:pStyle w:val="FootnoteText"/>
      </w:pPr>
      <w:r w:rsidRPr="00DB4AEE">
        <w:rPr>
          <w:rStyle w:val="FootnoteReference"/>
        </w:rPr>
        <w:footnoteRef/>
      </w:r>
      <w:r>
        <w:t xml:space="preserve"> </w:t>
      </w:r>
      <w:proofErr w:type="gramStart"/>
      <w:r w:rsidR="00D42FF6">
        <w:rPr>
          <w:i/>
        </w:rPr>
        <w:t>Id.</w:t>
      </w:r>
      <w:r w:rsidR="00D42FF6">
        <w:t xml:space="preserve"> </w:t>
      </w:r>
      <w:r>
        <w:t>at 2-3, 10.</w:t>
      </w:r>
      <w:proofErr w:type="gramEnd"/>
    </w:p>
  </w:footnote>
  <w:footnote w:id="115">
    <w:p w14:paraId="5BB1DAED" w14:textId="77777777" w:rsidR="0053181C" w:rsidRDefault="0053181C" w:rsidP="00A15ED1">
      <w:pPr>
        <w:pStyle w:val="FootnoteText"/>
      </w:pPr>
      <w:r w:rsidRPr="00DB4AEE">
        <w:rPr>
          <w:rStyle w:val="FootnoteReference"/>
        </w:rPr>
        <w:footnoteRef/>
      </w:r>
      <w:r>
        <w:t xml:space="preserve"> </w:t>
      </w:r>
      <w:proofErr w:type="gramStart"/>
      <w:r>
        <w:t>OATI at 2.</w:t>
      </w:r>
      <w:proofErr w:type="gramEnd"/>
    </w:p>
  </w:footnote>
  <w:footnote w:id="116">
    <w:p w14:paraId="5BB1DAEE" w14:textId="77777777" w:rsidR="0053181C" w:rsidRDefault="0053181C" w:rsidP="00A15ED1">
      <w:pPr>
        <w:pStyle w:val="FootnoteText"/>
      </w:pPr>
      <w:r w:rsidRPr="00DB4AEE">
        <w:rPr>
          <w:rStyle w:val="FootnoteReference"/>
        </w:rPr>
        <w:footnoteRef/>
      </w:r>
      <w:r>
        <w:t xml:space="preserve"> </w:t>
      </w:r>
      <w:r w:rsidR="00D42FF6">
        <w:rPr>
          <w:i/>
        </w:rPr>
        <w:t>Id.</w:t>
      </w:r>
    </w:p>
  </w:footnote>
  <w:footnote w:id="117">
    <w:p w14:paraId="5BB1DAEF" w14:textId="77777777" w:rsidR="0053181C" w:rsidRDefault="0053181C" w:rsidP="00A15ED1">
      <w:pPr>
        <w:pStyle w:val="FootnoteText"/>
      </w:pPr>
      <w:r w:rsidRPr="00DB4AEE">
        <w:rPr>
          <w:rStyle w:val="FootnoteReference"/>
        </w:rPr>
        <w:footnoteRef/>
      </w:r>
      <w:r>
        <w:t xml:space="preserve"> </w:t>
      </w:r>
      <w:proofErr w:type="gramStart"/>
      <w:r w:rsidR="00173697">
        <w:rPr>
          <w:i/>
        </w:rPr>
        <w:t>Id.</w:t>
      </w:r>
      <w:r w:rsidR="00173697">
        <w:t xml:space="preserve"> </w:t>
      </w:r>
      <w:r>
        <w:t xml:space="preserve">at 4 (citing to </w:t>
      </w:r>
      <w:hyperlink r:id="rId2" w:history="1">
        <w:r w:rsidR="00A93535" w:rsidRPr="004A40ED">
          <w:rPr>
            <w:rStyle w:val="Hyperlink"/>
          </w:rPr>
          <w:t>http://www.nerc.com/files/ORD-Signatory-Status-Version-3%20(updated%2011-16-2011).pdf</w:t>
        </w:r>
      </w:hyperlink>
      <w:r>
        <w:t>).</w:t>
      </w:r>
      <w:proofErr w:type="gramEnd"/>
    </w:p>
  </w:footnote>
  <w:footnote w:id="118">
    <w:p w14:paraId="5BB1DAF0" w14:textId="77777777" w:rsidR="0053181C" w:rsidRDefault="0053181C" w:rsidP="00A15ED1">
      <w:pPr>
        <w:pStyle w:val="FootnoteText"/>
      </w:pPr>
      <w:r w:rsidRPr="00DB4AEE">
        <w:rPr>
          <w:rStyle w:val="FootnoteReference"/>
        </w:rPr>
        <w:footnoteRef/>
      </w:r>
      <w:r w:rsidR="00173697">
        <w:t xml:space="preserve"> </w:t>
      </w:r>
      <w:r w:rsidR="00173697">
        <w:rPr>
          <w:i/>
        </w:rPr>
        <w:t>Id</w:t>
      </w:r>
      <w:r>
        <w:t>.</w:t>
      </w:r>
    </w:p>
  </w:footnote>
  <w:footnote w:id="119">
    <w:p w14:paraId="5BB1DAF1" w14:textId="77777777" w:rsidR="0053181C" w:rsidRDefault="0053181C" w:rsidP="00A15ED1">
      <w:pPr>
        <w:pStyle w:val="FootnoteText"/>
      </w:pPr>
      <w:r w:rsidRPr="00DB4AEE">
        <w:rPr>
          <w:rStyle w:val="FootnoteReference"/>
        </w:rPr>
        <w:footnoteRef/>
      </w:r>
      <w:r>
        <w:t xml:space="preserve"> </w:t>
      </w:r>
      <w:proofErr w:type="gramStart"/>
      <w:r w:rsidR="00173697">
        <w:rPr>
          <w:i/>
        </w:rPr>
        <w:t>Id.</w:t>
      </w:r>
      <w:r w:rsidR="00173697">
        <w:t xml:space="preserve"> </w:t>
      </w:r>
      <w:r>
        <w:t>at 5.</w:t>
      </w:r>
      <w:proofErr w:type="gramEnd"/>
    </w:p>
  </w:footnote>
  <w:footnote w:id="120">
    <w:p w14:paraId="5BB1DAF2" w14:textId="77777777" w:rsidR="0053181C" w:rsidRDefault="0053181C" w:rsidP="005229AF">
      <w:pPr>
        <w:pStyle w:val="FootnoteText"/>
      </w:pPr>
      <w:r w:rsidRPr="00DB4AEE">
        <w:rPr>
          <w:rStyle w:val="FootnoteReference"/>
        </w:rPr>
        <w:footnoteRef/>
      </w:r>
      <w:r w:rsidR="00173697">
        <w:t xml:space="preserve"> </w:t>
      </w:r>
      <w:r w:rsidR="00173697">
        <w:rPr>
          <w:i/>
        </w:rPr>
        <w:t>Id</w:t>
      </w:r>
      <w:r>
        <w:t>.</w:t>
      </w:r>
    </w:p>
  </w:footnote>
  <w:footnote w:id="121">
    <w:p w14:paraId="5BB1DAF3" w14:textId="77777777" w:rsidR="0053181C" w:rsidRDefault="0053181C">
      <w:pPr>
        <w:pStyle w:val="FootnoteText"/>
      </w:pPr>
      <w:r w:rsidRPr="00DB4AEE">
        <w:rPr>
          <w:rStyle w:val="FootnoteReference"/>
        </w:rPr>
        <w:footnoteRef/>
      </w:r>
      <w:r>
        <w:t xml:space="preserve"> </w:t>
      </w:r>
      <w:r w:rsidR="00B37479" w:rsidRPr="00883017">
        <w:rPr>
          <w:i/>
        </w:rPr>
        <w:t>See</w:t>
      </w:r>
      <w:r w:rsidR="00B37479">
        <w:t xml:space="preserve"> </w:t>
      </w:r>
      <w:r>
        <w:t>Order No. 771,</w:t>
      </w:r>
      <w:r w:rsidRPr="002F1168">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52.</w:t>
      </w:r>
      <w:proofErr w:type="gramEnd"/>
    </w:p>
  </w:footnote>
  <w:footnote w:id="122">
    <w:p w14:paraId="5BB1DAF4" w14:textId="77777777" w:rsidR="0053181C" w:rsidRDefault="0053181C" w:rsidP="001D1D67">
      <w:pPr>
        <w:pStyle w:val="FootnoteText"/>
      </w:pPr>
      <w:r w:rsidRPr="00DB4AEE">
        <w:rPr>
          <w:rStyle w:val="FootnoteReference"/>
        </w:rPr>
        <w:footnoteRef/>
      </w:r>
      <w:r>
        <w:t xml:space="preserve"> </w:t>
      </w:r>
      <w:r w:rsidR="008C2B12" w:rsidRPr="00C82DC2">
        <w:rPr>
          <w:i/>
        </w:rPr>
        <w:t>Id.</w:t>
      </w:r>
      <w:r w:rsidR="008C2B12">
        <w:t xml:space="preserve"> </w:t>
      </w:r>
      <w:r>
        <w:t>P 53.</w:t>
      </w:r>
    </w:p>
  </w:footnote>
  <w:footnote w:id="123">
    <w:p w14:paraId="5BB1DAF5" w14:textId="77777777" w:rsidR="0053181C" w:rsidRDefault="0053181C" w:rsidP="001D1D67">
      <w:pPr>
        <w:pStyle w:val="FootnoteText"/>
      </w:pPr>
      <w:r w:rsidRPr="00DB4AEE">
        <w:rPr>
          <w:rStyle w:val="FootnoteReference"/>
        </w:rPr>
        <w:footnoteRef/>
      </w:r>
      <w:r w:rsidR="00173697">
        <w:t xml:space="preserve"> </w:t>
      </w:r>
      <w:r w:rsidR="00173697">
        <w:rPr>
          <w:i/>
        </w:rPr>
        <w:t>Id</w:t>
      </w:r>
      <w:r>
        <w:t>.</w:t>
      </w:r>
    </w:p>
  </w:footnote>
  <w:footnote w:id="124">
    <w:p w14:paraId="5BB1DAF6" w14:textId="77777777" w:rsidR="0053181C" w:rsidRDefault="0053181C" w:rsidP="001D1D67">
      <w:pPr>
        <w:pStyle w:val="FootnoteText"/>
      </w:pPr>
      <w:r w:rsidRPr="00DB4AEE">
        <w:rPr>
          <w:rStyle w:val="FootnoteReference"/>
        </w:rPr>
        <w:footnoteRef/>
      </w:r>
      <w:r>
        <w:t xml:space="preserve"> </w:t>
      </w:r>
      <w:r w:rsidR="00173697">
        <w:rPr>
          <w:i/>
        </w:rPr>
        <w:t>Id.</w:t>
      </w:r>
      <w:r w:rsidR="00173697">
        <w:t xml:space="preserve"> </w:t>
      </w:r>
      <w:r>
        <w:t>(</w:t>
      </w:r>
      <w:r w:rsidRPr="0053181C">
        <w:t xml:space="preserve">citing </w:t>
      </w:r>
      <w:r w:rsidRPr="007153C1">
        <w:rPr>
          <w:i/>
        </w:rPr>
        <w:t>Southwest Power Pool, Inc</w:t>
      </w:r>
      <w:r>
        <w:t>., 129 FERC ¶</w:t>
      </w:r>
      <w:r w:rsidR="00B90502">
        <w:t> </w:t>
      </w:r>
      <w:r>
        <w:t xml:space="preserve">61,163 (2009), </w:t>
      </w:r>
      <w:r w:rsidRPr="007153C1">
        <w:rPr>
          <w:i/>
        </w:rPr>
        <w:t xml:space="preserve">order on </w:t>
      </w:r>
      <w:proofErr w:type="spellStart"/>
      <w:r w:rsidRPr="007153C1">
        <w:rPr>
          <w:i/>
        </w:rPr>
        <w:t>reh’g</w:t>
      </w:r>
      <w:proofErr w:type="spellEnd"/>
      <w:r>
        <w:t>, 137 FERC ¶</w:t>
      </w:r>
      <w:r w:rsidR="00B90502">
        <w:t> </w:t>
      </w:r>
      <w:r>
        <w:t xml:space="preserve">61,046, at P 20 (2011)).  </w:t>
      </w:r>
      <w:r w:rsidRPr="0053181C">
        <w:rPr>
          <w:i/>
        </w:rPr>
        <w:t>S</w:t>
      </w:r>
      <w:r>
        <w:rPr>
          <w:i/>
          <w:iCs/>
          <w:szCs w:val="26"/>
        </w:rPr>
        <w:t>ee also New York Independent System Operator</w:t>
      </w:r>
      <w:r>
        <w:rPr>
          <w:szCs w:val="26"/>
        </w:rPr>
        <w:t>, 136 FERC ¶</w:t>
      </w:r>
      <w:r w:rsidR="00B90502">
        <w:rPr>
          <w:szCs w:val="26"/>
        </w:rPr>
        <w:t> </w:t>
      </w:r>
      <w:r>
        <w:rPr>
          <w:szCs w:val="26"/>
        </w:rPr>
        <w:t>61,116 (2011)</w:t>
      </w:r>
      <w:r>
        <w:t>.</w:t>
      </w:r>
    </w:p>
  </w:footnote>
  <w:footnote w:id="125">
    <w:p w14:paraId="5BB1DAF7" w14:textId="77777777" w:rsidR="0053181C" w:rsidRDefault="0053181C">
      <w:pPr>
        <w:pStyle w:val="FootnoteText"/>
      </w:pPr>
      <w:r w:rsidRPr="00DB4AEE">
        <w:rPr>
          <w:rStyle w:val="FootnoteReference"/>
        </w:rPr>
        <w:footnoteRef/>
      </w:r>
      <w:r>
        <w:t xml:space="preserve"> </w:t>
      </w:r>
      <w:r w:rsidR="00173697">
        <w:rPr>
          <w:i/>
        </w:rPr>
        <w:t>Id.</w:t>
      </w:r>
      <w:r w:rsidR="00173697">
        <w:t xml:space="preserve"> </w:t>
      </w:r>
      <w:r>
        <w:t>P 52.</w:t>
      </w:r>
    </w:p>
  </w:footnote>
  <w:footnote w:id="126">
    <w:p w14:paraId="5BB1DAF8" w14:textId="77777777" w:rsidR="0053181C" w:rsidRDefault="0053181C">
      <w:pPr>
        <w:pStyle w:val="FootnoteText"/>
      </w:pPr>
      <w:r w:rsidRPr="00DB4AEE">
        <w:rPr>
          <w:rStyle w:val="FootnoteReference"/>
        </w:rPr>
        <w:footnoteRef/>
      </w:r>
      <w:r w:rsidR="00173697">
        <w:t xml:space="preserve"> </w:t>
      </w:r>
      <w:r w:rsidR="00173697">
        <w:rPr>
          <w:i/>
        </w:rPr>
        <w:t>Id</w:t>
      </w:r>
      <w:r>
        <w:t>.</w:t>
      </w:r>
    </w:p>
  </w:footnote>
  <w:footnote w:id="127">
    <w:p w14:paraId="5BB1DAF9" w14:textId="77777777" w:rsidR="0053181C" w:rsidRDefault="0053181C">
      <w:pPr>
        <w:pStyle w:val="FootnoteText"/>
      </w:pPr>
      <w:r w:rsidRPr="00DB4AEE">
        <w:rPr>
          <w:rStyle w:val="FootnoteReference"/>
        </w:rPr>
        <w:footnoteRef/>
      </w:r>
      <w:r>
        <w:t xml:space="preserve"> </w:t>
      </w:r>
      <w:r w:rsidRPr="0053181C">
        <w:rPr>
          <w:i/>
        </w:rPr>
        <w:t>See</w:t>
      </w:r>
      <w:r>
        <w:t xml:space="preserve"> revisions to Article I of Attachment M-Appendix of the PJM OATT and Section 18.17 of the Amended and Restated Operating Agreement accepted in </w:t>
      </w:r>
      <w:r w:rsidRPr="00787922">
        <w:rPr>
          <w:i/>
        </w:rPr>
        <w:t>PJM Interconnection, L.L.C.</w:t>
      </w:r>
      <w:r>
        <w:t>, 144 FERC ¶</w:t>
      </w:r>
      <w:r w:rsidR="00173697">
        <w:t> </w:t>
      </w:r>
      <w:r>
        <w:t>61,152 (2013).</w:t>
      </w:r>
    </w:p>
  </w:footnote>
  <w:footnote w:id="128">
    <w:p w14:paraId="5BB1DAFA" w14:textId="77777777" w:rsidR="0053181C" w:rsidRDefault="0053181C">
      <w:pPr>
        <w:pStyle w:val="FootnoteText"/>
      </w:pPr>
      <w:r w:rsidRPr="00DB4AEE">
        <w:rPr>
          <w:rStyle w:val="FootnoteReference"/>
        </w:rPr>
        <w:footnoteRef/>
      </w:r>
      <w:r>
        <w:t xml:space="preserve"> </w:t>
      </w:r>
      <w:r w:rsidRPr="0053181C">
        <w:rPr>
          <w:i/>
        </w:rPr>
        <w:t>See</w:t>
      </w:r>
      <w:r>
        <w:t xml:space="preserve"> revisions to Section 38.9.1(A) and Section 54.4 of the MISO OATT accepted by delegated letter order in Docket No. ER13-2327-000 on October 29, 2013.</w:t>
      </w:r>
    </w:p>
  </w:footnote>
  <w:footnote w:id="129">
    <w:p w14:paraId="5BB1DAFB" w14:textId="77777777" w:rsidR="007F4CC7" w:rsidRDefault="007F4CC7" w:rsidP="007F4CC7">
      <w:pPr>
        <w:pStyle w:val="FootnoteText"/>
      </w:pPr>
      <w:r w:rsidRPr="00DB4AEE">
        <w:rPr>
          <w:rStyle w:val="FootnoteReference"/>
        </w:rPr>
        <w:footnoteRef/>
      </w:r>
      <w:r>
        <w:t xml:space="preserve"> Order No. 771,</w:t>
      </w:r>
      <w:r w:rsidRPr="002F1168">
        <w:t xml:space="preserve"> </w:t>
      </w:r>
      <w:r w:rsidRPr="006C343C">
        <w:t>FERC Stats</w:t>
      </w:r>
      <w:r>
        <w:t>.</w:t>
      </w:r>
      <w:r w:rsidRPr="006C343C">
        <w:t xml:space="preserve"> </w:t>
      </w:r>
      <w:proofErr w:type="gramStart"/>
      <w:r w:rsidRPr="006C343C">
        <w:t xml:space="preserve">&amp; </w:t>
      </w:r>
      <w:proofErr w:type="spellStart"/>
      <w:r w:rsidRPr="006C343C">
        <w:t>Regs</w:t>
      </w:r>
      <w:proofErr w:type="spellEnd"/>
      <w:r>
        <w:t>.</w:t>
      </w:r>
      <w:proofErr w:type="gramEnd"/>
      <w:r w:rsidRPr="006C343C">
        <w:t xml:space="preserve"> </w:t>
      </w:r>
      <w:proofErr w:type="gramStart"/>
      <w:r w:rsidRPr="006C343C">
        <w:t>¶ 31,339</w:t>
      </w:r>
      <w:r>
        <w:t xml:space="preserve"> at P 52.</w:t>
      </w:r>
      <w:proofErr w:type="gramEnd"/>
    </w:p>
  </w:footnote>
  <w:footnote w:id="130">
    <w:p w14:paraId="5BB1DAFC" w14:textId="77777777" w:rsidR="0053181C" w:rsidRDefault="0053181C" w:rsidP="00E16731">
      <w:pPr>
        <w:pStyle w:val="FootnoteText"/>
      </w:pPr>
      <w:r w:rsidRPr="00DB4AEE">
        <w:rPr>
          <w:rStyle w:val="FootnoteReference"/>
        </w:rPr>
        <w:footnoteRef/>
      </w:r>
      <w:r>
        <w:t xml:space="preserve"> Southern Companies at 2-3, 10.</w:t>
      </w:r>
    </w:p>
  </w:footnote>
  <w:footnote w:id="131">
    <w:p w14:paraId="5BB1DAFD" w14:textId="77777777" w:rsidR="0053181C" w:rsidRDefault="0053181C">
      <w:pPr>
        <w:pStyle w:val="FootnoteText"/>
      </w:pPr>
      <w:r w:rsidRPr="00DB4AEE">
        <w:rPr>
          <w:rStyle w:val="FootnoteReference"/>
        </w:rPr>
        <w:footnoteRef/>
      </w:r>
      <w:r>
        <w:t xml:space="preserve"> The Agent Service works as an agent for E-Tag Authors by allowing for the creation of an e-Tag and the electronic transfer of that information to the appropriate Authority Service.  The Authority Service works as an agent on behalf of the sink Balancing Authority by validating and distributing e-Tags for approval.  </w:t>
      </w:r>
      <w:r w:rsidRPr="0053181C">
        <w:rPr>
          <w:i/>
        </w:rPr>
        <w:t>See</w:t>
      </w:r>
      <w:r>
        <w:t xml:space="preserve"> Order </w:t>
      </w:r>
      <w:r w:rsidR="009D28F0">
        <w:br/>
      </w:r>
      <w:r>
        <w:t>No. 771,</w:t>
      </w:r>
      <w:r w:rsidRPr="00C807E2">
        <w:t xml:space="preserve"> </w:t>
      </w:r>
      <w:r w:rsidRPr="006C343C">
        <w:t xml:space="preserve">FERC Stats &amp; </w:t>
      </w:r>
      <w:proofErr w:type="spellStart"/>
      <w:r w:rsidRPr="006C343C">
        <w:t>Regs</w:t>
      </w:r>
      <w:proofErr w:type="spellEnd"/>
      <w:r w:rsidRPr="006C343C">
        <w:t xml:space="preserve"> ¶ 31,339</w:t>
      </w:r>
      <w:r>
        <w:t>, at n.4 and n.6.</w:t>
      </w:r>
    </w:p>
  </w:footnote>
  <w:footnote w:id="132">
    <w:p w14:paraId="5BB1DAFE" w14:textId="77777777" w:rsidR="0053181C" w:rsidRDefault="0053181C" w:rsidP="004E66BA">
      <w:pPr>
        <w:pStyle w:val="FootnoteText"/>
      </w:pPr>
      <w:r w:rsidRPr="00DB4AEE">
        <w:rPr>
          <w:rStyle w:val="FootnoteReference"/>
        </w:rPr>
        <w:footnoteRef/>
      </w:r>
      <w:r>
        <w:t xml:space="preserve"> </w:t>
      </w:r>
      <w:proofErr w:type="gramStart"/>
      <w:r>
        <w:t>OATI at 2.</w:t>
      </w:r>
      <w:proofErr w:type="gramEnd"/>
    </w:p>
  </w:footnote>
  <w:footnote w:id="133">
    <w:p w14:paraId="5BB1DAFF" w14:textId="77777777" w:rsidR="0053181C" w:rsidRDefault="0053181C">
      <w:pPr>
        <w:pStyle w:val="FootnoteText"/>
      </w:pPr>
      <w:r w:rsidRPr="00DB4AEE">
        <w:rPr>
          <w:rStyle w:val="FootnoteReference"/>
        </w:rPr>
        <w:footnoteRef/>
      </w:r>
      <w:r>
        <w:t xml:space="preserve"> Order No. 771-A</w:t>
      </w:r>
      <w:r w:rsidR="00173697">
        <w:t>,</w:t>
      </w:r>
      <w:r w:rsidR="00173697" w:rsidRPr="00173697">
        <w:rPr>
          <w:szCs w:val="24"/>
        </w:rPr>
        <w:t xml:space="preserve"> </w:t>
      </w:r>
      <w:r w:rsidR="00173697" w:rsidRPr="00173697">
        <w:t>142 FERC ¶ 61,181</w:t>
      </w:r>
      <w:r>
        <w:t xml:space="preserve"> at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2" w14:textId="77777777" w:rsidR="0053181C" w:rsidRDefault="0053181C" w:rsidP="00A462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47C">
      <w:rPr>
        <w:rStyle w:val="PageNumber"/>
        <w:noProof/>
      </w:rPr>
      <w:t>- 1 -</w:t>
    </w:r>
    <w:r>
      <w:rPr>
        <w:rStyle w:val="PageNumber"/>
      </w:rPr>
      <w:fldChar w:fldCharType="end"/>
    </w:r>
  </w:p>
  <w:p w14:paraId="5BB1DA73" w14:textId="77777777" w:rsidR="0053181C" w:rsidRDefault="0053181C" w:rsidP="00942F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4" w14:textId="77777777" w:rsidR="0053181C" w:rsidRDefault="0053181C" w:rsidP="00A462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877">
      <w:rPr>
        <w:rStyle w:val="PageNumber"/>
        <w:noProof/>
      </w:rPr>
      <w:t>- 54 -</w:t>
    </w:r>
    <w:r>
      <w:rPr>
        <w:rStyle w:val="PageNumber"/>
      </w:rPr>
      <w:fldChar w:fldCharType="end"/>
    </w:r>
  </w:p>
  <w:p w14:paraId="5BB1DA75" w14:textId="77777777" w:rsidR="0053181C" w:rsidRPr="00E349E6" w:rsidRDefault="0053181C" w:rsidP="00942FBE">
    <w:pPr>
      <w:pStyle w:val="Header"/>
      <w:ind w:right="360"/>
    </w:pPr>
    <w:r>
      <w:t>Docket No. RM11-12-00</w:t>
    </w:r>
    <w:r w:rsidR="003678A8">
      <w:t>1</w:t>
    </w:r>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DA78" w14:textId="77777777" w:rsidR="0053181C" w:rsidRDefault="0053181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3914170"/>
    <w:multiLevelType w:val="multilevel"/>
    <w:tmpl w:val="5B763532"/>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tabs>
          <w:tab w:val="num" w:pos="1800"/>
        </w:tabs>
        <w:ind w:left="180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11">
    <w:nsid w:val="7E4E4DD3"/>
    <w:multiLevelType w:val="hybridMultilevel"/>
    <w:tmpl w:val="B8C84C64"/>
    <w:lvl w:ilvl="0" w:tplc="E9FAA35E">
      <w:start w:val="1"/>
      <w:numFmt w:val="decimal"/>
      <w:pStyle w:val="FERCparanumber"/>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C3"/>
    <w:rsid w:val="000008DC"/>
    <w:rsid w:val="000010A2"/>
    <w:rsid w:val="000016A1"/>
    <w:rsid w:val="00001846"/>
    <w:rsid w:val="00001F4B"/>
    <w:rsid w:val="00002EA5"/>
    <w:rsid w:val="00003548"/>
    <w:rsid w:val="000039F0"/>
    <w:rsid w:val="00003AA1"/>
    <w:rsid w:val="00004346"/>
    <w:rsid w:val="00004950"/>
    <w:rsid w:val="00004A11"/>
    <w:rsid w:val="00004A8A"/>
    <w:rsid w:val="00004AEC"/>
    <w:rsid w:val="0000585A"/>
    <w:rsid w:val="00005ACF"/>
    <w:rsid w:val="0000615A"/>
    <w:rsid w:val="000065C3"/>
    <w:rsid w:val="00006AE5"/>
    <w:rsid w:val="0000755F"/>
    <w:rsid w:val="000100CA"/>
    <w:rsid w:val="00010CA8"/>
    <w:rsid w:val="00011A24"/>
    <w:rsid w:val="00011A54"/>
    <w:rsid w:val="0001202B"/>
    <w:rsid w:val="000129B6"/>
    <w:rsid w:val="00012D26"/>
    <w:rsid w:val="00012FEF"/>
    <w:rsid w:val="000131D5"/>
    <w:rsid w:val="000133FB"/>
    <w:rsid w:val="000136AA"/>
    <w:rsid w:val="000136F4"/>
    <w:rsid w:val="00013BBF"/>
    <w:rsid w:val="00014B7D"/>
    <w:rsid w:val="00014CD3"/>
    <w:rsid w:val="00014FDC"/>
    <w:rsid w:val="0001528E"/>
    <w:rsid w:val="000158C2"/>
    <w:rsid w:val="00016DEE"/>
    <w:rsid w:val="000174D7"/>
    <w:rsid w:val="00017D3A"/>
    <w:rsid w:val="00017DB6"/>
    <w:rsid w:val="00020A84"/>
    <w:rsid w:val="00021448"/>
    <w:rsid w:val="00021B4E"/>
    <w:rsid w:val="00021C38"/>
    <w:rsid w:val="00021F71"/>
    <w:rsid w:val="000221B9"/>
    <w:rsid w:val="000223E4"/>
    <w:rsid w:val="00022586"/>
    <w:rsid w:val="0002294B"/>
    <w:rsid w:val="0002294D"/>
    <w:rsid w:val="00022B77"/>
    <w:rsid w:val="0002367E"/>
    <w:rsid w:val="00023BB1"/>
    <w:rsid w:val="00023C15"/>
    <w:rsid w:val="00023E50"/>
    <w:rsid w:val="000241CE"/>
    <w:rsid w:val="00024424"/>
    <w:rsid w:val="00024660"/>
    <w:rsid w:val="00024FAD"/>
    <w:rsid w:val="00025EB0"/>
    <w:rsid w:val="00026F00"/>
    <w:rsid w:val="00027037"/>
    <w:rsid w:val="00027D5A"/>
    <w:rsid w:val="000300EA"/>
    <w:rsid w:val="00030452"/>
    <w:rsid w:val="00030B1A"/>
    <w:rsid w:val="000316FC"/>
    <w:rsid w:val="00031D8B"/>
    <w:rsid w:val="00032E9E"/>
    <w:rsid w:val="00034A62"/>
    <w:rsid w:val="00035017"/>
    <w:rsid w:val="0003506E"/>
    <w:rsid w:val="00035AC0"/>
    <w:rsid w:val="00035B05"/>
    <w:rsid w:val="00035B57"/>
    <w:rsid w:val="00035D07"/>
    <w:rsid w:val="00036827"/>
    <w:rsid w:val="00036AAA"/>
    <w:rsid w:val="00036CB0"/>
    <w:rsid w:val="00037102"/>
    <w:rsid w:val="00037622"/>
    <w:rsid w:val="00037F7E"/>
    <w:rsid w:val="00040148"/>
    <w:rsid w:val="00041067"/>
    <w:rsid w:val="000410B8"/>
    <w:rsid w:val="00041C0A"/>
    <w:rsid w:val="00042097"/>
    <w:rsid w:val="0004211A"/>
    <w:rsid w:val="000426DA"/>
    <w:rsid w:val="00043535"/>
    <w:rsid w:val="00043709"/>
    <w:rsid w:val="000438F0"/>
    <w:rsid w:val="00043FB1"/>
    <w:rsid w:val="00044310"/>
    <w:rsid w:val="000443F6"/>
    <w:rsid w:val="000446EE"/>
    <w:rsid w:val="00045168"/>
    <w:rsid w:val="000455D3"/>
    <w:rsid w:val="00046803"/>
    <w:rsid w:val="00046A52"/>
    <w:rsid w:val="00046B27"/>
    <w:rsid w:val="00046BAA"/>
    <w:rsid w:val="000473E9"/>
    <w:rsid w:val="00047514"/>
    <w:rsid w:val="00047B54"/>
    <w:rsid w:val="0005007B"/>
    <w:rsid w:val="000504C7"/>
    <w:rsid w:val="00051FB1"/>
    <w:rsid w:val="00053843"/>
    <w:rsid w:val="00054007"/>
    <w:rsid w:val="0005418B"/>
    <w:rsid w:val="0005596E"/>
    <w:rsid w:val="000562DA"/>
    <w:rsid w:val="00056B34"/>
    <w:rsid w:val="00057120"/>
    <w:rsid w:val="00057383"/>
    <w:rsid w:val="00060573"/>
    <w:rsid w:val="0006063B"/>
    <w:rsid w:val="00060DD6"/>
    <w:rsid w:val="00061284"/>
    <w:rsid w:val="00061322"/>
    <w:rsid w:val="00061519"/>
    <w:rsid w:val="0006189D"/>
    <w:rsid w:val="00061BF3"/>
    <w:rsid w:val="00062004"/>
    <w:rsid w:val="00062108"/>
    <w:rsid w:val="00062845"/>
    <w:rsid w:val="000632CE"/>
    <w:rsid w:val="00063C60"/>
    <w:rsid w:val="0006403B"/>
    <w:rsid w:val="00064829"/>
    <w:rsid w:val="0006505F"/>
    <w:rsid w:val="000650B0"/>
    <w:rsid w:val="00065256"/>
    <w:rsid w:val="000656C0"/>
    <w:rsid w:val="000660B6"/>
    <w:rsid w:val="00066140"/>
    <w:rsid w:val="0006645F"/>
    <w:rsid w:val="00066527"/>
    <w:rsid w:val="00066714"/>
    <w:rsid w:val="00066F4B"/>
    <w:rsid w:val="00067009"/>
    <w:rsid w:val="00067E42"/>
    <w:rsid w:val="00071AAC"/>
    <w:rsid w:val="000727C3"/>
    <w:rsid w:val="0007321F"/>
    <w:rsid w:val="000733A7"/>
    <w:rsid w:val="00074A14"/>
    <w:rsid w:val="00074CE9"/>
    <w:rsid w:val="00076ADA"/>
    <w:rsid w:val="00076F34"/>
    <w:rsid w:val="0007717A"/>
    <w:rsid w:val="0007725C"/>
    <w:rsid w:val="00077299"/>
    <w:rsid w:val="000808C0"/>
    <w:rsid w:val="00080B5B"/>
    <w:rsid w:val="00081326"/>
    <w:rsid w:val="00082077"/>
    <w:rsid w:val="000822CA"/>
    <w:rsid w:val="00082312"/>
    <w:rsid w:val="000826E5"/>
    <w:rsid w:val="00082822"/>
    <w:rsid w:val="00082E46"/>
    <w:rsid w:val="00083DBE"/>
    <w:rsid w:val="00083E5A"/>
    <w:rsid w:val="000846AB"/>
    <w:rsid w:val="000848B7"/>
    <w:rsid w:val="00084C53"/>
    <w:rsid w:val="00084D31"/>
    <w:rsid w:val="00085BA9"/>
    <w:rsid w:val="00085BE8"/>
    <w:rsid w:val="000867CB"/>
    <w:rsid w:val="00086CDC"/>
    <w:rsid w:val="0008701E"/>
    <w:rsid w:val="00087051"/>
    <w:rsid w:val="0008718D"/>
    <w:rsid w:val="000879A2"/>
    <w:rsid w:val="00087C94"/>
    <w:rsid w:val="00087FCE"/>
    <w:rsid w:val="00091164"/>
    <w:rsid w:val="000916C2"/>
    <w:rsid w:val="00091746"/>
    <w:rsid w:val="00091C79"/>
    <w:rsid w:val="00092158"/>
    <w:rsid w:val="000929B2"/>
    <w:rsid w:val="00092C70"/>
    <w:rsid w:val="00092D4D"/>
    <w:rsid w:val="00092E5B"/>
    <w:rsid w:val="0009322D"/>
    <w:rsid w:val="000937C2"/>
    <w:rsid w:val="000949B3"/>
    <w:rsid w:val="00094AA1"/>
    <w:rsid w:val="00094CF6"/>
    <w:rsid w:val="00094E87"/>
    <w:rsid w:val="000950A1"/>
    <w:rsid w:val="00095BFF"/>
    <w:rsid w:val="00095DCF"/>
    <w:rsid w:val="00095EEE"/>
    <w:rsid w:val="000963AE"/>
    <w:rsid w:val="0009670C"/>
    <w:rsid w:val="00096B2E"/>
    <w:rsid w:val="000970A8"/>
    <w:rsid w:val="000972B5"/>
    <w:rsid w:val="000974DF"/>
    <w:rsid w:val="000977FB"/>
    <w:rsid w:val="00097C85"/>
    <w:rsid w:val="00097F60"/>
    <w:rsid w:val="000A0223"/>
    <w:rsid w:val="000A0D5B"/>
    <w:rsid w:val="000A1209"/>
    <w:rsid w:val="000A157E"/>
    <w:rsid w:val="000A158F"/>
    <w:rsid w:val="000A1BF3"/>
    <w:rsid w:val="000A1CFD"/>
    <w:rsid w:val="000A1DAA"/>
    <w:rsid w:val="000A26E8"/>
    <w:rsid w:val="000A2D91"/>
    <w:rsid w:val="000A3AC9"/>
    <w:rsid w:val="000A409A"/>
    <w:rsid w:val="000A413A"/>
    <w:rsid w:val="000A4314"/>
    <w:rsid w:val="000A4EB8"/>
    <w:rsid w:val="000A586E"/>
    <w:rsid w:val="000A5BA3"/>
    <w:rsid w:val="000A601C"/>
    <w:rsid w:val="000A618D"/>
    <w:rsid w:val="000A634B"/>
    <w:rsid w:val="000A67E4"/>
    <w:rsid w:val="000B08A4"/>
    <w:rsid w:val="000B15E0"/>
    <w:rsid w:val="000B1F97"/>
    <w:rsid w:val="000B2760"/>
    <w:rsid w:val="000B350D"/>
    <w:rsid w:val="000B365F"/>
    <w:rsid w:val="000B3D2C"/>
    <w:rsid w:val="000B3ECD"/>
    <w:rsid w:val="000B46E1"/>
    <w:rsid w:val="000B4FEE"/>
    <w:rsid w:val="000B565E"/>
    <w:rsid w:val="000B5BA1"/>
    <w:rsid w:val="000B6C6A"/>
    <w:rsid w:val="000B6C86"/>
    <w:rsid w:val="000B7201"/>
    <w:rsid w:val="000B7294"/>
    <w:rsid w:val="000B73E5"/>
    <w:rsid w:val="000B7B33"/>
    <w:rsid w:val="000C0176"/>
    <w:rsid w:val="000C05F8"/>
    <w:rsid w:val="000C0C05"/>
    <w:rsid w:val="000C155E"/>
    <w:rsid w:val="000C15B7"/>
    <w:rsid w:val="000C18D3"/>
    <w:rsid w:val="000C1D1E"/>
    <w:rsid w:val="000C1F55"/>
    <w:rsid w:val="000C2619"/>
    <w:rsid w:val="000C2F61"/>
    <w:rsid w:val="000C2FE7"/>
    <w:rsid w:val="000C33D2"/>
    <w:rsid w:val="000C410C"/>
    <w:rsid w:val="000C4897"/>
    <w:rsid w:val="000C5411"/>
    <w:rsid w:val="000C6007"/>
    <w:rsid w:val="000C6CEA"/>
    <w:rsid w:val="000C7616"/>
    <w:rsid w:val="000C7CCA"/>
    <w:rsid w:val="000C7D12"/>
    <w:rsid w:val="000C7E65"/>
    <w:rsid w:val="000D0097"/>
    <w:rsid w:val="000D068E"/>
    <w:rsid w:val="000D11B0"/>
    <w:rsid w:val="000D19F2"/>
    <w:rsid w:val="000D1D66"/>
    <w:rsid w:val="000D2081"/>
    <w:rsid w:val="000D210C"/>
    <w:rsid w:val="000D22B0"/>
    <w:rsid w:val="000D2B7E"/>
    <w:rsid w:val="000D2DFC"/>
    <w:rsid w:val="000D301A"/>
    <w:rsid w:val="000D31E7"/>
    <w:rsid w:val="000D37E7"/>
    <w:rsid w:val="000D527E"/>
    <w:rsid w:val="000D5520"/>
    <w:rsid w:val="000D5736"/>
    <w:rsid w:val="000D57C9"/>
    <w:rsid w:val="000D5EF7"/>
    <w:rsid w:val="000D6175"/>
    <w:rsid w:val="000D670E"/>
    <w:rsid w:val="000D67DE"/>
    <w:rsid w:val="000D6AA4"/>
    <w:rsid w:val="000D6AC1"/>
    <w:rsid w:val="000D6B01"/>
    <w:rsid w:val="000D6BAA"/>
    <w:rsid w:val="000D6E00"/>
    <w:rsid w:val="000D6FCE"/>
    <w:rsid w:val="000D7188"/>
    <w:rsid w:val="000D7830"/>
    <w:rsid w:val="000D7AD4"/>
    <w:rsid w:val="000D7C83"/>
    <w:rsid w:val="000E0965"/>
    <w:rsid w:val="000E0AAC"/>
    <w:rsid w:val="000E1135"/>
    <w:rsid w:val="000E12BE"/>
    <w:rsid w:val="000E14BB"/>
    <w:rsid w:val="000E19FF"/>
    <w:rsid w:val="000E1EF6"/>
    <w:rsid w:val="000E1FE2"/>
    <w:rsid w:val="000E3665"/>
    <w:rsid w:val="000E41CC"/>
    <w:rsid w:val="000E473B"/>
    <w:rsid w:val="000E4E99"/>
    <w:rsid w:val="000E4F6D"/>
    <w:rsid w:val="000E5009"/>
    <w:rsid w:val="000E51F4"/>
    <w:rsid w:val="000E66D9"/>
    <w:rsid w:val="000E7A2A"/>
    <w:rsid w:val="000E7DE0"/>
    <w:rsid w:val="000E7E41"/>
    <w:rsid w:val="000E7F88"/>
    <w:rsid w:val="000F0114"/>
    <w:rsid w:val="000F013C"/>
    <w:rsid w:val="000F0A91"/>
    <w:rsid w:val="000F0E52"/>
    <w:rsid w:val="000F0F09"/>
    <w:rsid w:val="000F130C"/>
    <w:rsid w:val="000F24AF"/>
    <w:rsid w:val="000F2813"/>
    <w:rsid w:val="000F28E3"/>
    <w:rsid w:val="000F3E80"/>
    <w:rsid w:val="000F3F0F"/>
    <w:rsid w:val="000F42ED"/>
    <w:rsid w:val="000F438A"/>
    <w:rsid w:val="000F4DC4"/>
    <w:rsid w:val="000F4E91"/>
    <w:rsid w:val="000F5047"/>
    <w:rsid w:val="000F50BE"/>
    <w:rsid w:val="000F5302"/>
    <w:rsid w:val="000F5775"/>
    <w:rsid w:val="000F5CF3"/>
    <w:rsid w:val="000F6044"/>
    <w:rsid w:val="000F63F6"/>
    <w:rsid w:val="000F6557"/>
    <w:rsid w:val="000F68E5"/>
    <w:rsid w:val="000F7238"/>
    <w:rsid w:val="000F7421"/>
    <w:rsid w:val="000F7437"/>
    <w:rsid w:val="0010085C"/>
    <w:rsid w:val="00101152"/>
    <w:rsid w:val="001012C8"/>
    <w:rsid w:val="001013CC"/>
    <w:rsid w:val="00101558"/>
    <w:rsid w:val="0010175C"/>
    <w:rsid w:val="001017B5"/>
    <w:rsid w:val="001019D1"/>
    <w:rsid w:val="00101ECB"/>
    <w:rsid w:val="00102832"/>
    <w:rsid w:val="00102993"/>
    <w:rsid w:val="00102B16"/>
    <w:rsid w:val="00102B4E"/>
    <w:rsid w:val="0010352E"/>
    <w:rsid w:val="00103B23"/>
    <w:rsid w:val="00103BFD"/>
    <w:rsid w:val="00103E0B"/>
    <w:rsid w:val="00104E76"/>
    <w:rsid w:val="001054AB"/>
    <w:rsid w:val="00107274"/>
    <w:rsid w:val="00107DC9"/>
    <w:rsid w:val="001106ED"/>
    <w:rsid w:val="0011212F"/>
    <w:rsid w:val="00112284"/>
    <w:rsid w:val="0011234C"/>
    <w:rsid w:val="001125E1"/>
    <w:rsid w:val="00112870"/>
    <w:rsid w:val="00112FC1"/>
    <w:rsid w:val="001130D6"/>
    <w:rsid w:val="001130DC"/>
    <w:rsid w:val="00113644"/>
    <w:rsid w:val="00113B8A"/>
    <w:rsid w:val="00114197"/>
    <w:rsid w:val="00114673"/>
    <w:rsid w:val="0011511B"/>
    <w:rsid w:val="0011515A"/>
    <w:rsid w:val="001156A1"/>
    <w:rsid w:val="001170A8"/>
    <w:rsid w:val="00117141"/>
    <w:rsid w:val="001173A9"/>
    <w:rsid w:val="00117586"/>
    <w:rsid w:val="001179D0"/>
    <w:rsid w:val="00120011"/>
    <w:rsid w:val="001203F2"/>
    <w:rsid w:val="00120B2A"/>
    <w:rsid w:val="00120CE3"/>
    <w:rsid w:val="00121207"/>
    <w:rsid w:val="00121C75"/>
    <w:rsid w:val="00121CC7"/>
    <w:rsid w:val="0012245F"/>
    <w:rsid w:val="00122810"/>
    <w:rsid w:val="00123043"/>
    <w:rsid w:val="00123F5D"/>
    <w:rsid w:val="00124616"/>
    <w:rsid w:val="00124F04"/>
    <w:rsid w:val="00125319"/>
    <w:rsid w:val="00125627"/>
    <w:rsid w:val="001259AB"/>
    <w:rsid w:val="001270D8"/>
    <w:rsid w:val="00127BCA"/>
    <w:rsid w:val="00127D37"/>
    <w:rsid w:val="00130236"/>
    <w:rsid w:val="0013158B"/>
    <w:rsid w:val="0013176F"/>
    <w:rsid w:val="00131961"/>
    <w:rsid w:val="0013267D"/>
    <w:rsid w:val="00132958"/>
    <w:rsid w:val="00132964"/>
    <w:rsid w:val="001329CD"/>
    <w:rsid w:val="0013486E"/>
    <w:rsid w:val="00134E66"/>
    <w:rsid w:val="001350B9"/>
    <w:rsid w:val="00135832"/>
    <w:rsid w:val="00135D17"/>
    <w:rsid w:val="00135E46"/>
    <w:rsid w:val="00135E9D"/>
    <w:rsid w:val="00136FFC"/>
    <w:rsid w:val="001372B8"/>
    <w:rsid w:val="001406B0"/>
    <w:rsid w:val="00140F26"/>
    <w:rsid w:val="001415E7"/>
    <w:rsid w:val="00141685"/>
    <w:rsid w:val="001422A3"/>
    <w:rsid w:val="001428F4"/>
    <w:rsid w:val="00143142"/>
    <w:rsid w:val="00143570"/>
    <w:rsid w:val="00143B54"/>
    <w:rsid w:val="0014436C"/>
    <w:rsid w:val="0014452C"/>
    <w:rsid w:val="00144959"/>
    <w:rsid w:val="001453AE"/>
    <w:rsid w:val="001455A9"/>
    <w:rsid w:val="0014582A"/>
    <w:rsid w:val="001458FD"/>
    <w:rsid w:val="001466C3"/>
    <w:rsid w:val="00146B0E"/>
    <w:rsid w:val="001472D9"/>
    <w:rsid w:val="00147646"/>
    <w:rsid w:val="00147EC8"/>
    <w:rsid w:val="001502BD"/>
    <w:rsid w:val="00150AD2"/>
    <w:rsid w:val="00151132"/>
    <w:rsid w:val="0015120D"/>
    <w:rsid w:val="00151645"/>
    <w:rsid w:val="00151827"/>
    <w:rsid w:val="00151F7E"/>
    <w:rsid w:val="00152079"/>
    <w:rsid w:val="00152154"/>
    <w:rsid w:val="00152CCD"/>
    <w:rsid w:val="001539A2"/>
    <w:rsid w:val="0015403C"/>
    <w:rsid w:val="001543CC"/>
    <w:rsid w:val="00154488"/>
    <w:rsid w:val="001546BF"/>
    <w:rsid w:val="00154746"/>
    <w:rsid w:val="00154880"/>
    <w:rsid w:val="00154BD4"/>
    <w:rsid w:val="00155F3D"/>
    <w:rsid w:val="0015607E"/>
    <w:rsid w:val="00156A73"/>
    <w:rsid w:val="001576EB"/>
    <w:rsid w:val="00160A3F"/>
    <w:rsid w:val="0016172A"/>
    <w:rsid w:val="00161CB9"/>
    <w:rsid w:val="0016238D"/>
    <w:rsid w:val="001624E9"/>
    <w:rsid w:val="0016268A"/>
    <w:rsid w:val="00162AD6"/>
    <w:rsid w:val="001632B6"/>
    <w:rsid w:val="00163663"/>
    <w:rsid w:val="00163C0C"/>
    <w:rsid w:val="00163C4E"/>
    <w:rsid w:val="001640EA"/>
    <w:rsid w:val="00164615"/>
    <w:rsid w:val="00164D28"/>
    <w:rsid w:val="001657BE"/>
    <w:rsid w:val="001658D3"/>
    <w:rsid w:val="0016607B"/>
    <w:rsid w:val="00166084"/>
    <w:rsid w:val="00166289"/>
    <w:rsid w:val="00166984"/>
    <w:rsid w:val="00166B9D"/>
    <w:rsid w:val="00166EBA"/>
    <w:rsid w:val="00166F41"/>
    <w:rsid w:val="001677E0"/>
    <w:rsid w:val="00167BE5"/>
    <w:rsid w:val="00170005"/>
    <w:rsid w:val="001703B5"/>
    <w:rsid w:val="00170C18"/>
    <w:rsid w:val="001715C9"/>
    <w:rsid w:val="00172500"/>
    <w:rsid w:val="001728C4"/>
    <w:rsid w:val="00172981"/>
    <w:rsid w:val="00172ABD"/>
    <w:rsid w:val="00173697"/>
    <w:rsid w:val="00173A73"/>
    <w:rsid w:val="00174239"/>
    <w:rsid w:val="00174282"/>
    <w:rsid w:val="001755A8"/>
    <w:rsid w:val="00176821"/>
    <w:rsid w:val="00176C1F"/>
    <w:rsid w:val="001774C6"/>
    <w:rsid w:val="00177BDE"/>
    <w:rsid w:val="00180514"/>
    <w:rsid w:val="00180B2F"/>
    <w:rsid w:val="00180EB8"/>
    <w:rsid w:val="00181808"/>
    <w:rsid w:val="00182F55"/>
    <w:rsid w:val="0018307D"/>
    <w:rsid w:val="001831A6"/>
    <w:rsid w:val="001837A8"/>
    <w:rsid w:val="00183F76"/>
    <w:rsid w:val="00184913"/>
    <w:rsid w:val="00184B94"/>
    <w:rsid w:val="001855BE"/>
    <w:rsid w:val="00185749"/>
    <w:rsid w:val="00185C41"/>
    <w:rsid w:val="001865E5"/>
    <w:rsid w:val="00186BDB"/>
    <w:rsid w:val="00186DE6"/>
    <w:rsid w:val="0018755F"/>
    <w:rsid w:val="00187B25"/>
    <w:rsid w:val="00187F71"/>
    <w:rsid w:val="0019006E"/>
    <w:rsid w:val="00190610"/>
    <w:rsid w:val="0019063F"/>
    <w:rsid w:val="00190686"/>
    <w:rsid w:val="00191A5D"/>
    <w:rsid w:val="00191A93"/>
    <w:rsid w:val="00191E38"/>
    <w:rsid w:val="00192218"/>
    <w:rsid w:val="001930EE"/>
    <w:rsid w:val="00193BA8"/>
    <w:rsid w:val="00194484"/>
    <w:rsid w:val="001944CA"/>
    <w:rsid w:val="0019467C"/>
    <w:rsid w:val="00194AA7"/>
    <w:rsid w:val="001951AE"/>
    <w:rsid w:val="001956D9"/>
    <w:rsid w:val="00195AA7"/>
    <w:rsid w:val="00196824"/>
    <w:rsid w:val="00197A21"/>
    <w:rsid w:val="001A0094"/>
    <w:rsid w:val="001A08C1"/>
    <w:rsid w:val="001A1070"/>
    <w:rsid w:val="001A1159"/>
    <w:rsid w:val="001A17AA"/>
    <w:rsid w:val="001A18E2"/>
    <w:rsid w:val="001A1E8E"/>
    <w:rsid w:val="001A1F53"/>
    <w:rsid w:val="001A20B4"/>
    <w:rsid w:val="001A21E6"/>
    <w:rsid w:val="001A22C3"/>
    <w:rsid w:val="001A2AE7"/>
    <w:rsid w:val="001A336D"/>
    <w:rsid w:val="001A3527"/>
    <w:rsid w:val="001A404D"/>
    <w:rsid w:val="001A43A0"/>
    <w:rsid w:val="001A52C9"/>
    <w:rsid w:val="001A570C"/>
    <w:rsid w:val="001A58BB"/>
    <w:rsid w:val="001A5A53"/>
    <w:rsid w:val="001A5CEE"/>
    <w:rsid w:val="001A62DB"/>
    <w:rsid w:val="001A686F"/>
    <w:rsid w:val="001A6E13"/>
    <w:rsid w:val="001A7913"/>
    <w:rsid w:val="001A7ECB"/>
    <w:rsid w:val="001B0159"/>
    <w:rsid w:val="001B072D"/>
    <w:rsid w:val="001B086F"/>
    <w:rsid w:val="001B0C0B"/>
    <w:rsid w:val="001B0D8F"/>
    <w:rsid w:val="001B171C"/>
    <w:rsid w:val="001B2807"/>
    <w:rsid w:val="001B2A6C"/>
    <w:rsid w:val="001B2E86"/>
    <w:rsid w:val="001B3571"/>
    <w:rsid w:val="001B455D"/>
    <w:rsid w:val="001B512A"/>
    <w:rsid w:val="001B5976"/>
    <w:rsid w:val="001B5990"/>
    <w:rsid w:val="001B60E7"/>
    <w:rsid w:val="001B620D"/>
    <w:rsid w:val="001B635A"/>
    <w:rsid w:val="001B636F"/>
    <w:rsid w:val="001B6475"/>
    <w:rsid w:val="001B6994"/>
    <w:rsid w:val="001B6FF3"/>
    <w:rsid w:val="001B7093"/>
    <w:rsid w:val="001B730B"/>
    <w:rsid w:val="001B75BF"/>
    <w:rsid w:val="001C0020"/>
    <w:rsid w:val="001C0AC6"/>
    <w:rsid w:val="001C0EB6"/>
    <w:rsid w:val="001C1613"/>
    <w:rsid w:val="001C217B"/>
    <w:rsid w:val="001C237E"/>
    <w:rsid w:val="001C3104"/>
    <w:rsid w:val="001C313F"/>
    <w:rsid w:val="001C3488"/>
    <w:rsid w:val="001C3544"/>
    <w:rsid w:val="001C4385"/>
    <w:rsid w:val="001C4A92"/>
    <w:rsid w:val="001C4C2C"/>
    <w:rsid w:val="001C54E7"/>
    <w:rsid w:val="001C5818"/>
    <w:rsid w:val="001C5BB6"/>
    <w:rsid w:val="001C616B"/>
    <w:rsid w:val="001C6A05"/>
    <w:rsid w:val="001C6CD2"/>
    <w:rsid w:val="001C73E2"/>
    <w:rsid w:val="001C77CE"/>
    <w:rsid w:val="001C7911"/>
    <w:rsid w:val="001C7DBE"/>
    <w:rsid w:val="001C7EC5"/>
    <w:rsid w:val="001D005E"/>
    <w:rsid w:val="001D09BC"/>
    <w:rsid w:val="001D0AF2"/>
    <w:rsid w:val="001D1ADB"/>
    <w:rsid w:val="001D1AF9"/>
    <w:rsid w:val="001D1D67"/>
    <w:rsid w:val="001D1FE8"/>
    <w:rsid w:val="001D243C"/>
    <w:rsid w:val="001D28A0"/>
    <w:rsid w:val="001D2989"/>
    <w:rsid w:val="001D32FA"/>
    <w:rsid w:val="001D4217"/>
    <w:rsid w:val="001D455E"/>
    <w:rsid w:val="001D4785"/>
    <w:rsid w:val="001D4A0A"/>
    <w:rsid w:val="001D4A0B"/>
    <w:rsid w:val="001D59F0"/>
    <w:rsid w:val="001D6501"/>
    <w:rsid w:val="001D6505"/>
    <w:rsid w:val="001D6BC9"/>
    <w:rsid w:val="001D7BBA"/>
    <w:rsid w:val="001E0031"/>
    <w:rsid w:val="001E02C4"/>
    <w:rsid w:val="001E0670"/>
    <w:rsid w:val="001E08EA"/>
    <w:rsid w:val="001E0B01"/>
    <w:rsid w:val="001E127B"/>
    <w:rsid w:val="001E1429"/>
    <w:rsid w:val="001E2423"/>
    <w:rsid w:val="001E38E3"/>
    <w:rsid w:val="001E3DF6"/>
    <w:rsid w:val="001E3E20"/>
    <w:rsid w:val="001E4958"/>
    <w:rsid w:val="001E5428"/>
    <w:rsid w:val="001E67E5"/>
    <w:rsid w:val="001E6A58"/>
    <w:rsid w:val="001E6C83"/>
    <w:rsid w:val="001E6DB2"/>
    <w:rsid w:val="001E751A"/>
    <w:rsid w:val="001E7A0A"/>
    <w:rsid w:val="001F0C0A"/>
    <w:rsid w:val="001F169D"/>
    <w:rsid w:val="001F18FC"/>
    <w:rsid w:val="001F1B98"/>
    <w:rsid w:val="001F1C2E"/>
    <w:rsid w:val="001F1E6D"/>
    <w:rsid w:val="001F1F41"/>
    <w:rsid w:val="001F20CE"/>
    <w:rsid w:val="001F25A6"/>
    <w:rsid w:val="001F2C0B"/>
    <w:rsid w:val="001F2D8A"/>
    <w:rsid w:val="001F37A3"/>
    <w:rsid w:val="001F390F"/>
    <w:rsid w:val="001F4B89"/>
    <w:rsid w:val="001F4DB7"/>
    <w:rsid w:val="001F56F6"/>
    <w:rsid w:val="001F573A"/>
    <w:rsid w:val="001F5AC6"/>
    <w:rsid w:val="001F5AEB"/>
    <w:rsid w:val="001F68E1"/>
    <w:rsid w:val="001F6C13"/>
    <w:rsid w:val="001F6F29"/>
    <w:rsid w:val="001F6F4B"/>
    <w:rsid w:val="001F7231"/>
    <w:rsid w:val="001F75CB"/>
    <w:rsid w:val="001F7945"/>
    <w:rsid w:val="001F7A65"/>
    <w:rsid w:val="0020050B"/>
    <w:rsid w:val="00200545"/>
    <w:rsid w:val="002008B3"/>
    <w:rsid w:val="00200E93"/>
    <w:rsid w:val="00201336"/>
    <w:rsid w:val="002017A8"/>
    <w:rsid w:val="002018F1"/>
    <w:rsid w:val="0020254F"/>
    <w:rsid w:val="00202AE4"/>
    <w:rsid w:val="00202CE2"/>
    <w:rsid w:val="00202F86"/>
    <w:rsid w:val="00203936"/>
    <w:rsid w:val="00203B4A"/>
    <w:rsid w:val="00204E98"/>
    <w:rsid w:val="00205829"/>
    <w:rsid w:val="00205B2F"/>
    <w:rsid w:val="00205F9E"/>
    <w:rsid w:val="00206066"/>
    <w:rsid w:val="00207F04"/>
    <w:rsid w:val="00210766"/>
    <w:rsid w:val="00210B23"/>
    <w:rsid w:val="0021146C"/>
    <w:rsid w:val="00211E11"/>
    <w:rsid w:val="00212119"/>
    <w:rsid w:val="0021230A"/>
    <w:rsid w:val="00212F24"/>
    <w:rsid w:val="00212F95"/>
    <w:rsid w:val="002133CB"/>
    <w:rsid w:val="002135B3"/>
    <w:rsid w:val="00213869"/>
    <w:rsid w:val="00213C62"/>
    <w:rsid w:val="00213E34"/>
    <w:rsid w:val="00215334"/>
    <w:rsid w:val="002156DF"/>
    <w:rsid w:val="00216028"/>
    <w:rsid w:val="002160A4"/>
    <w:rsid w:val="002160C3"/>
    <w:rsid w:val="002163C6"/>
    <w:rsid w:val="002166FE"/>
    <w:rsid w:val="00216EA0"/>
    <w:rsid w:val="00217183"/>
    <w:rsid w:val="00217284"/>
    <w:rsid w:val="002172C2"/>
    <w:rsid w:val="00217B51"/>
    <w:rsid w:val="00217BD2"/>
    <w:rsid w:val="00217F33"/>
    <w:rsid w:val="00220692"/>
    <w:rsid w:val="00220EAE"/>
    <w:rsid w:val="00221114"/>
    <w:rsid w:val="002220AF"/>
    <w:rsid w:val="00222955"/>
    <w:rsid w:val="00222A1B"/>
    <w:rsid w:val="00222A45"/>
    <w:rsid w:val="00223A0A"/>
    <w:rsid w:val="002246B2"/>
    <w:rsid w:val="00224D42"/>
    <w:rsid w:val="00225092"/>
    <w:rsid w:val="00225F94"/>
    <w:rsid w:val="00226210"/>
    <w:rsid w:val="002269A1"/>
    <w:rsid w:val="00226D38"/>
    <w:rsid w:val="00226ED2"/>
    <w:rsid w:val="00227FD4"/>
    <w:rsid w:val="002302F3"/>
    <w:rsid w:val="002306BC"/>
    <w:rsid w:val="00230ADA"/>
    <w:rsid w:val="00230DB9"/>
    <w:rsid w:val="00230DDF"/>
    <w:rsid w:val="002315BF"/>
    <w:rsid w:val="002324F9"/>
    <w:rsid w:val="00232727"/>
    <w:rsid w:val="00232DAF"/>
    <w:rsid w:val="00233436"/>
    <w:rsid w:val="00233509"/>
    <w:rsid w:val="00233789"/>
    <w:rsid w:val="00233FB7"/>
    <w:rsid w:val="00233FD6"/>
    <w:rsid w:val="002347AE"/>
    <w:rsid w:val="00234D42"/>
    <w:rsid w:val="0023506A"/>
    <w:rsid w:val="0023530E"/>
    <w:rsid w:val="0023594F"/>
    <w:rsid w:val="00235C3A"/>
    <w:rsid w:val="00235D9D"/>
    <w:rsid w:val="0023611F"/>
    <w:rsid w:val="0023686E"/>
    <w:rsid w:val="00236A07"/>
    <w:rsid w:val="00236CFC"/>
    <w:rsid w:val="00236CFE"/>
    <w:rsid w:val="00236F51"/>
    <w:rsid w:val="002370ED"/>
    <w:rsid w:val="002375D3"/>
    <w:rsid w:val="002376DD"/>
    <w:rsid w:val="00240251"/>
    <w:rsid w:val="00241894"/>
    <w:rsid w:val="00242335"/>
    <w:rsid w:val="00242B47"/>
    <w:rsid w:val="002430C3"/>
    <w:rsid w:val="0024353C"/>
    <w:rsid w:val="002440C1"/>
    <w:rsid w:val="00244194"/>
    <w:rsid w:val="002441A6"/>
    <w:rsid w:val="00244219"/>
    <w:rsid w:val="00244E62"/>
    <w:rsid w:val="00245311"/>
    <w:rsid w:val="0024668B"/>
    <w:rsid w:val="0024674C"/>
    <w:rsid w:val="00246754"/>
    <w:rsid w:val="00247AB3"/>
    <w:rsid w:val="00247E5E"/>
    <w:rsid w:val="00250C90"/>
    <w:rsid w:val="00251576"/>
    <w:rsid w:val="002516BC"/>
    <w:rsid w:val="00251A37"/>
    <w:rsid w:val="00251CC1"/>
    <w:rsid w:val="00252E6F"/>
    <w:rsid w:val="00252FE4"/>
    <w:rsid w:val="0025396A"/>
    <w:rsid w:val="00253BD8"/>
    <w:rsid w:val="00253DE3"/>
    <w:rsid w:val="00256420"/>
    <w:rsid w:val="0025691F"/>
    <w:rsid w:val="002569FE"/>
    <w:rsid w:val="0025759B"/>
    <w:rsid w:val="00257C38"/>
    <w:rsid w:val="00257E52"/>
    <w:rsid w:val="0026035D"/>
    <w:rsid w:val="002603E3"/>
    <w:rsid w:val="002605AB"/>
    <w:rsid w:val="00260DB1"/>
    <w:rsid w:val="00261308"/>
    <w:rsid w:val="00261946"/>
    <w:rsid w:val="00261FE9"/>
    <w:rsid w:val="00262168"/>
    <w:rsid w:val="00262251"/>
    <w:rsid w:val="0026243F"/>
    <w:rsid w:val="00262443"/>
    <w:rsid w:val="002626BA"/>
    <w:rsid w:val="00262CA3"/>
    <w:rsid w:val="00262EBE"/>
    <w:rsid w:val="00262F85"/>
    <w:rsid w:val="00263417"/>
    <w:rsid w:val="00263962"/>
    <w:rsid w:val="00264825"/>
    <w:rsid w:val="0026519B"/>
    <w:rsid w:val="00265359"/>
    <w:rsid w:val="002656DF"/>
    <w:rsid w:val="00265B87"/>
    <w:rsid w:val="00266276"/>
    <w:rsid w:val="0026640C"/>
    <w:rsid w:val="002668CD"/>
    <w:rsid w:val="00267143"/>
    <w:rsid w:val="00267529"/>
    <w:rsid w:val="0026774F"/>
    <w:rsid w:val="00267A8F"/>
    <w:rsid w:val="002700CE"/>
    <w:rsid w:val="00270413"/>
    <w:rsid w:val="0027056A"/>
    <w:rsid w:val="002707D2"/>
    <w:rsid w:val="00270858"/>
    <w:rsid w:val="0027386D"/>
    <w:rsid w:val="00273D00"/>
    <w:rsid w:val="00273DA5"/>
    <w:rsid w:val="00273E5A"/>
    <w:rsid w:val="00274549"/>
    <w:rsid w:val="00275287"/>
    <w:rsid w:val="00275E10"/>
    <w:rsid w:val="0027628E"/>
    <w:rsid w:val="0027641F"/>
    <w:rsid w:val="00276CB1"/>
    <w:rsid w:val="00276FF0"/>
    <w:rsid w:val="002773FE"/>
    <w:rsid w:val="00277881"/>
    <w:rsid w:val="00277ED8"/>
    <w:rsid w:val="00280074"/>
    <w:rsid w:val="002804E1"/>
    <w:rsid w:val="00280B4B"/>
    <w:rsid w:val="00280C6D"/>
    <w:rsid w:val="00281095"/>
    <w:rsid w:val="00281978"/>
    <w:rsid w:val="00281D22"/>
    <w:rsid w:val="00282CD7"/>
    <w:rsid w:val="00282D4C"/>
    <w:rsid w:val="00283996"/>
    <w:rsid w:val="00283B64"/>
    <w:rsid w:val="002843C3"/>
    <w:rsid w:val="002844D0"/>
    <w:rsid w:val="0028473A"/>
    <w:rsid w:val="0028559D"/>
    <w:rsid w:val="002855E3"/>
    <w:rsid w:val="00286CFA"/>
    <w:rsid w:val="00286D97"/>
    <w:rsid w:val="002873CF"/>
    <w:rsid w:val="00287D99"/>
    <w:rsid w:val="002909F7"/>
    <w:rsid w:val="00290CDA"/>
    <w:rsid w:val="002910FA"/>
    <w:rsid w:val="00291254"/>
    <w:rsid w:val="0029152E"/>
    <w:rsid w:val="002916F6"/>
    <w:rsid w:val="00291721"/>
    <w:rsid w:val="0029197F"/>
    <w:rsid w:val="0029287D"/>
    <w:rsid w:val="00292C42"/>
    <w:rsid w:val="00292DE4"/>
    <w:rsid w:val="0029313B"/>
    <w:rsid w:val="002931BC"/>
    <w:rsid w:val="00293390"/>
    <w:rsid w:val="0029394F"/>
    <w:rsid w:val="00293F45"/>
    <w:rsid w:val="0029452A"/>
    <w:rsid w:val="00294D67"/>
    <w:rsid w:val="00295284"/>
    <w:rsid w:val="002957B2"/>
    <w:rsid w:val="00295CDA"/>
    <w:rsid w:val="0029619D"/>
    <w:rsid w:val="0029628C"/>
    <w:rsid w:val="002963B1"/>
    <w:rsid w:val="00296C0C"/>
    <w:rsid w:val="00296C10"/>
    <w:rsid w:val="0029710B"/>
    <w:rsid w:val="00297122"/>
    <w:rsid w:val="002A0552"/>
    <w:rsid w:val="002A07F9"/>
    <w:rsid w:val="002A1274"/>
    <w:rsid w:val="002A130B"/>
    <w:rsid w:val="002A15B5"/>
    <w:rsid w:val="002A169B"/>
    <w:rsid w:val="002A1A63"/>
    <w:rsid w:val="002A1B83"/>
    <w:rsid w:val="002A233F"/>
    <w:rsid w:val="002A29AD"/>
    <w:rsid w:val="002A3661"/>
    <w:rsid w:val="002A435A"/>
    <w:rsid w:val="002A4576"/>
    <w:rsid w:val="002A47DC"/>
    <w:rsid w:val="002A48BB"/>
    <w:rsid w:val="002A5A08"/>
    <w:rsid w:val="002A5BB3"/>
    <w:rsid w:val="002A62DB"/>
    <w:rsid w:val="002A65B5"/>
    <w:rsid w:val="002A68E7"/>
    <w:rsid w:val="002A6B96"/>
    <w:rsid w:val="002A6CB1"/>
    <w:rsid w:val="002A6E0C"/>
    <w:rsid w:val="002A6FF9"/>
    <w:rsid w:val="002A7147"/>
    <w:rsid w:val="002A7722"/>
    <w:rsid w:val="002A7731"/>
    <w:rsid w:val="002A786C"/>
    <w:rsid w:val="002A79F7"/>
    <w:rsid w:val="002B044B"/>
    <w:rsid w:val="002B0BD7"/>
    <w:rsid w:val="002B2621"/>
    <w:rsid w:val="002B2641"/>
    <w:rsid w:val="002B2991"/>
    <w:rsid w:val="002B4882"/>
    <w:rsid w:val="002B5500"/>
    <w:rsid w:val="002B5529"/>
    <w:rsid w:val="002B6FAF"/>
    <w:rsid w:val="002B75D7"/>
    <w:rsid w:val="002B77F8"/>
    <w:rsid w:val="002B7936"/>
    <w:rsid w:val="002C0D49"/>
    <w:rsid w:val="002C0F39"/>
    <w:rsid w:val="002C0F90"/>
    <w:rsid w:val="002C1603"/>
    <w:rsid w:val="002C1977"/>
    <w:rsid w:val="002C1AB3"/>
    <w:rsid w:val="002C1AED"/>
    <w:rsid w:val="002C1FC6"/>
    <w:rsid w:val="002C293F"/>
    <w:rsid w:val="002C2A77"/>
    <w:rsid w:val="002C2BC3"/>
    <w:rsid w:val="002C3400"/>
    <w:rsid w:val="002C3B05"/>
    <w:rsid w:val="002C4FCA"/>
    <w:rsid w:val="002C5382"/>
    <w:rsid w:val="002C59B5"/>
    <w:rsid w:val="002C643A"/>
    <w:rsid w:val="002C69DF"/>
    <w:rsid w:val="002C6D73"/>
    <w:rsid w:val="002C6D8C"/>
    <w:rsid w:val="002C7127"/>
    <w:rsid w:val="002C7856"/>
    <w:rsid w:val="002C7A15"/>
    <w:rsid w:val="002D00BA"/>
    <w:rsid w:val="002D0171"/>
    <w:rsid w:val="002D01D7"/>
    <w:rsid w:val="002D042D"/>
    <w:rsid w:val="002D08D3"/>
    <w:rsid w:val="002D0A30"/>
    <w:rsid w:val="002D0A57"/>
    <w:rsid w:val="002D0BE3"/>
    <w:rsid w:val="002D0D01"/>
    <w:rsid w:val="002D145D"/>
    <w:rsid w:val="002D14FC"/>
    <w:rsid w:val="002D1906"/>
    <w:rsid w:val="002D3678"/>
    <w:rsid w:val="002D381A"/>
    <w:rsid w:val="002D3C91"/>
    <w:rsid w:val="002D3E94"/>
    <w:rsid w:val="002D5243"/>
    <w:rsid w:val="002D5DA7"/>
    <w:rsid w:val="002D6091"/>
    <w:rsid w:val="002D6449"/>
    <w:rsid w:val="002D66E9"/>
    <w:rsid w:val="002D678B"/>
    <w:rsid w:val="002D6AD0"/>
    <w:rsid w:val="002D769B"/>
    <w:rsid w:val="002D7AE0"/>
    <w:rsid w:val="002D7FEB"/>
    <w:rsid w:val="002E011C"/>
    <w:rsid w:val="002E0341"/>
    <w:rsid w:val="002E10AE"/>
    <w:rsid w:val="002E1F47"/>
    <w:rsid w:val="002E226E"/>
    <w:rsid w:val="002E26C8"/>
    <w:rsid w:val="002E4D15"/>
    <w:rsid w:val="002E4E56"/>
    <w:rsid w:val="002E529F"/>
    <w:rsid w:val="002E52F2"/>
    <w:rsid w:val="002E5999"/>
    <w:rsid w:val="002E622C"/>
    <w:rsid w:val="002E650A"/>
    <w:rsid w:val="002E680A"/>
    <w:rsid w:val="002E6F42"/>
    <w:rsid w:val="002E719E"/>
    <w:rsid w:val="002E7602"/>
    <w:rsid w:val="002F0876"/>
    <w:rsid w:val="002F1168"/>
    <w:rsid w:val="002F1D39"/>
    <w:rsid w:val="002F21C1"/>
    <w:rsid w:val="002F2492"/>
    <w:rsid w:val="002F267D"/>
    <w:rsid w:val="002F2B71"/>
    <w:rsid w:val="002F2D0A"/>
    <w:rsid w:val="002F2E44"/>
    <w:rsid w:val="002F3254"/>
    <w:rsid w:val="002F358A"/>
    <w:rsid w:val="002F366B"/>
    <w:rsid w:val="002F38AC"/>
    <w:rsid w:val="002F3BDB"/>
    <w:rsid w:val="002F40BB"/>
    <w:rsid w:val="002F4908"/>
    <w:rsid w:val="002F50A2"/>
    <w:rsid w:val="002F50B4"/>
    <w:rsid w:val="002F54A3"/>
    <w:rsid w:val="002F587C"/>
    <w:rsid w:val="002F6463"/>
    <w:rsid w:val="002F74A9"/>
    <w:rsid w:val="002F7989"/>
    <w:rsid w:val="002F79E7"/>
    <w:rsid w:val="00300652"/>
    <w:rsid w:val="00300C9C"/>
    <w:rsid w:val="00301427"/>
    <w:rsid w:val="00301C60"/>
    <w:rsid w:val="00301E0A"/>
    <w:rsid w:val="00302266"/>
    <w:rsid w:val="003022AA"/>
    <w:rsid w:val="00303164"/>
    <w:rsid w:val="00303191"/>
    <w:rsid w:val="00303483"/>
    <w:rsid w:val="00304021"/>
    <w:rsid w:val="003042AD"/>
    <w:rsid w:val="00304B80"/>
    <w:rsid w:val="0030571D"/>
    <w:rsid w:val="0030589B"/>
    <w:rsid w:val="00307310"/>
    <w:rsid w:val="0030750E"/>
    <w:rsid w:val="003100E0"/>
    <w:rsid w:val="003101D4"/>
    <w:rsid w:val="00310CEB"/>
    <w:rsid w:val="00310FA7"/>
    <w:rsid w:val="003118C2"/>
    <w:rsid w:val="003121A0"/>
    <w:rsid w:val="00312E09"/>
    <w:rsid w:val="00313000"/>
    <w:rsid w:val="003130AE"/>
    <w:rsid w:val="003134C2"/>
    <w:rsid w:val="00313892"/>
    <w:rsid w:val="00313C13"/>
    <w:rsid w:val="003140D7"/>
    <w:rsid w:val="003149ED"/>
    <w:rsid w:val="00316636"/>
    <w:rsid w:val="003167F1"/>
    <w:rsid w:val="00316A4B"/>
    <w:rsid w:val="003178DF"/>
    <w:rsid w:val="00317B3E"/>
    <w:rsid w:val="00320128"/>
    <w:rsid w:val="00320187"/>
    <w:rsid w:val="0032049A"/>
    <w:rsid w:val="003206D7"/>
    <w:rsid w:val="00320E0B"/>
    <w:rsid w:val="00321174"/>
    <w:rsid w:val="003214FE"/>
    <w:rsid w:val="003217ED"/>
    <w:rsid w:val="00321E66"/>
    <w:rsid w:val="003221A0"/>
    <w:rsid w:val="00322AB9"/>
    <w:rsid w:val="003235A0"/>
    <w:rsid w:val="003240AB"/>
    <w:rsid w:val="003242B0"/>
    <w:rsid w:val="003242E0"/>
    <w:rsid w:val="00324548"/>
    <w:rsid w:val="00324C23"/>
    <w:rsid w:val="00324E94"/>
    <w:rsid w:val="003252AC"/>
    <w:rsid w:val="003257AC"/>
    <w:rsid w:val="00325A38"/>
    <w:rsid w:val="00325D29"/>
    <w:rsid w:val="0032601A"/>
    <w:rsid w:val="00326081"/>
    <w:rsid w:val="003263E7"/>
    <w:rsid w:val="0032649F"/>
    <w:rsid w:val="003266B0"/>
    <w:rsid w:val="00326AC4"/>
    <w:rsid w:val="00327017"/>
    <w:rsid w:val="003275D5"/>
    <w:rsid w:val="003304D4"/>
    <w:rsid w:val="00330C07"/>
    <w:rsid w:val="00330C99"/>
    <w:rsid w:val="00330EC9"/>
    <w:rsid w:val="003313AE"/>
    <w:rsid w:val="00331957"/>
    <w:rsid w:val="00331B7F"/>
    <w:rsid w:val="00332181"/>
    <w:rsid w:val="0033262C"/>
    <w:rsid w:val="00332CF5"/>
    <w:rsid w:val="00332E61"/>
    <w:rsid w:val="003338F9"/>
    <w:rsid w:val="00333BCC"/>
    <w:rsid w:val="003340BA"/>
    <w:rsid w:val="0033428F"/>
    <w:rsid w:val="00334305"/>
    <w:rsid w:val="00334630"/>
    <w:rsid w:val="00334A66"/>
    <w:rsid w:val="00334EAF"/>
    <w:rsid w:val="003350E1"/>
    <w:rsid w:val="003350FA"/>
    <w:rsid w:val="003354D2"/>
    <w:rsid w:val="00335529"/>
    <w:rsid w:val="00335D82"/>
    <w:rsid w:val="00335EA1"/>
    <w:rsid w:val="00336DCF"/>
    <w:rsid w:val="00336E72"/>
    <w:rsid w:val="00336F25"/>
    <w:rsid w:val="00336F2A"/>
    <w:rsid w:val="003377B2"/>
    <w:rsid w:val="00340EBD"/>
    <w:rsid w:val="00341330"/>
    <w:rsid w:val="0034161B"/>
    <w:rsid w:val="00341891"/>
    <w:rsid w:val="00341924"/>
    <w:rsid w:val="00341AC6"/>
    <w:rsid w:val="00343292"/>
    <w:rsid w:val="003433B3"/>
    <w:rsid w:val="00343DBC"/>
    <w:rsid w:val="003440F0"/>
    <w:rsid w:val="00344F11"/>
    <w:rsid w:val="00344F61"/>
    <w:rsid w:val="00345E31"/>
    <w:rsid w:val="00345F77"/>
    <w:rsid w:val="00346087"/>
    <w:rsid w:val="0034628F"/>
    <w:rsid w:val="003463E9"/>
    <w:rsid w:val="00346452"/>
    <w:rsid w:val="00346A2F"/>
    <w:rsid w:val="00347070"/>
    <w:rsid w:val="003475A9"/>
    <w:rsid w:val="0035033F"/>
    <w:rsid w:val="00350A48"/>
    <w:rsid w:val="003513A6"/>
    <w:rsid w:val="003514F5"/>
    <w:rsid w:val="003517B6"/>
    <w:rsid w:val="0035221F"/>
    <w:rsid w:val="00352263"/>
    <w:rsid w:val="00352302"/>
    <w:rsid w:val="00352448"/>
    <w:rsid w:val="00352A5D"/>
    <w:rsid w:val="00352B99"/>
    <w:rsid w:val="00352B9D"/>
    <w:rsid w:val="003532F9"/>
    <w:rsid w:val="0035336A"/>
    <w:rsid w:val="00353419"/>
    <w:rsid w:val="00353465"/>
    <w:rsid w:val="003537A0"/>
    <w:rsid w:val="003538D6"/>
    <w:rsid w:val="00353BB0"/>
    <w:rsid w:val="0035495F"/>
    <w:rsid w:val="00354CA1"/>
    <w:rsid w:val="00354F70"/>
    <w:rsid w:val="00355AD8"/>
    <w:rsid w:val="00355B3C"/>
    <w:rsid w:val="00355C71"/>
    <w:rsid w:val="00356202"/>
    <w:rsid w:val="003563D3"/>
    <w:rsid w:val="00356462"/>
    <w:rsid w:val="00356AD8"/>
    <w:rsid w:val="00356B6E"/>
    <w:rsid w:val="0035771A"/>
    <w:rsid w:val="00357F55"/>
    <w:rsid w:val="00357F58"/>
    <w:rsid w:val="00360022"/>
    <w:rsid w:val="00361341"/>
    <w:rsid w:val="003613D7"/>
    <w:rsid w:val="003614AD"/>
    <w:rsid w:val="00361B00"/>
    <w:rsid w:val="00361C22"/>
    <w:rsid w:val="00361E9C"/>
    <w:rsid w:val="00362A3B"/>
    <w:rsid w:val="00362DC9"/>
    <w:rsid w:val="0036345A"/>
    <w:rsid w:val="00363D96"/>
    <w:rsid w:val="0036439C"/>
    <w:rsid w:val="003647E6"/>
    <w:rsid w:val="003648D3"/>
    <w:rsid w:val="0036492F"/>
    <w:rsid w:val="0036497A"/>
    <w:rsid w:val="00364AD7"/>
    <w:rsid w:val="00364C62"/>
    <w:rsid w:val="00364C93"/>
    <w:rsid w:val="00364DA3"/>
    <w:rsid w:val="00364F2B"/>
    <w:rsid w:val="00365699"/>
    <w:rsid w:val="003658A9"/>
    <w:rsid w:val="003658D8"/>
    <w:rsid w:val="003666F1"/>
    <w:rsid w:val="00366B54"/>
    <w:rsid w:val="0036701E"/>
    <w:rsid w:val="0036781B"/>
    <w:rsid w:val="003678A8"/>
    <w:rsid w:val="00367A13"/>
    <w:rsid w:val="003702E5"/>
    <w:rsid w:val="003708DD"/>
    <w:rsid w:val="00370C15"/>
    <w:rsid w:val="00370D94"/>
    <w:rsid w:val="00371EE1"/>
    <w:rsid w:val="0037231E"/>
    <w:rsid w:val="0037302C"/>
    <w:rsid w:val="00373F75"/>
    <w:rsid w:val="003743BE"/>
    <w:rsid w:val="003744AD"/>
    <w:rsid w:val="003747D4"/>
    <w:rsid w:val="0037529B"/>
    <w:rsid w:val="00375C51"/>
    <w:rsid w:val="003764EE"/>
    <w:rsid w:val="00376F10"/>
    <w:rsid w:val="003776EB"/>
    <w:rsid w:val="0037772E"/>
    <w:rsid w:val="00377850"/>
    <w:rsid w:val="003778E1"/>
    <w:rsid w:val="00377B6C"/>
    <w:rsid w:val="00377EBE"/>
    <w:rsid w:val="00380E5E"/>
    <w:rsid w:val="00380F1A"/>
    <w:rsid w:val="003811CB"/>
    <w:rsid w:val="00381723"/>
    <w:rsid w:val="00381DB6"/>
    <w:rsid w:val="003825F0"/>
    <w:rsid w:val="00383428"/>
    <w:rsid w:val="003836DD"/>
    <w:rsid w:val="00383CA0"/>
    <w:rsid w:val="00384E58"/>
    <w:rsid w:val="00385533"/>
    <w:rsid w:val="003858E5"/>
    <w:rsid w:val="00385B61"/>
    <w:rsid w:val="00385D88"/>
    <w:rsid w:val="0038655A"/>
    <w:rsid w:val="003873B9"/>
    <w:rsid w:val="00390610"/>
    <w:rsid w:val="00390776"/>
    <w:rsid w:val="00390A6B"/>
    <w:rsid w:val="00391191"/>
    <w:rsid w:val="00392165"/>
    <w:rsid w:val="003921BD"/>
    <w:rsid w:val="00392923"/>
    <w:rsid w:val="00392B81"/>
    <w:rsid w:val="00392C89"/>
    <w:rsid w:val="00393410"/>
    <w:rsid w:val="00393CF7"/>
    <w:rsid w:val="00393EE6"/>
    <w:rsid w:val="003944FE"/>
    <w:rsid w:val="00394DBB"/>
    <w:rsid w:val="00395231"/>
    <w:rsid w:val="0039550A"/>
    <w:rsid w:val="00396D3C"/>
    <w:rsid w:val="00396ED6"/>
    <w:rsid w:val="003974EE"/>
    <w:rsid w:val="00397892"/>
    <w:rsid w:val="00397A66"/>
    <w:rsid w:val="003A0003"/>
    <w:rsid w:val="003A02DF"/>
    <w:rsid w:val="003A07B6"/>
    <w:rsid w:val="003A0C9E"/>
    <w:rsid w:val="003A0F1D"/>
    <w:rsid w:val="003A1149"/>
    <w:rsid w:val="003A1584"/>
    <w:rsid w:val="003A1969"/>
    <w:rsid w:val="003A19A0"/>
    <w:rsid w:val="003A1A32"/>
    <w:rsid w:val="003A1A9C"/>
    <w:rsid w:val="003A1C3D"/>
    <w:rsid w:val="003A1F13"/>
    <w:rsid w:val="003A2497"/>
    <w:rsid w:val="003A31C1"/>
    <w:rsid w:val="003A472E"/>
    <w:rsid w:val="003A4AEA"/>
    <w:rsid w:val="003A4FF8"/>
    <w:rsid w:val="003A6176"/>
    <w:rsid w:val="003A6F6C"/>
    <w:rsid w:val="003A742A"/>
    <w:rsid w:val="003A793A"/>
    <w:rsid w:val="003B0028"/>
    <w:rsid w:val="003B037E"/>
    <w:rsid w:val="003B0EAB"/>
    <w:rsid w:val="003B0F48"/>
    <w:rsid w:val="003B10AC"/>
    <w:rsid w:val="003B10EA"/>
    <w:rsid w:val="003B1E62"/>
    <w:rsid w:val="003B2A90"/>
    <w:rsid w:val="003B2D50"/>
    <w:rsid w:val="003B347F"/>
    <w:rsid w:val="003B3B22"/>
    <w:rsid w:val="003B526C"/>
    <w:rsid w:val="003B5497"/>
    <w:rsid w:val="003B5A33"/>
    <w:rsid w:val="003B5A39"/>
    <w:rsid w:val="003B5F86"/>
    <w:rsid w:val="003B66F0"/>
    <w:rsid w:val="003B72E7"/>
    <w:rsid w:val="003B7A56"/>
    <w:rsid w:val="003B7E61"/>
    <w:rsid w:val="003C01D4"/>
    <w:rsid w:val="003C0FEB"/>
    <w:rsid w:val="003C2084"/>
    <w:rsid w:val="003C2B50"/>
    <w:rsid w:val="003C2D3C"/>
    <w:rsid w:val="003C2DC7"/>
    <w:rsid w:val="003C2F1E"/>
    <w:rsid w:val="003C312E"/>
    <w:rsid w:val="003C31DA"/>
    <w:rsid w:val="003C3300"/>
    <w:rsid w:val="003C35AC"/>
    <w:rsid w:val="003C3A94"/>
    <w:rsid w:val="003C4C8B"/>
    <w:rsid w:val="003C584A"/>
    <w:rsid w:val="003C5EBA"/>
    <w:rsid w:val="003C5F46"/>
    <w:rsid w:val="003C6264"/>
    <w:rsid w:val="003C64CC"/>
    <w:rsid w:val="003C6950"/>
    <w:rsid w:val="003C6CD0"/>
    <w:rsid w:val="003C6FB2"/>
    <w:rsid w:val="003C7676"/>
    <w:rsid w:val="003D0555"/>
    <w:rsid w:val="003D0C02"/>
    <w:rsid w:val="003D0C19"/>
    <w:rsid w:val="003D0CA4"/>
    <w:rsid w:val="003D0F04"/>
    <w:rsid w:val="003D181A"/>
    <w:rsid w:val="003D1B5D"/>
    <w:rsid w:val="003D1E2C"/>
    <w:rsid w:val="003D254D"/>
    <w:rsid w:val="003D4089"/>
    <w:rsid w:val="003D4F31"/>
    <w:rsid w:val="003D512D"/>
    <w:rsid w:val="003D5A9D"/>
    <w:rsid w:val="003D6515"/>
    <w:rsid w:val="003D6C8B"/>
    <w:rsid w:val="003D7E83"/>
    <w:rsid w:val="003E06E8"/>
    <w:rsid w:val="003E08BF"/>
    <w:rsid w:val="003E0C56"/>
    <w:rsid w:val="003E1005"/>
    <w:rsid w:val="003E2A6B"/>
    <w:rsid w:val="003E312C"/>
    <w:rsid w:val="003E3902"/>
    <w:rsid w:val="003E4C26"/>
    <w:rsid w:val="003E5444"/>
    <w:rsid w:val="003E55E2"/>
    <w:rsid w:val="003E599D"/>
    <w:rsid w:val="003E5C1C"/>
    <w:rsid w:val="003E791B"/>
    <w:rsid w:val="003F053D"/>
    <w:rsid w:val="003F0637"/>
    <w:rsid w:val="003F09D6"/>
    <w:rsid w:val="003F0CAA"/>
    <w:rsid w:val="003F1848"/>
    <w:rsid w:val="003F2CCF"/>
    <w:rsid w:val="003F2ECF"/>
    <w:rsid w:val="003F3063"/>
    <w:rsid w:val="003F340D"/>
    <w:rsid w:val="003F458D"/>
    <w:rsid w:val="003F4E16"/>
    <w:rsid w:val="003F5104"/>
    <w:rsid w:val="003F5164"/>
    <w:rsid w:val="003F59A3"/>
    <w:rsid w:val="003F5B23"/>
    <w:rsid w:val="003F5D53"/>
    <w:rsid w:val="003F630F"/>
    <w:rsid w:val="003F65FA"/>
    <w:rsid w:val="003F665A"/>
    <w:rsid w:val="003F6A95"/>
    <w:rsid w:val="003F6F0A"/>
    <w:rsid w:val="003F71B8"/>
    <w:rsid w:val="003F78FA"/>
    <w:rsid w:val="003F7BA5"/>
    <w:rsid w:val="004012C3"/>
    <w:rsid w:val="00401770"/>
    <w:rsid w:val="004019D8"/>
    <w:rsid w:val="00402229"/>
    <w:rsid w:val="00402955"/>
    <w:rsid w:val="004029B2"/>
    <w:rsid w:val="00402A68"/>
    <w:rsid w:val="00402DD0"/>
    <w:rsid w:val="00404023"/>
    <w:rsid w:val="004049B1"/>
    <w:rsid w:val="004055DF"/>
    <w:rsid w:val="00405931"/>
    <w:rsid w:val="00405AE3"/>
    <w:rsid w:val="00405DF4"/>
    <w:rsid w:val="00406322"/>
    <w:rsid w:val="00406400"/>
    <w:rsid w:val="004069FE"/>
    <w:rsid w:val="004075BB"/>
    <w:rsid w:val="00407A41"/>
    <w:rsid w:val="00411DD3"/>
    <w:rsid w:val="00412697"/>
    <w:rsid w:val="00412DEA"/>
    <w:rsid w:val="00412DF3"/>
    <w:rsid w:val="0041322A"/>
    <w:rsid w:val="00413E65"/>
    <w:rsid w:val="00413E9F"/>
    <w:rsid w:val="00413F00"/>
    <w:rsid w:val="0041426B"/>
    <w:rsid w:val="004143B9"/>
    <w:rsid w:val="004144A9"/>
    <w:rsid w:val="00414B2A"/>
    <w:rsid w:val="00415ACA"/>
    <w:rsid w:val="00415C43"/>
    <w:rsid w:val="00415DCE"/>
    <w:rsid w:val="00415EEF"/>
    <w:rsid w:val="004160D5"/>
    <w:rsid w:val="0041633B"/>
    <w:rsid w:val="00416471"/>
    <w:rsid w:val="0041681E"/>
    <w:rsid w:val="004169A7"/>
    <w:rsid w:val="00416D41"/>
    <w:rsid w:val="00416F41"/>
    <w:rsid w:val="0041785E"/>
    <w:rsid w:val="00417981"/>
    <w:rsid w:val="00417DB8"/>
    <w:rsid w:val="00417E37"/>
    <w:rsid w:val="00420C8C"/>
    <w:rsid w:val="004213B0"/>
    <w:rsid w:val="00421519"/>
    <w:rsid w:val="00421554"/>
    <w:rsid w:val="00421593"/>
    <w:rsid w:val="0042167A"/>
    <w:rsid w:val="00421EAD"/>
    <w:rsid w:val="00421F66"/>
    <w:rsid w:val="0042206C"/>
    <w:rsid w:val="00422101"/>
    <w:rsid w:val="00422121"/>
    <w:rsid w:val="00422126"/>
    <w:rsid w:val="004223A2"/>
    <w:rsid w:val="004225B1"/>
    <w:rsid w:val="004225CD"/>
    <w:rsid w:val="00422878"/>
    <w:rsid w:val="00423B45"/>
    <w:rsid w:val="004241FA"/>
    <w:rsid w:val="0042534C"/>
    <w:rsid w:val="00425C15"/>
    <w:rsid w:val="004265C4"/>
    <w:rsid w:val="00426C7D"/>
    <w:rsid w:val="0042711E"/>
    <w:rsid w:val="00427170"/>
    <w:rsid w:val="00427B5E"/>
    <w:rsid w:val="0043004E"/>
    <w:rsid w:val="00430362"/>
    <w:rsid w:val="00430699"/>
    <w:rsid w:val="004310D4"/>
    <w:rsid w:val="004315C8"/>
    <w:rsid w:val="00431941"/>
    <w:rsid w:val="00431961"/>
    <w:rsid w:val="00431A5C"/>
    <w:rsid w:val="0043208A"/>
    <w:rsid w:val="0043213D"/>
    <w:rsid w:val="004323BD"/>
    <w:rsid w:val="00433D77"/>
    <w:rsid w:val="00433E3B"/>
    <w:rsid w:val="00434C28"/>
    <w:rsid w:val="00434D2F"/>
    <w:rsid w:val="004362DE"/>
    <w:rsid w:val="00436B54"/>
    <w:rsid w:val="00437178"/>
    <w:rsid w:val="00437645"/>
    <w:rsid w:val="004376C2"/>
    <w:rsid w:val="00437892"/>
    <w:rsid w:val="004379E5"/>
    <w:rsid w:val="00437B0F"/>
    <w:rsid w:val="00437F24"/>
    <w:rsid w:val="00440B1E"/>
    <w:rsid w:val="00441480"/>
    <w:rsid w:val="004419F3"/>
    <w:rsid w:val="00441E4A"/>
    <w:rsid w:val="004421CB"/>
    <w:rsid w:val="00442714"/>
    <w:rsid w:val="00443BD6"/>
    <w:rsid w:val="00443FEA"/>
    <w:rsid w:val="0044458A"/>
    <w:rsid w:val="00444B49"/>
    <w:rsid w:val="00444D75"/>
    <w:rsid w:val="00445647"/>
    <w:rsid w:val="00445A78"/>
    <w:rsid w:val="00445F1B"/>
    <w:rsid w:val="00446186"/>
    <w:rsid w:val="004461C9"/>
    <w:rsid w:val="00446340"/>
    <w:rsid w:val="00446748"/>
    <w:rsid w:val="0044752E"/>
    <w:rsid w:val="0044779E"/>
    <w:rsid w:val="004505C6"/>
    <w:rsid w:val="00450A6F"/>
    <w:rsid w:val="00450EEF"/>
    <w:rsid w:val="004517C3"/>
    <w:rsid w:val="0045252A"/>
    <w:rsid w:val="00452E50"/>
    <w:rsid w:val="004530E4"/>
    <w:rsid w:val="0045332E"/>
    <w:rsid w:val="00453669"/>
    <w:rsid w:val="0045387D"/>
    <w:rsid w:val="00453EEF"/>
    <w:rsid w:val="00454ADC"/>
    <w:rsid w:val="00454E33"/>
    <w:rsid w:val="004552BA"/>
    <w:rsid w:val="00455A22"/>
    <w:rsid w:val="00455AD6"/>
    <w:rsid w:val="00455E4C"/>
    <w:rsid w:val="00456224"/>
    <w:rsid w:val="004562E8"/>
    <w:rsid w:val="0045661F"/>
    <w:rsid w:val="00457036"/>
    <w:rsid w:val="00457555"/>
    <w:rsid w:val="004600B6"/>
    <w:rsid w:val="004603F3"/>
    <w:rsid w:val="004607F3"/>
    <w:rsid w:val="00460BBE"/>
    <w:rsid w:val="004612E1"/>
    <w:rsid w:val="0046174A"/>
    <w:rsid w:val="00461E3D"/>
    <w:rsid w:val="00463971"/>
    <w:rsid w:val="00463BDE"/>
    <w:rsid w:val="00464B4B"/>
    <w:rsid w:val="004650FD"/>
    <w:rsid w:val="0046531E"/>
    <w:rsid w:val="00465607"/>
    <w:rsid w:val="004656BC"/>
    <w:rsid w:val="00466E96"/>
    <w:rsid w:val="00467075"/>
    <w:rsid w:val="0046720C"/>
    <w:rsid w:val="004678F6"/>
    <w:rsid w:val="004679A5"/>
    <w:rsid w:val="00471347"/>
    <w:rsid w:val="0047169A"/>
    <w:rsid w:val="00472275"/>
    <w:rsid w:val="004723F1"/>
    <w:rsid w:val="00472748"/>
    <w:rsid w:val="004729D9"/>
    <w:rsid w:val="00472A36"/>
    <w:rsid w:val="00472C68"/>
    <w:rsid w:val="0047300C"/>
    <w:rsid w:val="00473415"/>
    <w:rsid w:val="00473E5E"/>
    <w:rsid w:val="00474437"/>
    <w:rsid w:val="00474CF6"/>
    <w:rsid w:val="00474D70"/>
    <w:rsid w:val="0047533E"/>
    <w:rsid w:val="00475BA1"/>
    <w:rsid w:val="00475D7D"/>
    <w:rsid w:val="00475E43"/>
    <w:rsid w:val="004771A4"/>
    <w:rsid w:val="00477799"/>
    <w:rsid w:val="00477FDB"/>
    <w:rsid w:val="004802C0"/>
    <w:rsid w:val="00480F9E"/>
    <w:rsid w:val="0048112F"/>
    <w:rsid w:val="00481418"/>
    <w:rsid w:val="00481723"/>
    <w:rsid w:val="00482321"/>
    <w:rsid w:val="0048244D"/>
    <w:rsid w:val="00482845"/>
    <w:rsid w:val="00482F43"/>
    <w:rsid w:val="00482F79"/>
    <w:rsid w:val="00483635"/>
    <w:rsid w:val="004837E3"/>
    <w:rsid w:val="00483BF6"/>
    <w:rsid w:val="00483C93"/>
    <w:rsid w:val="00483DD0"/>
    <w:rsid w:val="004851A4"/>
    <w:rsid w:val="0048564F"/>
    <w:rsid w:val="004857B5"/>
    <w:rsid w:val="00485802"/>
    <w:rsid w:val="00485A72"/>
    <w:rsid w:val="00486AB4"/>
    <w:rsid w:val="00486B4D"/>
    <w:rsid w:val="00487096"/>
    <w:rsid w:val="004872A8"/>
    <w:rsid w:val="00487350"/>
    <w:rsid w:val="0048738F"/>
    <w:rsid w:val="004879B3"/>
    <w:rsid w:val="00490188"/>
    <w:rsid w:val="0049031D"/>
    <w:rsid w:val="00490F60"/>
    <w:rsid w:val="004915BD"/>
    <w:rsid w:val="0049177D"/>
    <w:rsid w:val="00491F0C"/>
    <w:rsid w:val="00492B76"/>
    <w:rsid w:val="00492C74"/>
    <w:rsid w:val="00492F68"/>
    <w:rsid w:val="0049330B"/>
    <w:rsid w:val="0049331F"/>
    <w:rsid w:val="00493582"/>
    <w:rsid w:val="00493AF7"/>
    <w:rsid w:val="004941E5"/>
    <w:rsid w:val="00494D43"/>
    <w:rsid w:val="00494F4C"/>
    <w:rsid w:val="0049588C"/>
    <w:rsid w:val="00495F98"/>
    <w:rsid w:val="00496187"/>
    <w:rsid w:val="004964EC"/>
    <w:rsid w:val="00496557"/>
    <w:rsid w:val="00496BF9"/>
    <w:rsid w:val="00496C51"/>
    <w:rsid w:val="00496E6E"/>
    <w:rsid w:val="00497101"/>
    <w:rsid w:val="0049715A"/>
    <w:rsid w:val="004972D4"/>
    <w:rsid w:val="00497855"/>
    <w:rsid w:val="00497F68"/>
    <w:rsid w:val="004A04C5"/>
    <w:rsid w:val="004A1066"/>
    <w:rsid w:val="004A10FC"/>
    <w:rsid w:val="004A2591"/>
    <w:rsid w:val="004A2BD3"/>
    <w:rsid w:val="004A3930"/>
    <w:rsid w:val="004A3D66"/>
    <w:rsid w:val="004A47A8"/>
    <w:rsid w:val="004A4FB0"/>
    <w:rsid w:val="004A55C1"/>
    <w:rsid w:val="004A5669"/>
    <w:rsid w:val="004A5930"/>
    <w:rsid w:val="004A62C4"/>
    <w:rsid w:val="004A6BA5"/>
    <w:rsid w:val="004A6F08"/>
    <w:rsid w:val="004A71D2"/>
    <w:rsid w:val="004A7574"/>
    <w:rsid w:val="004A7772"/>
    <w:rsid w:val="004A7815"/>
    <w:rsid w:val="004A7C7E"/>
    <w:rsid w:val="004B055F"/>
    <w:rsid w:val="004B0BBD"/>
    <w:rsid w:val="004B1903"/>
    <w:rsid w:val="004B42DF"/>
    <w:rsid w:val="004B4360"/>
    <w:rsid w:val="004B5314"/>
    <w:rsid w:val="004B56B7"/>
    <w:rsid w:val="004B5C4F"/>
    <w:rsid w:val="004B5E7C"/>
    <w:rsid w:val="004B62C2"/>
    <w:rsid w:val="004B631C"/>
    <w:rsid w:val="004B6650"/>
    <w:rsid w:val="004B66E4"/>
    <w:rsid w:val="004B6D04"/>
    <w:rsid w:val="004B7054"/>
    <w:rsid w:val="004B76F6"/>
    <w:rsid w:val="004B7964"/>
    <w:rsid w:val="004C0B5F"/>
    <w:rsid w:val="004C1100"/>
    <w:rsid w:val="004C154A"/>
    <w:rsid w:val="004C1813"/>
    <w:rsid w:val="004C1884"/>
    <w:rsid w:val="004C3182"/>
    <w:rsid w:val="004C3647"/>
    <w:rsid w:val="004C44E0"/>
    <w:rsid w:val="004C4A20"/>
    <w:rsid w:val="004C4C98"/>
    <w:rsid w:val="004C54E0"/>
    <w:rsid w:val="004C54EC"/>
    <w:rsid w:val="004C6492"/>
    <w:rsid w:val="004C7053"/>
    <w:rsid w:val="004C7330"/>
    <w:rsid w:val="004C7790"/>
    <w:rsid w:val="004C7B54"/>
    <w:rsid w:val="004D0E67"/>
    <w:rsid w:val="004D0E7B"/>
    <w:rsid w:val="004D0FF0"/>
    <w:rsid w:val="004D1AD8"/>
    <w:rsid w:val="004D229C"/>
    <w:rsid w:val="004D2677"/>
    <w:rsid w:val="004D2700"/>
    <w:rsid w:val="004D2B8B"/>
    <w:rsid w:val="004D3D34"/>
    <w:rsid w:val="004D3DFA"/>
    <w:rsid w:val="004D47FC"/>
    <w:rsid w:val="004D4AA2"/>
    <w:rsid w:val="004D50F9"/>
    <w:rsid w:val="004D51D4"/>
    <w:rsid w:val="004D52A8"/>
    <w:rsid w:val="004D5608"/>
    <w:rsid w:val="004D56A2"/>
    <w:rsid w:val="004D5816"/>
    <w:rsid w:val="004D5978"/>
    <w:rsid w:val="004D652F"/>
    <w:rsid w:val="004D65F6"/>
    <w:rsid w:val="004D6FF9"/>
    <w:rsid w:val="004D70A5"/>
    <w:rsid w:val="004D76A8"/>
    <w:rsid w:val="004D78E9"/>
    <w:rsid w:val="004E0246"/>
    <w:rsid w:val="004E02D2"/>
    <w:rsid w:val="004E0342"/>
    <w:rsid w:val="004E0970"/>
    <w:rsid w:val="004E0AC3"/>
    <w:rsid w:val="004E119C"/>
    <w:rsid w:val="004E17E9"/>
    <w:rsid w:val="004E1FC9"/>
    <w:rsid w:val="004E2C64"/>
    <w:rsid w:val="004E3041"/>
    <w:rsid w:val="004E3350"/>
    <w:rsid w:val="004E382A"/>
    <w:rsid w:val="004E3A97"/>
    <w:rsid w:val="004E3CCD"/>
    <w:rsid w:val="004E3D3F"/>
    <w:rsid w:val="004E5287"/>
    <w:rsid w:val="004E58DA"/>
    <w:rsid w:val="004E59A9"/>
    <w:rsid w:val="004E5A0F"/>
    <w:rsid w:val="004E601B"/>
    <w:rsid w:val="004E6122"/>
    <w:rsid w:val="004E65BD"/>
    <w:rsid w:val="004E66BA"/>
    <w:rsid w:val="004E6D25"/>
    <w:rsid w:val="004F0793"/>
    <w:rsid w:val="004F1A02"/>
    <w:rsid w:val="004F1E02"/>
    <w:rsid w:val="004F2CD5"/>
    <w:rsid w:val="004F33C8"/>
    <w:rsid w:val="004F3CC8"/>
    <w:rsid w:val="004F3EBC"/>
    <w:rsid w:val="004F4DA0"/>
    <w:rsid w:val="004F531F"/>
    <w:rsid w:val="004F5462"/>
    <w:rsid w:val="004F5C78"/>
    <w:rsid w:val="004F5CD3"/>
    <w:rsid w:val="004F60FC"/>
    <w:rsid w:val="004F66E1"/>
    <w:rsid w:val="004F67BE"/>
    <w:rsid w:val="004F6A8B"/>
    <w:rsid w:val="004F6E1F"/>
    <w:rsid w:val="004F700A"/>
    <w:rsid w:val="004F7023"/>
    <w:rsid w:val="004F7792"/>
    <w:rsid w:val="004F7B5C"/>
    <w:rsid w:val="004F7EE1"/>
    <w:rsid w:val="00500274"/>
    <w:rsid w:val="00500AD9"/>
    <w:rsid w:val="00500CA9"/>
    <w:rsid w:val="00501342"/>
    <w:rsid w:val="00501E6D"/>
    <w:rsid w:val="00502180"/>
    <w:rsid w:val="00502FB4"/>
    <w:rsid w:val="0050351E"/>
    <w:rsid w:val="00503E54"/>
    <w:rsid w:val="0050483D"/>
    <w:rsid w:val="00504844"/>
    <w:rsid w:val="00505095"/>
    <w:rsid w:val="00505887"/>
    <w:rsid w:val="00505903"/>
    <w:rsid w:val="0050600A"/>
    <w:rsid w:val="0050725B"/>
    <w:rsid w:val="0050749F"/>
    <w:rsid w:val="0050788E"/>
    <w:rsid w:val="005079C4"/>
    <w:rsid w:val="00507D69"/>
    <w:rsid w:val="005100E6"/>
    <w:rsid w:val="0051052C"/>
    <w:rsid w:val="00510C92"/>
    <w:rsid w:val="00512734"/>
    <w:rsid w:val="00512C22"/>
    <w:rsid w:val="00513183"/>
    <w:rsid w:val="005131EC"/>
    <w:rsid w:val="0051336B"/>
    <w:rsid w:val="00513E28"/>
    <w:rsid w:val="00515BC4"/>
    <w:rsid w:val="0051636F"/>
    <w:rsid w:val="0051648F"/>
    <w:rsid w:val="0051688A"/>
    <w:rsid w:val="00516E72"/>
    <w:rsid w:val="00517375"/>
    <w:rsid w:val="0051760E"/>
    <w:rsid w:val="00517799"/>
    <w:rsid w:val="00517AF0"/>
    <w:rsid w:val="00517B35"/>
    <w:rsid w:val="00517F6D"/>
    <w:rsid w:val="005200BE"/>
    <w:rsid w:val="005200CB"/>
    <w:rsid w:val="005205F7"/>
    <w:rsid w:val="005206DB"/>
    <w:rsid w:val="005219B1"/>
    <w:rsid w:val="0052249B"/>
    <w:rsid w:val="005229AF"/>
    <w:rsid w:val="00522CC4"/>
    <w:rsid w:val="00522EBC"/>
    <w:rsid w:val="00522F94"/>
    <w:rsid w:val="00522FB4"/>
    <w:rsid w:val="00523332"/>
    <w:rsid w:val="00523856"/>
    <w:rsid w:val="0052391F"/>
    <w:rsid w:val="00523B41"/>
    <w:rsid w:val="005247E1"/>
    <w:rsid w:val="00524A04"/>
    <w:rsid w:val="00524C8F"/>
    <w:rsid w:val="0052530F"/>
    <w:rsid w:val="005254CB"/>
    <w:rsid w:val="00525ADC"/>
    <w:rsid w:val="00525BCD"/>
    <w:rsid w:val="005262A0"/>
    <w:rsid w:val="00526F00"/>
    <w:rsid w:val="0052784A"/>
    <w:rsid w:val="00527ED8"/>
    <w:rsid w:val="0053033C"/>
    <w:rsid w:val="00530A60"/>
    <w:rsid w:val="0053181C"/>
    <w:rsid w:val="005319BA"/>
    <w:rsid w:val="00532642"/>
    <w:rsid w:val="00532806"/>
    <w:rsid w:val="00533281"/>
    <w:rsid w:val="00533FEE"/>
    <w:rsid w:val="00534E8D"/>
    <w:rsid w:val="005350CA"/>
    <w:rsid w:val="005357F2"/>
    <w:rsid w:val="0053623F"/>
    <w:rsid w:val="00536884"/>
    <w:rsid w:val="00536E9E"/>
    <w:rsid w:val="00537409"/>
    <w:rsid w:val="0053751D"/>
    <w:rsid w:val="0053752D"/>
    <w:rsid w:val="00540065"/>
    <w:rsid w:val="005407A9"/>
    <w:rsid w:val="00540AF1"/>
    <w:rsid w:val="00541084"/>
    <w:rsid w:val="00541438"/>
    <w:rsid w:val="00541593"/>
    <w:rsid w:val="005420B1"/>
    <w:rsid w:val="0054256F"/>
    <w:rsid w:val="005427A7"/>
    <w:rsid w:val="00542EDF"/>
    <w:rsid w:val="0054323A"/>
    <w:rsid w:val="005436CA"/>
    <w:rsid w:val="005439F5"/>
    <w:rsid w:val="00544D6F"/>
    <w:rsid w:val="00545756"/>
    <w:rsid w:val="005460B8"/>
    <w:rsid w:val="00546567"/>
    <w:rsid w:val="0054670D"/>
    <w:rsid w:val="00546CD3"/>
    <w:rsid w:val="00547318"/>
    <w:rsid w:val="0055025A"/>
    <w:rsid w:val="00550C4C"/>
    <w:rsid w:val="005516EB"/>
    <w:rsid w:val="005516F1"/>
    <w:rsid w:val="00551936"/>
    <w:rsid w:val="00551A2B"/>
    <w:rsid w:val="00552006"/>
    <w:rsid w:val="005522F0"/>
    <w:rsid w:val="005523FE"/>
    <w:rsid w:val="00552CB1"/>
    <w:rsid w:val="00553AA2"/>
    <w:rsid w:val="00553AF6"/>
    <w:rsid w:val="00553B6D"/>
    <w:rsid w:val="00554400"/>
    <w:rsid w:val="00554FAA"/>
    <w:rsid w:val="00555185"/>
    <w:rsid w:val="00555271"/>
    <w:rsid w:val="00555CF1"/>
    <w:rsid w:val="00555CF6"/>
    <w:rsid w:val="005566BD"/>
    <w:rsid w:val="00556842"/>
    <w:rsid w:val="005569C4"/>
    <w:rsid w:val="00556E45"/>
    <w:rsid w:val="00556EBD"/>
    <w:rsid w:val="005575BA"/>
    <w:rsid w:val="0055793C"/>
    <w:rsid w:val="00557FAB"/>
    <w:rsid w:val="00560506"/>
    <w:rsid w:val="00560548"/>
    <w:rsid w:val="00560BD3"/>
    <w:rsid w:val="00560BDB"/>
    <w:rsid w:val="005611EC"/>
    <w:rsid w:val="005620C3"/>
    <w:rsid w:val="00562DA0"/>
    <w:rsid w:val="00562F3A"/>
    <w:rsid w:val="0056310E"/>
    <w:rsid w:val="0056362A"/>
    <w:rsid w:val="00564350"/>
    <w:rsid w:val="0056458C"/>
    <w:rsid w:val="00564B0E"/>
    <w:rsid w:val="00564FAD"/>
    <w:rsid w:val="005653E3"/>
    <w:rsid w:val="00565F83"/>
    <w:rsid w:val="005667BE"/>
    <w:rsid w:val="005669DC"/>
    <w:rsid w:val="00566D6D"/>
    <w:rsid w:val="00566E13"/>
    <w:rsid w:val="0056799B"/>
    <w:rsid w:val="00570382"/>
    <w:rsid w:val="00570910"/>
    <w:rsid w:val="00570AE1"/>
    <w:rsid w:val="00570D6F"/>
    <w:rsid w:val="0057185B"/>
    <w:rsid w:val="0057252E"/>
    <w:rsid w:val="00572A41"/>
    <w:rsid w:val="00572CA3"/>
    <w:rsid w:val="00573041"/>
    <w:rsid w:val="00573E6E"/>
    <w:rsid w:val="00574049"/>
    <w:rsid w:val="005745F5"/>
    <w:rsid w:val="00574FB2"/>
    <w:rsid w:val="005751E4"/>
    <w:rsid w:val="005753C0"/>
    <w:rsid w:val="005756C0"/>
    <w:rsid w:val="00575738"/>
    <w:rsid w:val="00575964"/>
    <w:rsid w:val="0057694D"/>
    <w:rsid w:val="00576E2A"/>
    <w:rsid w:val="00577A1F"/>
    <w:rsid w:val="005800A7"/>
    <w:rsid w:val="00580787"/>
    <w:rsid w:val="005807D9"/>
    <w:rsid w:val="00580C3F"/>
    <w:rsid w:val="00580FB6"/>
    <w:rsid w:val="005810C2"/>
    <w:rsid w:val="0058114E"/>
    <w:rsid w:val="005832ED"/>
    <w:rsid w:val="005837F7"/>
    <w:rsid w:val="005839FA"/>
    <w:rsid w:val="00583AD9"/>
    <w:rsid w:val="00583D74"/>
    <w:rsid w:val="005846B8"/>
    <w:rsid w:val="00584FC3"/>
    <w:rsid w:val="005853DD"/>
    <w:rsid w:val="00585FE5"/>
    <w:rsid w:val="005861E6"/>
    <w:rsid w:val="00586886"/>
    <w:rsid w:val="005869C6"/>
    <w:rsid w:val="00586CC5"/>
    <w:rsid w:val="005876EE"/>
    <w:rsid w:val="00587E2D"/>
    <w:rsid w:val="00587E75"/>
    <w:rsid w:val="0059064E"/>
    <w:rsid w:val="00591819"/>
    <w:rsid w:val="00591F4C"/>
    <w:rsid w:val="00592B30"/>
    <w:rsid w:val="005930D2"/>
    <w:rsid w:val="005935DA"/>
    <w:rsid w:val="00593C5E"/>
    <w:rsid w:val="0059403E"/>
    <w:rsid w:val="005940F5"/>
    <w:rsid w:val="0059423B"/>
    <w:rsid w:val="0059428A"/>
    <w:rsid w:val="0059458E"/>
    <w:rsid w:val="0059475B"/>
    <w:rsid w:val="005947C1"/>
    <w:rsid w:val="00594A2D"/>
    <w:rsid w:val="005955A1"/>
    <w:rsid w:val="00595AE5"/>
    <w:rsid w:val="00595EDE"/>
    <w:rsid w:val="00596761"/>
    <w:rsid w:val="00596EF1"/>
    <w:rsid w:val="00597D4A"/>
    <w:rsid w:val="005A01B4"/>
    <w:rsid w:val="005A08CC"/>
    <w:rsid w:val="005A0AE0"/>
    <w:rsid w:val="005A0C5E"/>
    <w:rsid w:val="005A138F"/>
    <w:rsid w:val="005A1451"/>
    <w:rsid w:val="005A230E"/>
    <w:rsid w:val="005A2623"/>
    <w:rsid w:val="005A2D5E"/>
    <w:rsid w:val="005A3091"/>
    <w:rsid w:val="005A3522"/>
    <w:rsid w:val="005A3A48"/>
    <w:rsid w:val="005A4080"/>
    <w:rsid w:val="005A40DC"/>
    <w:rsid w:val="005A465F"/>
    <w:rsid w:val="005A4673"/>
    <w:rsid w:val="005A50AB"/>
    <w:rsid w:val="005A567C"/>
    <w:rsid w:val="005A6121"/>
    <w:rsid w:val="005A61DD"/>
    <w:rsid w:val="005A7B8C"/>
    <w:rsid w:val="005B0329"/>
    <w:rsid w:val="005B0A3B"/>
    <w:rsid w:val="005B0A5D"/>
    <w:rsid w:val="005B23B0"/>
    <w:rsid w:val="005B264A"/>
    <w:rsid w:val="005B2E7E"/>
    <w:rsid w:val="005B38B2"/>
    <w:rsid w:val="005B4986"/>
    <w:rsid w:val="005B4AD4"/>
    <w:rsid w:val="005B4DB5"/>
    <w:rsid w:val="005B4DB9"/>
    <w:rsid w:val="005B5261"/>
    <w:rsid w:val="005B575B"/>
    <w:rsid w:val="005B57C2"/>
    <w:rsid w:val="005B588C"/>
    <w:rsid w:val="005B5B7C"/>
    <w:rsid w:val="005B5C24"/>
    <w:rsid w:val="005B6113"/>
    <w:rsid w:val="005B68BF"/>
    <w:rsid w:val="005B6C40"/>
    <w:rsid w:val="005B7C65"/>
    <w:rsid w:val="005C09AD"/>
    <w:rsid w:val="005C14B9"/>
    <w:rsid w:val="005C201D"/>
    <w:rsid w:val="005C29E1"/>
    <w:rsid w:val="005C2A7E"/>
    <w:rsid w:val="005C2D9C"/>
    <w:rsid w:val="005C32AB"/>
    <w:rsid w:val="005C3517"/>
    <w:rsid w:val="005C3D6B"/>
    <w:rsid w:val="005C4158"/>
    <w:rsid w:val="005C4346"/>
    <w:rsid w:val="005C49EF"/>
    <w:rsid w:val="005C5C93"/>
    <w:rsid w:val="005C5F0D"/>
    <w:rsid w:val="005C643A"/>
    <w:rsid w:val="005C6483"/>
    <w:rsid w:val="005C6D1F"/>
    <w:rsid w:val="005C79D7"/>
    <w:rsid w:val="005D0188"/>
    <w:rsid w:val="005D0FE0"/>
    <w:rsid w:val="005D158B"/>
    <w:rsid w:val="005D2271"/>
    <w:rsid w:val="005D23B0"/>
    <w:rsid w:val="005D24BE"/>
    <w:rsid w:val="005D25F7"/>
    <w:rsid w:val="005D2749"/>
    <w:rsid w:val="005D2941"/>
    <w:rsid w:val="005D2DA7"/>
    <w:rsid w:val="005D2F00"/>
    <w:rsid w:val="005D2F31"/>
    <w:rsid w:val="005D30D1"/>
    <w:rsid w:val="005D319F"/>
    <w:rsid w:val="005D354D"/>
    <w:rsid w:val="005D3D4B"/>
    <w:rsid w:val="005D5397"/>
    <w:rsid w:val="005D5C22"/>
    <w:rsid w:val="005D626C"/>
    <w:rsid w:val="005D727C"/>
    <w:rsid w:val="005D7A3A"/>
    <w:rsid w:val="005D7AC5"/>
    <w:rsid w:val="005D7FF4"/>
    <w:rsid w:val="005E0267"/>
    <w:rsid w:val="005E0412"/>
    <w:rsid w:val="005E08AC"/>
    <w:rsid w:val="005E0F38"/>
    <w:rsid w:val="005E10B5"/>
    <w:rsid w:val="005E16B4"/>
    <w:rsid w:val="005E1846"/>
    <w:rsid w:val="005E1A64"/>
    <w:rsid w:val="005E1D25"/>
    <w:rsid w:val="005E20CC"/>
    <w:rsid w:val="005E2329"/>
    <w:rsid w:val="005E2E9B"/>
    <w:rsid w:val="005E2F6F"/>
    <w:rsid w:val="005E36AA"/>
    <w:rsid w:val="005E3CCC"/>
    <w:rsid w:val="005E4F56"/>
    <w:rsid w:val="005E50F5"/>
    <w:rsid w:val="005E607A"/>
    <w:rsid w:val="005E60AA"/>
    <w:rsid w:val="005E65B4"/>
    <w:rsid w:val="005E6843"/>
    <w:rsid w:val="005E6D96"/>
    <w:rsid w:val="005E6E8F"/>
    <w:rsid w:val="005E6F96"/>
    <w:rsid w:val="005E73B5"/>
    <w:rsid w:val="005F0253"/>
    <w:rsid w:val="005F05E9"/>
    <w:rsid w:val="005F0ABB"/>
    <w:rsid w:val="005F1530"/>
    <w:rsid w:val="005F1937"/>
    <w:rsid w:val="005F1C1E"/>
    <w:rsid w:val="005F25CE"/>
    <w:rsid w:val="005F264C"/>
    <w:rsid w:val="005F316D"/>
    <w:rsid w:val="005F3AE9"/>
    <w:rsid w:val="005F41C8"/>
    <w:rsid w:val="005F4247"/>
    <w:rsid w:val="005F4BA7"/>
    <w:rsid w:val="005F4D76"/>
    <w:rsid w:val="005F4F3F"/>
    <w:rsid w:val="005F4FF0"/>
    <w:rsid w:val="005F532F"/>
    <w:rsid w:val="005F5361"/>
    <w:rsid w:val="005F6826"/>
    <w:rsid w:val="005F6E52"/>
    <w:rsid w:val="005F6E94"/>
    <w:rsid w:val="005F6EBC"/>
    <w:rsid w:val="005F7E04"/>
    <w:rsid w:val="00600323"/>
    <w:rsid w:val="00600563"/>
    <w:rsid w:val="00600763"/>
    <w:rsid w:val="00600967"/>
    <w:rsid w:val="00600A18"/>
    <w:rsid w:val="00601671"/>
    <w:rsid w:val="006016C4"/>
    <w:rsid w:val="006018B5"/>
    <w:rsid w:val="00601AA3"/>
    <w:rsid w:val="00601C6C"/>
    <w:rsid w:val="00601F21"/>
    <w:rsid w:val="00601FCB"/>
    <w:rsid w:val="006030F3"/>
    <w:rsid w:val="006032A1"/>
    <w:rsid w:val="00603FB4"/>
    <w:rsid w:val="00605186"/>
    <w:rsid w:val="00605963"/>
    <w:rsid w:val="00605E7B"/>
    <w:rsid w:val="00606257"/>
    <w:rsid w:val="0060658C"/>
    <w:rsid w:val="00606A09"/>
    <w:rsid w:val="00607097"/>
    <w:rsid w:val="0060765E"/>
    <w:rsid w:val="006079B9"/>
    <w:rsid w:val="00607B80"/>
    <w:rsid w:val="00607BA3"/>
    <w:rsid w:val="00610133"/>
    <w:rsid w:val="006102DB"/>
    <w:rsid w:val="006102EE"/>
    <w:rsid w:val="00610629"/>
    <w:rsid w:val="00610A2C"/>
    <w:rsid w:val="00610F06"/>
    <w:rsid w:val="00611173"/>
    <w:rsid w:val="006111EA"/>
    <w:rsid w:val="00611287"/>
    <w:rsid w:val="006113D7"/>
    <w:rsid w:val="00611992"/>
    <w:rsid w:val="00611B34"/>
    <w:rsid w:val="00611F24"/>
    <w:rsid w:val="00612D6C"/>
    <w:rsid w:val="00612F79"/>
    <w:rsid w:val="006130C2"/>
    <w:rsid w:val="00613AAD"/>
    <w:rsid w:val="00613D85"/>
    <w:rsid w:val="00613ECD"/>
    <w:rsid w:val="00613F9E"/>
    <w:rsid w:val="00614276"/>
    <w:rsid w:val="00614C93"/>
    <w:rsid w:val="00615F96"/>
    <w:rsid w:val="00615FF5"/>
    <w:rsid w:val="00616463"/>
    <w:rsid w:val="006166A8"/>
    <w:rsid w:val="00616909"/>
    <w:rsid w:val="00616940"/>
    <w:rsid w:val="00616F3B"/>
    <w:rsid w:val="0061767B"/>
    <w:rsid w:val="00617C68"/>
    <w:rsid w:val="0062124A"/>
    <w:rsid w:val="00622A55"/>
    <w:rsid w:val="00622F31"/>
    <w:rsid w:val="00623603"/>
    <w:rsid w:val="00623876"/>
    <w:rsid w:val="00623890"/>
    <w:rsid w:val="006238CB"/>
    <w:rsid w:val="0062395A"/>
    <w:rsid w:val="00624912"/>
    <w:rsid w:val="00624F48"/>
    <w:rsid w:val="00625882"/>
    <w:rsid w:val="00626706"/>
    <w:rsid w:val="0062683A"/>
    <w:rsid w:val="00626AC6"/>
    <w:rsid w:val="00626BC4"/>
    <w:rsid w:val="00626D71"/>
    <w:rsid w:val="006279F1"/>
    <w:rsid w:val="00630445"/>
    <w:rsid w:val="00630645"/>
    <w:rsid w:val="00630F9E"/>
    <w:rsid w:val="0063144D"/>
    <w:rsid w:val="00631744"/>
    <w:rsid w:val="006318F4"/>
    <w:rsid w:val="00631927"/>
    <w:rsid w:val="00631D60"/>
    <w:rsid w:val="00631E88"/>
    <w:rsid w:val="00631F8E"/>
    <w:rsid w:val="00631FA4"/>
    <w:rsid w:val="0063208C"/>
    <w:rsid w:val="006333FD"/>
    <w:rsid w:val="0063391E"/>
    <w:rsid w:val="00633C84"/>
    <w:rsid w:val="006344E7"/>
    <w:rsid w:val="006347A4"/>
    <w:rsid w:val="006347E0"/>
    <w:rsid w:val="00634A61"/>
    <w:rsid w:val="00634DB9"/>
    <w:rsid w:val="006352EC"/>
    <w:rsid w:val="00635B1A"/>
    <w:rsid w:val="006369AC"/>
    <w:rsid w:val="00636B2E"/>
    <w:rsid w:val="00636F26"/>
    <w:rsid w:val="0063713F"/>
    <w:rsid w:val="00637E74"/>
    <w:rsid w:val="00637F33"/>
    <w:rsid w:val="00640A52"/>
    <w:rsid w:val="006417BC"/>
    <w:rsid w:val="00642052"/>
    <w:rsid w:val="006423DA"/>
    <w:rsid w:val="006424DA"/>
    <w:rsid w:val="00642EE3"/>
    <w:rsid w:val="0064330B"/>
    <w:rsid w:val="0064364F"/>
    <w:rsid w:val="00643B42"/>
    <w:rsid w:val="00643C5D"/>
    <w:rsid w:val="00644D9D"/>
    <w:rsid w:val="00644DFB"/>
    <w:rsid w:val="00646653"/>
    <w:rsid w:val="00646780"/>
    <w:rsid w:val="0064712A"/>
    <w:rsid w:val="00647919"/>
    <w:rsid w:val="00647D93"/>
    <w:rsid w:val="0065033E"/>
    <w:rsid w:val="00650EAA"/>
    <w:rsid w:val="00651553"/>
    <w:rsid w:val="0065197A"/>
    <w:rsid w:val="0065224A"/>
    <w:rsid w:val="006523FA"/>
    <w:rsid w:val="006529A3"/>
    <w:rsid w:val="00652EA4"/>
    <w:rsid w:val="006531BB"/>
    <w:rsid w:val="006533AA"/>
    <w:rsid w:val="00653514"/>
    <w:rsid w:val="00653519"/>
    <w:rsid w:val="00653FAE"/>
    <w:rsid w:val="00654059"/>
    <w:rsid w:val="00655107"/>
    <w:rsid w:val="00655534"/>
    <w:rsid w:val="00655DAE"/>
    <w:rsid w:val="006560A1"/>
    <w:rsid w:val="006562F3"/>
    <w:rsid w:val="006564CA"/>
    <w:rsid w:val="00656A0C"/>
    <w:rsid w:val="0065715A"/>
    <w:rsid w:val="006578C9"/>
    <w:rsid w:val="00657B96"/>
    <w:rsid w:val="006603F0"/>
    <w:rsid w:val="006605E9"/>
    <w:rsid w:val="00660D28"/>
    <w:rsid w:val="00661213"/>
    <w:rsid w:val="00661E6D"/>
    <w:rsid w:val="00661F7B"/>
    <w:rsid w:val="00662C70"/>
    <w:rsid w:val="0066314B"/>
    <w:rsid w:val="006634D5"/>
    <w:rsid w:val="006635C1"/>
    <w:rsid w:val="006636AB"/>
    <w:rsid w:val="00663E11"/>
    <w:rsid w:val="0066477D"/>
    <w:rsid w:val="00664DED"/>
    <w:rsid w:val="0066585E"/>
    <w:rsid w:val="00665D17"/>
    <w:rsid w:val="00665F4A"/>
    <w:rsid w:val="00666A07"/>
    <w:rsid w:val="00666B9C"/>
    <w:rsid w:val="00666DB2"/>
    <w:rsid w:val="00667579"/>
    <w:rsid w:val="006706E5"/>
    <w:rsid w:val="00670BC9"/>
    <w:rsid w:val="00670C09"/>
    <w:rsid w:val="00670D5C"/>
    <w:rsid w:val="00671851"/>
    <w:rsid w:val="00671B08"/>
    <w:rsid w:val="00673EEA"/>
    <w:rsid w:val="00674F75"/>
    <w:rsid w:val="006762E9"/>
    <w:rsid w:val="006771A6"/>
    <w:rsid w:val="00677493"/>
    <w:rsid w:val="00677646"/>
    <w:rsid w:val="00677995"/>
    <w:rsid w:val="00677B17"/>
    <w:rsid w:val="0068007E"/>
    <w:rsid w:val="006809C9"/>
    <w:rsid w:val="00681D14"/>
    <w:rsid w:val="00682A9E"/>
    <w:rsid w:val="00682DAB"/>
    <w:rsid w:val="00683401"/>
    <w:rsid w:val="00684BF5"/>
    <w:rsid w:val="00684CB0"/>
    <w:rsid w:val="00685417"/>
    <w:rsid w:val="006862B5"/>
    <w:rsid w:val="00686710"/>
    <w:rsid w:val="00686A97"/>
    <w:rsid w:val="00686BC4"/>
    <w:rsid w:val="00686C24"/>
    <w:rsid w:val="00687A11"/>
    <w:rsid w:val="00691152"/>
    <w:rsid w:val="0069193B"/>
    <w:rsid w:val="00691B33"/>
    <w:rsid w:val="00692022"/>
    <w:rsid w:val="006927CD"/>
    <w:rsid w:val="006928EF"/>
    <w:rsid w:val="006939B3"/>
    <w:rsid w:val="006939DC"/>
    <w:rsid w:val="00693FB3"/>
    <w:rsid w:val="00694030"/>
    <w:rsid w:val="00694B15"/>
    <w:rsid w:val="0069594B"/>
    <w:rsid w:val="00695BA1"/>
    <w:rsid w:val="00696341"/>
    <w:rsid w:val="00696594"/>
    <w:rsid w:val="006965EB"/>
    <w:rsid w:val="00696702"/>
    <w:rsid w:val="00696A37"/>
    <w:rsid w:val="00697379"/>
    <w:rsid w:val="00697ACC"/>
    <w:rsid w:val="00697C72"/>
    <w:rsid w:val="00697E97"/>
    <w:rsid w:val="006A0064"/>
    <w:rsid w:val="006A00A5"/>
    <w:rsid w:val="006A03FE"/>
    <w:rsid w:val="006A11B3"/>
    <w:rsid w:val="006A19DC"/>
    <w:rsid w:val="006A2842"/>
    <w:rsid w:val="006A3645"/>
    <w:rsid w:val="006A3C2B"/>
    <w:rsid w:val="006A4846"/>
    <w:rsid w:val="006A49BA"/>
    <w:rsid w:val="006A4A9B"/>
    <w:rsid w:val="006A5099"/>
    <w:rsid w:val="006A52C9"/>
    <w:rsid w:val="006A58D3"/>
    <w:rsid w:val="006A5B11"/>
    <w:rsid w:val="006A714D"/>
    <w:rsid w:val="006A775F"/>
    <w:rsid w:val="006A7E8A"/>
    <w:rsid w:val="006A7FA0"/>
    <w:rsid w:val="006B0269"/>
    <w:rsid w:val="006B0A6E"/>
    <w:rsid w:val="006B0B30"/>
    <w:rsid w:val="006B0DA1"/>
    <w:rsid w:val="006B1268"/>
    <w:rsid w:val="006B19B2"/>
    <w:rsid w:val="006B1DC1"/>
    <w:rsid w:val="006B221F"/>
    <w:rsid w:val="006B23BC"/>
    <w:rsid w:val="006B257A"/>
    <w:rsid w:val="006B31BA"/>
    <w:rsid w:val="006B328D"/>
    <w:rsid w:val="006B35DF"/>
    <w:rsid w:val="006B3FAD"/>
    <w:rsid w:val="006B4108"/>
    <w:rsid w:val="006B4E54"/>
    <w:rsid w:val="006B522C"/>
    <w:rsid w:val="006B5645"/>
    <w:rsid w:val="006B5725"/>
    <w:rsid w:val="006B595A"/>
    <w:rsid w:val="006B63D4"/>
    <w:rsid w:val="006B676F"/>
    <w:rsid w:val="006B684F"/>
    <w:rsid w:val="006B750F"/>
    <w:rsid w:val="006B792D"/>
    <w:rsid w:val="006B79C4"/>
    <w:rsid w:val="006B7EEB"/>
    <w:rsid w:val="006C0366"/>
    <w:rsid w:val="006C03FD"/>
    <w:rsid w:val="006C0777"/>
    <w:rsid w:val="006C07E2"/>
    <w:rsid w:val="006C11D4"/>
    <w:rsid w:val="006C17A7"/>
    <w:rsid w:val="006C1BBB"/>
    <w:rsid w:val="006C1D10"/>
    <w:rsid w:val="006C294F"/>
    <w:rsid w:val="006C2F35"/>
    <w:rsid w:val="006C3003"/>
    <w:rsid w:val="006C343C"/>
    <w:rsid w:val="006C360D"/>
    <w:rsid w:val="006C3C6E"/>
    <w:rsid w:val="006C48AB"/>
    <w:rsid w:val="006C56EC"/>
    <w:rsid w:val="006C6709"/>
    <w:rsid w:val="006C6952"/>
    <w:rsid w:val="006C6A0F"/>
    <w:rsid w:val="006C6B55"/>
    <w:rsid w:val="006C70B3"/>
    <w:rsid w:val="006D04D6"/>
    <w:rsid w:val="006D07F2"/>
    <w:rsid w:val="006D21B1"/>
    <w:rsid w:val="006D22A3"/>
    <w:rsid w:val="006D26B7"/>
    <w:rsid w:val="006D2FA7"/>
    <w:rsid w:val="006D419E"/>
    <w:rsid w:val="006D48CD"/>
    <w:rsid w:val="006D4C2F"/>
    <w:rsid w:val="006D5154"/>
    <w:rsid w:val="006D572F"/>
    <w:rsid w:val="006D5C71"/>
    <w:rsid w:val="006D6320"/>
    <w:rsid w:val="006D6544"/>
    <w:rsid w:val="006D7653"/>
    <w:rsid w:val="006D785C"/>
    <w:rsid w:val="006D7C20"/>
    <w:rsid w:val="006D7D75"/>
    <w:rsid w:val="006D7D7B"/>
    <w:rsid w:val="006D7F74"/>
    <w:rsid w:val="006E00A9"/>
    <w:rsid w:val="006E054B"/>
    <w:rsid w:val="006E0D58"/>
    <w:rsid w:val="006E15D8"/>
    <w:rsid w:val="006E1F2B"/>
    <w:rsid w:val="006E1F59"/>
    <w:rsid w:val="006E210D"/>
    <w:rsid w:val="006E23DD"/>
    <w:rsid w:val="006E2DFA"/>
    <w:rsid w:val="006E3156"/>
    <w:rsid w:val="006E32F4"/>
    <w:rsid w:val="006E3320"/>
    <w:rsid w:val="006E3456"/>
    <w:rsid w:val="006E38F5"/>
    <w:rsid w:val="006E3FCC"/>
    <w:rsid w:val="006E4FAB"/>
    <w:rsid w:val="006E4FB2"/>
    <w:rsid w:val="006E51D0"/>
    <w:rsid w:val="006E5318"/>
    <w:rsid w:val="006E589D"/>
    <w:rsid w:val="006E5FB9"/>
    <w:rsid w:val="006E6419"/>
    <w:rsid w:val="006E6F2F"/>
    <w:rsid w:val="006E7374"/>
    <w:rsid w:val="006E73AA"/>
    <w:rsid w:val="006E78BF"/>
    <w:rsid w:val="006E794D"/>
    <w:rsid w:val="006E79A1"/>
    <w:rsid w:val="006E7FA3"/>
    <w:rsid w:val="006F0637"/>
    <w:rsid w:val="006F1617"/>
    <w:rsid w:val="006F1975"/>
    <w:rsid w:val="006F1B77"/>
    <w:rsid w:val="006F1C7B"/>
    <w:rsid w:val="006F1F5C"/>
    <w:rsid w:val="006F2002"/>
    <w:rsid w:val="006F2686"/>
    <w:rsid w:val="006F38D2"/>
    <w:rsid w:val="006F3AD7"/>
    <w:rsid w:val="006F490C"/>
    <w:rsid w:val="006F4AC0"/>
    <w:rsid w:val="006F4F1F"/>
    <w:rsid w:val="006F5A63"/>
    <w:rsid w:val="006F6327"/>
    <w:rsid w:val="006F6C56"/>
    <w:rsid w:val="0070009E"/>
    <w:rsid w:val="0070054C"/>
    <w:rsid w:val="007010B7"/>
    <w:rsid w:val="007010C1"/>
    <w:rsid w:val="0070136C"/>
    <w:rsid w:val="00701567"/>
    <w:rsid w:val="007015A6"/>
    <w:rsid w:val="00702715"/>
    <w:rsid w:val="00702C86"/>
    <w:rsid w:val="00703477"/>
    <w:rsid w:val="0070351A"/>
    <w:rsid w:val="007036BD"/>
    <w:rsid w:val="00703AD9"/>
    <w:rsid w:val="0070410A"/>
    <w:rsid w:val="007047E5"/>
    <w:rsid w:val="00704BE4"/>
    <w:rsid w:val="00704F64"/>
    <w:rsid w:val="00705824"/>
    <w:rsid w:val="00705D31"/>
    <w:rsid w:val="00705D80"/>
    <w:rsid w:val="0070612A"/>
    <w:rsid w:val="00707245"/>
    <w:rsid w:val="00707A79"/>
    <w:rsid w:val="00707FC2"/>
    <w:rsid w:val="00710297"/>
    <w:rsid w:val="00711A6F"/>
    <w:rsid w:val="00711B60"/>
    <w:rsid w:val="007125E6"/>
    <w:rsid w:val="0071283E"/>
    <w:rsid w:val="007129A8"/>
    <w:rsid w:val="00712ED2"/>
    <w:rsid w:val="0071329C"/>
    <w:rsid w:val="007139EF"/>
    <w:rsid w:val="007143DB"/>
    <w:rsid w:val="00714A4C"/>
    <w:rsid w:val="00714BA6"/>
    <w:rsid w:val="00716285"/>
    <w:rsid w:val="00716B89"/>
    <w:rsid w:val="00716FB9"/>
    <w:rsid w:val="00717D96"/>
    <w:rsid w:val="00717E49"/>
    <w:rsid w:val="00720BEA"/>
    <w:rsid w:val="007215A8"/>
    <w:rsid w:val="007217AC"/>
    <w:rsid w:val="00721F7B"/>
    <w:rsid w:val="0072252B"/>
    <w:rsid w:val="00722BD3"/>
    <w:rsid w:val="00722C65"/>
    <w:rsid w:val="00722EC4"/>
    <w:rsid w:val="007231D0"/>
    <w:rsid w:val="00723A39"/>
    <w:rsid w:val="007242B8"/>
    <w:rsid w:val="0072439F"/>
    <w:rsid w:val="00724732"/>
    <w:rsid w:val="00724BC2"/>
    <w:rsid w:val="00724BD1"/>
    <w:rsid w:val="00725268"/>
    <w:rsid w:val="00725B3A"/>
    <w:rsid w:val="007263E0"/>
    <w:rsid w:val="007267D3"/>
    <w:rsid w:val="00726BFE"/>
    <w:rsid w:val="00726DA5"/>
    <w:rsid w:val="00727E10"/>
    <w:rsid w:val="00730074"/>
    <w:rsid w:val="00730FDB"/>
    <w:rsid w:val="00731857"/>
    <w:rsid w:val="00732340"/>
    <w:rsid w:val="007330C6"/>
    <w:rsid w:val="00733132"/>
    <w:rsid w:val="00733DB9"/>
    <w:rsid w:val="00734FA5"/>
    <w:rsid w:val="00735052"/>
    <w:rsid w:val="00736218"/>
    <w:rsid w:val="007367C6"/>
    <w:rsid w:val="007368BC"/>
    <w:rsid w:val="00736A7C"/>
    <w:rsid w:val="00736FCE"/>
    <w:rsid w:val="00737BC5"/>
    <w:rsid w:val="00740360"/>
    <w:rsid w:val="00741037"/>
    <w:rsid w:val="0074107C"/>
    <w:rsid w:val="007412AA"/>
    <w:rsid w:val="00741606"/>
    <w:rsid w:val="00741B08"/>
    <w:rsid w:val="00741EB0"/>
    <w:rsid w:val="00742598"/>
    <w:rsid w:val="007428E0"/>
    <w:rsid w:val="00742B23"/>
    <w:rsid w:val="00742DD8"/>
    <w:rsid w:val="00742E01"/>
    <w:rsid w:val="00743B18"/>
    <w:rsid w:val="0074430E"/>
    <w:rsid w:val="00744470"/>
    <w:rsid w:val="00745D23"/>
    <w:rsid w:val="00746F55"/>
    <w:rsid w:val="00747A60"/>
    <w:rsid w:val="00747FA0"/>
    <w:rsid w:val="0075020B"/>
    <w:rsid w:val="0075077B"/>
    <w:rsid w:val="00750821"/>
    <w:rsid w:val="00751359"/>
    <w:rsid w:val="007513DA"/>
    <w:rsid w:val="0075146B"/>
    <w:rsid w:val="00751652"/>
    <w:rsid w:val="00753451"/>
    <w:rsid w:val="007545D4"/>
    <w:rsid w:val="00754F38"/>
    <w:rsid w:val="0075500D"/>
    <w:rsid w:val="00755158"/>
    <w:rsid w:val="0075559F"/>
    <w:rsid w:val="007563C2"/>
    <w:rsid w:val="00756AE9"/>
    <w:rsid w:val="00756E27"/>
    <w:rsid w:val="007572DC"/>
    <w:rsid w:val="00757B41"/>
    <w:rsid w:val="007603EA"/>
    <w:rsid w:val="00760400"/>
    <w:rsid w:val="00760515"/>
    <w:rsid w:val="00760C17"/>
    <w:rsid w:val="00760D4E"/>
    <w:rsid w:val="007614DF"/>
    <w:rsid w:val="0076222B"/>
    <w:rsid w:val="00762589"/>
    <w:rsid w:val="00762AA5"/>
    <w:rsid w:val="00762BDB"/>
    <w:rsid w:val="0076352E"/>
    <w:rsid w:val="00763835"/>
    <w:rsid w:val="0076555E"/>
    <w:rsid w:val="00765C10"/>
    <w:rsid w:val="00766B6F"/>
    <w:rsid w:val="00767356"/>
    <w:rsid w:val="00767D9E"/>
    <w:rsid w:val="0077157C"/>
    <w:rsid w:val="0077163D"/>
    <w:rsid w:val="00771C0A"/>
    <w:rsid w:val="00772C49"/>
    <w:rsid w:val="0077349E"/>
    <w:rsid w:val="00773DAD"/>
    <w:rsid w:val="00773E03"/>
    <w:rsid w:val="007743FD"/>
    <w:rsid w:val="00774C74"/>
    <w:rsid w:val="00774CE6"/>
    <w:rsid w:val="00774F77"/>
    <w:rsid w:val="0077549A"/>
    <w:rsid w:val="00775843"/>
    <w:rsid w:val="00775919"/>
    <w:rsid w:val="007769F3"/>
    <w:rsid w:val="00776B18"/>
    <w:rsid w:val="00776C5D"/>
    <w:rsid w:val="0077717F"/>
    <w:rsid w:val="0077790B"/>
    <w:rsid w:val="00780251"/>
    <w:rsid w:val="00780377"/>
    <w:rsid w:val="007806A2"/>
    <w:rsid w:val="007810A9"/>
    <w:rsid w:val="00781296"/>
    <w:rsid w:val="00781645"/>
    <w:rsid w:val="00781978"/>
    <w:rsid w:val="007819B1"/>
    <w:rsid w:val="00781C4B"/>
    <w:rsid w:val="00781F53"/>
    <w:rsid w:val="00782017"/>
    <w:rsid w:val="00782720"/>
    <w:rsid w:val="00782894"/>
    <w:rsid w:val="00782C31"/>
    <w:rsid w:val="007838D2"/>
    <w:rsid w:val="00783D93"/>
    <w:rsid w:val="00784304"/>
    <w:rsid w:val="00784525"/>
    <w:rsid w:val="00784819"/>
    <w:rsid w:val="00784C65"/>
    <w:rsid w:val="00785487"/>
    <w:rsid w:val="00785674"/>
    <w:rsid w:val="00785791"/>
    <w:rsid w:val="007864B1"/>
    <w:rsid w:val="00786BEA"/>
    <w:rsid w:val="00786E31"/>
    <w:rsid w:val="00791CA3"/>
    <w:rsid w:val="00791D45"/>
    <w:rsid w:val="00791E27"/>
    <w:rsid w:val="0079239B"/>
    <w:rsid w:val="00792C34"/>
    <w:rsid w:val="00792F56"/>
    <w:rsid w:val="0079302B"/>
    <w:rsid w:val="007932B2"/>
    <w:rsid w:val="007933AC"/>
    <w:rsid w:val="0079351C"/>
    <w:rsid w:val="00793A18"/>
    <w:rsid w:val="00793AFB"/>
    <w:rsid w:val="00793CA4"/>
    <w:rsid w:val="007940B1"/>
    <w:rsid w:val="007941AE"/>
    <w:rsid w:val="00795284"/>
    <w:rsid w:val="00795362"/>
    <w:rsid w:val="00795C65"/>
    <w:rsid w:val="00796226"/>
    <w:rsid w:val="00797B13"/>
    <w:rsid w:val="00797BA2"/>
    <w:rsid w:val="007A058F"/>
    <w:rsid w:val="007A086B"/>
    <w:rsid w:val="007A0A29"/>
    <w:rsid w:val="007A1087"/>
    <w:rsid w:val="007A1207"/>
    <w:rsid w:val="007A1516"/>
    <w:rsid w:val="007A1793"/>
    <w:rsid w:val="007A18A9"/>
    <w:rsid w:val="007A1DAA"/>
    <w:rsid w:val="007A21BD"/>
    <w:rsid w:val="007A2263"/>
    <w:rsid w:val="007A251D"/>
    <w:rsid w:val="007A2835"/>
    <w:rsid w:val="007A2DE9"/>
    <w:rsid w:val="007A3871"/>
    <w:rsid w:val="007A3902"/>
    <w:rsid w:val="007A4033"/>
    <w:rsid w:val="007A4045"/>
    <w:rsid w:val="007A411B"/>
    <w:rsid w:val="007A44DE"/>
    <w:rsid w:val="007A4AAE"/>
    <w:rsid w:val="007A4ADC"/>
    <w:rsid w:val="007A4D5B"/>
    <w:rsid w:val="007A5BA5"/>
    <w:rsid w:val="007A6B90"/>
    <w:rsid w:val="007A6FA8"/>
    <w:rsid w:val="007A734D"/>
    <w:rsid w:val="007A750F"/>
    <w:rsid w:val="007A7DBA"/>
    <w:rsid w:val="007B01B7"/>
    <w:rsid w:val="007B0468"/>
    <w:rsid w:val="007B0FC4"/>
    <w:rsid w:val="007B1E90"/>
    <w:rsid w:val="007B2442"/>
    <w:rsid w:val="007B36BA"/>
    <w:rsid w:val="007B43A2"/>
    <w:rsid w:val="007B4E34"/>
    <w:rsid w:val="007B4F42"/>
    <w:rsid w:val="007B5283"/>
    <w:rsid w:val="007B57BD"/>
    <w:rsid w:val="007B587C"/>
    <w:rsid w:val="007B5E4C"/>
    <w:rsid w:val="007B5ED2"/>
    <w:rsid w:val="007B66FF"/>
    <w:rsid w:val="007B71E5"/>
    <w:rsid w:val="007B76A7"/>
    <w:rsid w:val="007B76DE"/>
    <w:rsid w:val="007B7B60"/>
    <w:rsid w:val="007B7D36"/>
    <w:rsid w:val="007C01DB"/>
    <w:rsid w:val="007C03CE"/>
    <w:rsid w:val="007C0CCE"/>
    <w:rsid w:val="007C14E6"/>
    <w:rsid w:val="007C1614"/>
    <w:rsid w:val="007C1708"/>
    <w:rsid w:val="007C18EA"/>
    <w:rsid w:val="007C1AFD"/>
    <w:rsid w:val="007C2157"/>
    <w:rsid w:val="007C272A"/>
    <w:rsid w:val="007C2818"/>
    <w:rsid w:val="007C2F36"/>
    <w:rsid w:val="007C350D"/>
    <w:rsid w:val="007C3F59"/>
    <w:rsid w:val="007C3F89"/>
    <w:rsid w:val="007C3FC5"/>
    <w:rsid w:val="007C4232"/>
    <w:rsid w:val="007C54ED"/>
    <w:rsid w:val="007C61C6"/>
    <w:rsid w:val="007C63D2"/>
    <w:rsid w:val="007C6A74"/>
    <w:rsid w:val="007C7515"/>
    <w:rsid w:val="007C7A56"/>
    <w:rsid w:val="007D05B5"/>
    <w:rsid w:val="007D07EE"/>
    <w:rsid w:val="007D1137"/>
    <w:rsid w:val="007D12F3"/>
    <w:rsid w:val="007D2627"/>
    <w:rsid w:val="007D28BA"/>
    <w:rsid w:val="007D28CA"/>
    <w:rsid w:val="007D2AF6"/>
    <w:rsid w:val="007D2C83"/>
    <w:rsid w:val="007D347C"/>
    <w:rsid w:val="007D40A3"/>
    <w:rsid w:val="007D4370"/>
    <w:rsid w:val="007D4E84"/>
    <w:rsid w:val="007D5798"/>
    <w:rsid w:val="007D6223"/>
    <w:rsid w:val="007D6DEF"/>
    <w:rsid w:val="007D784B"/>
    <w:rsid w:val="007D7B70"/>
    <w:rsid w:val="007E01A3"/>
    <w:rsid w:val="007E0534"/>
    <w:rsid w:val="007E0773"/>
    <w:rsid w:val="007E085B"/>
    <w:rsid w:val="007E0963"/>
    <w:rsid w:val="007E15C0"/>
    <w:rsid w:val="007E1607"/>
    <w:rsid w:val="007E1CC1"/>
    <w:rsid w:val="007E2BCC"/>
    <w:rsid w:val="007E2C7C"/>
    <w:rsid w:val="007E2D56"/>
    <w:rsid w:val="007E3047"/>
    <w:rsid w:val="007E3405"/>
    <w:rsid w:val="007E4059"/>
    <w:rsid w:val="007E4A87"/>
    <w:rsid w:val="007E4B69"/>
    <w:rsid w:val="007E620A"/>
    <w:rsid w:val="007E6A07"/>
    <w:rsid w:val="007E6AB2"/>
    <w:rsid w:val="007E6B41"/>
    <w:rsid w:val="007E6DF1"/>
    <w:rsid w:val="007E7582"/>
    <w:rsid w:val="007E792E"/>
    <w:rsid w:val="007E7AAE"/>
    <w:rsid w:val="007E7B7D"/>
    <w:rsid w:val="007F0194"/>
    <w:rsid w:val="007F10F0"/>
    <w:rsid w:val="007F1188"/>
    <w:rsid w:val="007F1690"/>
    <w:rsid w:val="007F29CF"/>
    <w:rsid w:val="007F3AD4"/>
    <w:rsid w:val="007F4575"/>
    <w:rsid w:val="007F4CC7"/>
    <w:rsid w:val="007F4EC5"/>
    <w:rsid w:val="007F5CE8"/>
    <w:rsid w:val="007F6870"/>
    <w:rsid w:val="007F6B46"/>
    <w:rsid w:val="007F6E99"/>
    <w:rsid w:val="007F73B6"/>
    <w:rsid w:val="007F7562"/>
    <w:rsid w:val="007F7D5C"/>
    <w:rsid w:val="00800989"/>
    <w:rsid w:val="00800D80"/>
    <w:rsid w:val="00800F40"/>
    <w:rsid w:val="00801329"/>
    <w:rsid w:val="008017E9"/>
    <w:rsid w:val="008024B9"/>
    <w:rsid w:val="00802671"/>
    <w:rsid w:val="00802CFC"/>
    <w:rsid w:val="00802EA6"/>
    <w:rsid w:val="00802FC9"/>
    <w:rsid w:val="00803EAA"/>
    <w:rsid w:val="00803F8E"/>
    <w:rsid w:val="0080418D"/>
    <w:rsid w:val="0080473D"/>
    <w:rsid w:val="00804AB1"/>
    <w:rsid w:val="008050EC"/>
    <w:rsid w:val="00805AEE"/>
    <w:rsid w:val="00806D46"/>
    <w:rsid w:val="00807703"/>
    <w:rsid w:val="00807A16"/>
    <w:rsid w:val="00807A17"/>
    <w:rsid w:val="008107C8"/>
    <w:rsid w:val="0081084D"/>
    <w:rsid w:val="00810EDD"/>
    <w:rsid w:val="0081137B"/>
    <w:rsid w:val="0081140C"/>
    <w:rsid w:val="008116CB"/>
    <w:rsid w:val="0081170A"/>
    <w:rsid w:val="008117B5"/>
    <w:rsid w:val="00812029"/>
    <w:rsid w:val="008121A5"/>
    <w:rsid w:val="00812CE6"/>
    <w:rsid w:val="00813856"/>
    <w:rsid w:val="00813A54"/>
    <w:rsid w:val="0081430A"/>
    <w:rsid w:val="00814375"/>
    <w:rsid w:val="00814449"/>
    <w:rsid w:val="0081449A"/>
    <w:rsid w:val="00814740"/>
    <w:rsid w:val="0081474B"/>
    <w:rsid w:val="00815178"/>
    <w:rsid w:val="0081549D"/>
    <w:rsid w:val="008157CF"/>
    <w:rsid w:val="00815882"/>
    <w:rsid w:val="00815D5A"/>
    <w:rsid w:val="008162AB"/>
    <w:rsid w:val="00816311"/>
    <w:rsid w:val="00816775"/>
    <w:rsid w:val="00816D3B"/>
    <w:rsid w:val="008170BD"/>
    <w:rsid w:val="008173F0"/>
    <w:rsid w:val="00817632"/>
    <w:rsid w:val="00817C09"/>
    <w:rsid w:val="00817F76"/>
    <w:rsid w:val="0082134F"/>
    <w:rsid w:val="00821F8E"/>
    <w:rsid w:val="008233EF"/>
    <w:rsid w:val="00823440"/>
    <w:rsid w:val="00823C78"/>
    <w:rsid w:val="00823D99"/>
    <w:rsid w:val="00823EA1"/>
    <w:rsid w:val="0082429F"/>
    <w:rsid w:val="008253C8"/>
    <w:rsid w:val="008255C1"/>
    <w:rsid w:val="00825E8F"/>
    <w:rsid w:val="00825F67"/>
    <w:rsid w:val="008264A2"/>
    <w:rsid w:val="00826DD4"/>
    <w:rsid w:val="00826EC7"/>
    <w:rsid w:val="0082732E"/>
    <w:rsid w:val="00827394"/>
    <w:rsid w:val="00827CB9"/>
    <w:rsid w:val="00830113"/>
    <w:rsid w:val="008307B7"/>
    <w:rsid w:val="00830BEB"/>
    <w:rsid w:val="00830FDD"/>
    <w:rsid w:val="008313F3"/>
    <w:rsid w:val="00831AD7"/>
    <w:rsid w:val="00831DE1"/>
    <w:rsid w:val="00831EB5"/>
    <w:rsid w:val="00832356"/>
    <w:rsid w:val="00832908"/>
    <w:rsid w:val="00832A79"/>
    <w:rsid w:val="0083328C"/>
    <w:rsid w:val="008339DD"/>
    <w:rsid w:val="00833AE0"/>
    <w:rsid w:val="008352ED"/>
    <w:rsid w:val="008356D9"/>
    <w:rsid w:val="008359A2"/>
    <w:rsid w:val="00835AA6"/>
    <w:rsid w:val="00836195"/>
    <w:rsid w:val="00836CA6"/>
    <w:rsid w:val="00836E24"/>
    <w:rsid w:val="00836FEC"/>
    <w:rsid w:val="00837022"/>
    <w:rsid w:val="008375B9"/>
    <w:rsid w:val="008377DA"/>
    <w:rsid w:val="008408EF"/>
    <w:rsid w:val="00840AD5"/>
    <w:rsid w:val="00840AFA"/>
    <w:rsid w:val="008412E0"/>
    <w:rsid w:val="008418BA"/>
    <w:rsid w:val="00842558"/>
    <w:rsid w:val="00842690"/>
    <w:rsid w:val="008427A7"/>
    <w:rsid w:val="008432EA"/>
    <w:rsid w:val="008434CB"/>
    <w:rsid w:val="00844054"/>
    <w:rsid w:val="00844232"/>
    <w:rsid w:val="008444B7"/>
    <w:rsid w:val="008444F9"/>
    <w:rsid w:val="00844BBD"/>
    <w:rsid w:val="00844BF4"/>
    <w:rsid w:val="008460FE"/>
    <w:rsid w:val="008461E3"/>
    <w:rsid w:val="008475AE"/>
    <w:rsid w:val="008479DE"/>
    <w:rsid w:val="00847D1D"/>
    <w:rsid w:val="00847D39"/>
    <w:rsid w:val="00847E9A"/>
    <w:rsid w:val="00850565"/>
    <w:rsid w:val="00851749"/>
    <w:rsid w:val="008523ED"/>
    <w:rsid w:val="00852DCE"/>
    <w:rsid w:val="008532D2"/>
    <w:rsid w:val="0085347B"/>
    <w:rsid w:val="00853B6A"/>
    <w:rsid w:val="00853FFC"/>
    <w:rsid w:val="00854F8C"/>
    <w:rsid w:val="00854FEF"/>
    <w:rsid w:val="00855196"/>
    <w:rsid w:val="008553A2"/>
    <w:rsid w:val="00855F3E"/>
    <w:rsid w:val="00856121"/>
    <w:rsid w:val="008561FF"/>
    <w:rsid w:val="008568B5"/>
    <w:rsid w:val="008569F2"/>
    <w:rsid w:val="008573F2"/>
    <w:rsid w:val="0085775F"/>
    <w:rsid w:val="00857F15"/>
    <w:rsid w:val="00860274"/>
    <w:rsid w:val="00860B55"/>
    <w:rsid w:val="008611B2"/>
    <w:rsid w:val="008619D2"/>
    <w:rsid w:val="00861F27"/>
    <w:rsid w:val="0086203C"/>
    <w:rsid w:val="008621C3"/>
    <w:rsid w:val="008628E2"/>
    <w:rsid w:val="008631E7"/>
    <w:rsid w:val="008635F4"/>
    <w:rsid w:val="00864374"/>
    <w:rsid w:val="0086496A"/>
    <w:rsid w:val="00865A2B"/>
    <w:rsid w:val="00865FA0"/>
    <w:rsid w:val="008662D3"/>
    <w:rsid w:val="008669F5"/>
    <w:rsid w:val="00866C7A"/>
    <w:rsid w:val="00867449"/>
    <w:rsid w:val="00867DEB"/>
    <w:rsid w:val="00867F81"/>
    <w:rsid w:val="008707E2"/>
    <w:rsid w:val="00871553"/>
    <w:rsid w:val="00872239"/>
    <w:rsid w:val="0087238C"/>
    <w:rsid w:val="00872527"/>
    <w:rsid w:val="00872686"/>
    <w:rsid w:val="008727E8"/>
    <w:rsid w:val="0087298B"/>
    <w:rsid w:val="00872B14"/>
    <w:rsid w:val="00872BC9"/>
    <w:rsid w:val="00872CE5"/>
    <w:rsid w:val="00872E53"/>
    <w:rsid w:val="00872E56"/>
    <w:rsid w:val="0087334A"/>
    <w:rsid w:val="00874552"/>
    <w:rsid w:val="00874D80"/>
    <w:rsid w:val="0087588E"/>
    <w:rsid w:val="00875A74"/>
    <w:rsid w:val="008769AE"/>
    <w:rsid w:val="00876AC7"/>
    <w:rsid w:val="00876D6F"/>
    <w:rsid w:val="0087728B"/>
    <w:rsid w:val="008775F0"/>
    <w:rsid w:val="00877E9E"/>
    <w:rsid w:val="008805AD"/>
    <w:rsid w:val="00880874"/>
    <w:rsid w:val="00880AD5"/>
    <w:rsid w:val="008812B4"/>
    <w:rsid w:val="0088196E"/>
    <w:rsid w:val="00881ADD"/>
    <w:rsid w:val="00881D98"/>
    <w:rsid w:val="00881E30"/>
    <w:rsid w:val="00882491"/>
    <w:rsid w:val="008828BA"/>
    <w:rsid w:val="008829F5"/>
    <w:rsid w:val="00883017"/>
    <w:rsid w:val="0088301F"/>
    <w:rsid w:val="00883690"/>
    <w:rsid w:val="00883694"/>
    <w:rsid w:val="008839EE"/>
    <w:rsid w:val="00883DAC"/>
    <w:rsid w:val="0088436C"/>
    <w:rsid w:val="00884463"/>
    <w:rsid w:val="008847F9"/>
    <w:rsid w:val="008848CE"/>
    <w:rsid w:val="0088578B"/>
    <w:rsid w:val="00885805"/>
    <w:rsid w:val="008860A3"/>
    <w:rsid w:val="00887930"/>
    <w:rsid w:val="00887A13"/>
    <w:rsid w:val="0089022C"/>
    <w:rsid w:val="008902DC"/>
    <w:rsid w:val="008903F9"/>
    <w:rsid w:val="0089054B"/>
    <w:rsid w:val="00891919"/>
    <w:rsid w:val="00891B1E"/>
    <w:rsid w:val="00891BB7"/>
    <w:rsid w:val="00892010"/>
    <w:rsid w:val="00892C08"/>
    <w:rsid w:val="00892E99"/>
    <w:rsid w:val="00893403"/>
    <w:rsid w:val="00893FBA"/>
    <w:rsid w:val="00894438"/>
    <w:rsid w:val="00894A6C"/>
    <w:rsid w:val="008954CE"/>
    <w:rsid w:val="00895736"/>
    <w:rsid w:val="00895798"/>
    <w:rsid w:val="008957AA"/>
    <w:rsid w:val="00896620"/>
    <w:rsid w:val="00896F77"/>
    <w:rsid w:val="00896FAA"/>
    <w:rsid w:val="00897516"/>
    <w:rsid w:val="008A000F"/>
    <w:rsid w:val="008A04DC"/>
    <w:rsid w:val="008A0609"/>
    <w:rsid w:val="008A0784"/>
    <w:rsid w:val="008A0A97"/>
    <w:rsid w:val="008A1171"/>
    <w:rsid w:val="008A160C"/>
    <w:rsid w:val="008A18E9"/>
    <w:rsid w:val="008A1B8C"/>
    <w:rsid w:val="008A1C0F"/>
    <w:rsid w:val="008A1CBE"/>
    <w:rsid w:val="008A22D2"/>
    <w:rsid w:val="008A2F86"/>
    <w:rsid w:val="008A41CE"/>
    <w:rsid w:val="008A46EB"/>
    <w:rsid w:val="008A5573"/>
    <w:rsid w:val="008A5E80"/>
    <w:rsid w:val="008A5F73"/>
    <w:rsid w:val="008A6D54"/>
    <w:rsid w:val="008A6D69"/>
    <w:rsid w:val="008A7393"/>
    <w:rsid w:val="008A7965"/>
    <w:rsid w:val="008A79DC"/>
    <w:rsid w:val="008B0198"/>
    <w:rsid w:val="008B0C03"/>
    <w:rsid w:val="008B1A95"/>
    <w:rsid w:val="008B34D0"/>
    <w:rsid w:val="008B40F5"/>
    <w:rsid w:val="008B42C8"/>
    <w:rsid w:val="008B4345"/>
    <w:rsid w:val="008B4B12"/>
    <w:rsid w:val="008B5164"/>
    <w:rsid w:val="008B66D2"/>
    <w:rsid w:val="008B68CE"/>
    <w:rsid w:val="008B79A5"/>
    <w:rsid w:val="008C02CB"/>
    <w:rsid w:val="008C1028"/>
    <w:rsid w:val="008C1186"/>
    <w:rsid w:val="008C12CD"/>
    <w:rsid w:val="008C1349"/>
    <w:rsid w:val="008C19B7"/>
    <w:rsid w:val="008C1E04"/>
    <w:rsid w:val="008C2201"/>
    <w:rsid w:val="008C2478"/>
    <w:rsid w:val="008C269F"/>
    <w:rsid w:val="008C2A76"/>
    <w:rsid w:val="008C2B0D"/>
    <w:rsid w:val="008C2B12"/>
    <w:rsid w:val="008C3276"/>
    <w:rsid w:val="008C33D5"/>
    <w:rsid w:val="008C3DCE"/>
    <w:rsid w:val="008C3E3D"/>
    <w:rsid w:val="008C4138"/>
    <w:rsid w:val="008C50A1"/>
    <w:rsid w:val="008C5B4D"/>
    <w:rsid w:val="008C5D5D"/>
    <w:rsid w:val="008C5EC9"/>
    <w:rsid w:val="008C6437"/>
    <w:rsid w:val="008C673C"/>
    <w:rsid w:val="008C6D06"/>
    <w:rsid w:val="008C71A4"/>
    <w:rsid w:val="008C71E6"/>
    <w:rsid w:val="008C77F5"/>
    <w:rsid w:val="008C7A3E"/>
    <w:rsid w:val="008C7E5B"/>
    <w:rsid w:val="008D0D97"/>
    <w:rsid w:val="008D0DA7"/>
    <w:rsid w:val="008D11F7"/>
    <w:rsid w:val="008D18AA"/>
    <w:rsid w:val="008D3743"/>
    <w:rsid w:val="008D3EF0"/>
    <w:rsid w:val="008D44B9"/>
    <w:rsid w:val="008D4B89"/>
    <w:rsid w:val="008D4D04"/>
    <w:rsid w:val="008D54E8"/>
    <w:rsid w:val="008D57C0"/>
    <w:rsid w:val="008D5826"/>
    <w:rsid w:val="008D59D0"/>
    <w:rsid w:val="008D5A06"/>
    <w:rsid w:val="008D5D02"/>
    <w:rsid w:val="008D738B"/>
    <w:rsid w:val="008D7D51"/>
    <w:rsid w:val="008D7FD0"/>
    <w:rsid w:val="008E1785"/>
    <w:rsid w:val="008E1928"/>
    <w:rsid w:val="008E2194"/>
    <w:rsid w:val="008E2285"/>
    <w:rsid w:val="008E2B8C"/>
    <w:rsid w:val="008E2E6F"/>
    <w:rsid w:val="008E372C"/>
    <w:rsid w:val="008E39E0"/>
    <w:rsid w:val="008E41EF"/>
    <w:rsid w:val="008E42A0"/>
    <w:rsid w:val="008E42AC"/>
    <w:rsid w:val="008E445D"/>
    <w:rsid w:val="008E47D4"/>
    <w:rsid w:val="008E4EC3"/>
    <w:rsid w:val="008E5C41"/>
    <w:rsid w:val="008E5D41"/>
    <w:rsid w:val="008E610B"/>
    <w:rsid w:val="008E62AE"/>
    <w:rsid w:val="008E6920"/>
    <w:rsid w:val="008E70F8"/>
    <w:rsid w:val="008E73BF"/>
    <w:rsid w:val="008E7C7A"/>
    <w:rsid w:val="008F0379"/>
    <w:rsid w:val="008F0AA9"/>
    <w:rsid w:val="008F0B67"/>
    <w:rsid w:val="008F1063"/>
    <w:rsid w:val="008F2FC2"/>
    <w:rsid w:val="008F303C"/>
    <w:rsid w:val="008F3249"/>
    <w:rsid w:val="008F3848"/>
    <w:rsid w:val="008F38E2"/>
    <w:rsid w:val="008F4AF5"/>
    <w:rsid w:val="008F4BCF"/>
    <w:rsid w:val="008F4C48"/>
    <w:rsid w:val="008F5034"/>
    <w:rsid w:val="008F5213"/>
    <w:rsid w:val="008F54BE"/>
    <w:rsid w:val="008F55A2"/>
    <w:rsid w:val="008F5ADE"/>
    <w:rsid w:val="008F5B19"/>
    <w:rsid w:val="008F604C"/>
    <w:rsid w:val="008F670A"/>
    <w:rsid w:val="008F69D7"/>
    <w:rsid w:val="008F6D37"/>
    <w:rsid w:val="008F75E0"/>
    <w:rsid w:val="008F7730"/>
    <w:rsid w:val="008F79B5"/>
    <w:rsid w:val="008F7CF6"/>
    <w:rsid w:val="008F7D6D"/>
    <w:rsid w:val="009001F7"/>
    <w:rsid w:val="00900210"/>
    <w:rsid w:val="0090082B"/>
    <w:rsid w:val="009008B5"/>
    <w:rsid w:val="00901279"/>
    <w:rsid w:val="009015CA"/>
    <w:rsid w:val="0090189F"/>
    <w:rsid w:val="00901D56"/>
    <w:rsid w:val="00901F52"/>
    <w:rsid w:val="009021AB"/>
    <w:rsid w:val="00902324"/>
    <w:rsid w:val="0090232A"/>
    <w:rsid w:val="009023ED"/>
    <w:rsid w:val="00903A76"/>
    <w:rsid w:val="00904A2A"/>
    <w:rsid w:val="0090508B"/>
    <w:rsid w:val="00905C5E"/>
    <w:rsid w:val="009067B3"/>
    <w:rsid w:val="00906866"/>
    <w:rsid w:val="00906C0A"/>
    <w:rsid w:val="00906D35"/>
    <w:rsid w:val="00906FEF"/>
    <w:rsid w:val="00907272"/>
    <w:rsid w:val="0090737C"/>
    <w:rsid w:val="00907646"/>
    <w:rsid w:val="00907B30"/>
    <w:rsid w:val="009101C5"/>
    <w:rsid w:val="00910943"/>
    <w:rsid w:val="00910C2E"/>
    <w:rsid w:val="00910DFE"/>
    <w:rsid w:val="00910F25"/>
    <w:rsid w:val="00911207"/>
    <w:rsid w:val="00911A38"/>
    <w:rsid w:val="00912969"/>
    <w:rsid w:val="00912BA1"/>
    <w:rsid w:val="00912D60"/>
    <w:rsid w:val="009141E5"/>
    <w:rsid w:val="009141EA"/>
    <w:rsid w:val="00914345"/>
    <w:rsid w:val="00915212"/>
    <w:rsid w:val="00915274"/>
    <w:rsid w:val="00915763"/>
    <w:rsid w:val="00915B55"/>
    <w:rsid w:val="0091612A"/>
    <w:rsid w:val="00916B86"/>
    <w:rsid w:val="00916BBD"/>
    <w:rsid w:val="00916D6C"/>
    <w:rsid w:val="00917A72"/>
    <w:rsid w:val="00917BE6"/>
    <w:rsid w:val="00920164"/>
    <w:rsid w:val="00920E0C"/>
    <w:rsid w:val="00921063"/>
    <w:rsid w:val="00921243"/>
    <w:rsid w:val="00921379"/>
    <w:rsid w:val="00921F88"/>
    <w:rsid w:val="00922953"/>
    <w:rsid w:val="00923DF4"/>
    <w:rsid w:val="0092446A"/>
    <w:rsid w:val="009247A3"/>
    <w:rsid w:val="00924AFE"/>
    <w:rsid w:val="00924E03"/>
    <w:rsid w:val="009252E4"/>
    <w:rsid w:val="00925723"/>
    <w:rsid w:val="00925BD0"/>
    <w:rsid w:val="00926557"/>
    <w:rsid w:val="0092662A"/>
    <w:rsid w:val="00926DE8"/>
    <w:rsid w:val="009273E8"/>
    <w:rsid w:val="009276E9"/>
    <w:rsid w:val="00927746"/>
    <w:rsid w:val="009277A8"/>
    <w:rsid w:val="00927F48"/>
    <w:rsid w:val="0093011B"/>
    <w:rsid w:val="0093068B"/>
    <w:rsid w:val="0093074A"/>
    <w:rsid w:val="00930BBB"/>
    <w:rsid w:val="00930D23"/>
    <w:rsid w:val="00930D71"/>
    <w:rsid w:val="00930E3D"/>
    <w:rsid w:val="00931284"/>
    <w:rsid w:val="00931387"/>
    <w:rsid w:val="009317BC"/>
    <w:rsid w:val="00931C0E"/>
    <w:rsid w:val="00931D2A"/>
    <w:rsid w:val="00932670"/>
    <w:rsid w:val="00932A6C"/>
    <w:rsid w:val="00933860"/>
    <w:rsid w:val="00933A3A"/>
    <w:rsid w:val="00934562"/>
    <w:rsid w:val="00934CBB"/>
    <w:rsid w:val="0093550E"/>
    <w:rsid w:val="00935790"/>
    <w:rsid w:val="009357B9"/>
    <w:rsid w:val="00935B6F"/>
    <w:rsid w:val="00936855"/>
    <w:rsid w:val="00936EB4"/>
    <w:rsid w:val="00937DCD"/>
    <w:rsid w:val="009402B2"/>
    <w:rsid w:val="00940422"/>
    <w:rsid w:val="0094050F"/>
    <w:rsid w:val="00940649"/>
    <w:rsid w:val="00940A3B"/>
    <w:rsid w:val="00941551"/>
    <w:rsid w:val="00941EE2"/>
    <w:rsid w:val="009421D9"/>
    <w:rsid w:val="00942252"/>
    <w:rsid w:val="00942973"/>
    <w:rsid w:val="00942DCD"/>
    <w:rsid w:val="00942FBE"/>
    <w:rsid w:val="00943212"/>
    <w:rsid w:val="00943309"/>
    <w:rsid w:val="009435AD"/>
    <w:rsid w:val="0094431D"/>
    <w:rsid w:val="00944947"/>
    <w:rsid w:val="00945131"/>
    <w:rsid w:val="00945173"/>
    <w:rsid w:val="009454DB"/>
    <w:rsid w:val="009456AB"/>
    <w:rsid w:val="0094573F"/>
    <w:rsid w:val="0094580D"/>
    <w:rsid w:val="0094588D"/>
    <w:rsid w:val="00945D7E"/>
    <w:rsid w:val="00946557"/>
    <w:rsid w:val="00946E27"/>
    <w:rsid w:val="00947F3A"/>
    <w:rsid w:val="009503B3"/>
    <w:rsid w:val="00950AC4"/>
    <w:rsid w:val="00950E9A"/>
    <w:rsid w:val="00950EF0"/>
    <w:rsid w:val="00950F49"/>
    <w:rsid w:val="00950FA7"/>
    <w:rsid w:val="00951120"/>
    <w:rsid w:val="00953ADC"/>
    <w:rsid w:val="00954215"/>
    <w:rsid w:val="009542CC"/>
    <w:rsid w:val="009543FE"/>
    <w:rsid w:val="00954452"/>
    <w:rsid w:val="0095485E"/>
    <w:rsid w:val="00954B5D"/>
    <w:rsid w:val="00954EC1"/>
    <w:rsid w:val="0095509B"/>
    <w:rsid w:val="0095603E"/>
    <w:rsid w:val="009564AB"/>
    <w:rsid w:val="009569D4"/>
    <w:rsid w:val="00956F84"/>
    <w:rsid w:val="009570BA"/>
    <w:rsid w:val="00957296"/>
    <w:rsid w:val="00957BD5"/>
    <w:rsid w:val="00961767"/>
    <w:rsid w:val="0096189E"/>
    <w:rsid w:val="00962150"/>
    <w:rsid w:val="009624B5"/>
    <w:rsid w:val="00962841"/>
    <w:rsid w:val="00962BDF"/>
    <w:rsid w:val="00962D1E"/>
    <w:rsid w:val="0096363D"/>
    <w:rsid w:val="00963823"/>
    <w:rsid w:val="00963883"/>
    <w:rsid w:val="009638C2"/>
    <w:rsid w:val="00963B46"/>
    <w:rsid w:val="00963BEE"/>
    <w:rsid w:val="00963F45"/>
    <w:rsid w:val="009641CC"/>
    <w:rsid w:val="00964571"/>
    <w:rsid w:val="00964B47"/>
    <w:rsid w:val="00964C25"/>
    <w:rsid w:val="00964FED"/>
    <w:rsid w:val="0096535D"/>
    <w:rsid w:val="00966DE5"/>
    <w:rsid w:val="00967A85"/>
    <w:rsid w:val="0097018B"/>
    <w:rsid w:val="009706BE"/>
    <w:rsid w:val="009713E2"/>
    <w:rsid w:val="009718B7"/>
    <w:rsid w:val="00971AA7"/>
    <w:rsid w:val="00971AFF"/>
    <w:rsid w:val="00972029"/>
    <w:rsid w:val="009722A4"/>
    <w:rsid w:val="00972C44"/>
    <w:rsid w:val="00972D41"/>
    <w:rsid w:val="009731A0"/>
    <w:rsid w:val="00975795"/>
    <w:rsid w:val="00975965"/>
    <w:rsid w:val="00975E80"/>
    <w:rsid w:val="00976158"/>
    <w:rsid w:val="00976FD7"/>
    <w:rsid w:val="00977349"/>
    <w:rsid w:val="00980176"/>
    <w:rsid w:val="009802A8"/>
    <w:rsid w:val="00980416"/>
    <w:rsid w:val="00980818"/>
    <w:rsid w:val="00980E0C"/>
    <w:rsid w:val="00980F93"/>
    <w:rsid w:val="009815E7"/>
    <w:rsid w:val="00981C96"/>
    <w:rsid w:val="009824A3"/>
    <w:rsid w:val="0098250E"/>
    <w:rsid w:val="0098278D"/>
    <w:rsid w:val="00982D7F"/>
    <w:rsid w:val="00983109"/>
    <w:rsid w:val="00983534"/>
    <w:rsid w:val="0098529E"/>
    <w:rsid w:val="00985302"/>
    <w:rsid w:val="009861FF"/>
    <w:rsid w:val="00986419"/>
    <w:rsid w:val="00986D9A"/>
    <w:rsid w:val="00986DBC"/>
    <w:rsid w:val="00986F09"/>
    <w:rsid w:val="00990035"/>
    <w:rsid w:val="009902BF"/>
    <w:rsid w:val="009903F9"/>
    <w:rsid w:val="00990841"/>
    <w:rsid w:val="00990B1F"/>
    <w:rsid w:val="00990BC6"/>
    <w:rsid w:val="00990DEA"/>
    <w:rsid w:val="00990E87"/>
    <w:rsid w:val="009911C3"/>
    <w:rsid w:val="0099164D"/>
    <w:rsid w:val="0099212F"/>
    <w:rsid w:val="00992138"/>
    <w:rsid w:val="009929C0"/>
    <w:rsid w:val="00993224"/>
    <w:rsid w:val="009938EF"/>
    <w:rsid w:val="00994112"/>
    <w:rsid w:val="009942AC"/>
    <w:rsid w:val="00994E5C"/>
    <w:rsid w:val="00995658"/>
    <w:rsid w:val="0099566D"/>
    <w:rsid w:val="00996DCB"/>
    <w:rsid w:val="00996F7A"/>
    <w:rsid w:val="009972CD"/>
    <w:rsid w:val="009975B8"/>
    <w:rsid w:val="00997B1B"/>
    <w:rsid w:val="00997E62"/>
    <w:rsid w:val="009A0AA8"/>
    <w:rsid w:val="009A1E8A"/>
    <w:rsid w:val="009A23AC"/>
    <w:rsid w:val="009A35C7"/>
    <w:rsid w:val="009A3D77"/>
    <w:rsid w:val="009A3E55"/>
    <w:rsid w:val="009A3E81"/>
    <w:rsid w:val="009A4690"/>
    <w:rsid w:val="009A4A6B"/>
    <w:rsid w:val="009A4E6C"/>
    <w:rsid w:val="009A4EE5"/>
    <w:rsid w:val="009A52A9"/>
    <w:rsid w:val="009A53A9"/>
    <w:rsid w:val="009A56CC"/>
    <w:rsid w:val="009A5A91"/>
    <w:rsid w:val="009A7574"/>
    <w:rsid w:val="009A779C"/>
    <w:rsid w:val="009A7E6E"/>
    <w:rsid w:val="009B071B"/>
    <w:rsid w:val="009B0EBF"/>
    <w:rsid w:val="009B12E7"/>
    <w:rsid w:val="009B16B0"/>
    <w:rsid w:val="009B1DD0"/>
    <w:rsid w:val="009B2691"/>
    <w:rsid w:val="009B2940"/>
    <w:rsid w:val="009B2B46"/>
    <w:rsid w:val="009B2CDC"/>
    <w:rsid w:val="009B2EBB"/>
    <w:rsid w:val="009B35AB"/>
    <w:rsid w:val="009B471A"/>
    <w:rsid w:val="009B4B7D"/>
    <w:rsid w:val="009B50C6"/>
    <w:rsid w:val="009B61B2"/>
    <w:rsid w:val="009B6592"/>
    <w:rsid w:val="009B68BC"/>
    <w:rsid w:val="009B690B"/>
    <w:rsid w:val="009C0243"/>
    <w:rsid w:val="009C0BFC"/>
    <w:rsid w:val="009C1096"/>
    <w:rsid w:val="009C12F3"/>
    <w:rsid w:val="009C1876"/>
    <w:rsid w:val="009C27F2"/>
    <w:rsid w:val="009C2BAA"/>
    <w:rsid w:val="009C2F2A"/>
    <w:rsid w:val="009C360E"/>
    <w:rsid w:val="009C4428"/>
    <w:rsid w:val="009C46D3"/>
    <w:rsid w:val="009C476E"/>
    <w:rsid w:val="009C4A06"/>
    <w:rsid w:val="009C530A"/>
    <w:rsid w:val="009C6487"/>
    <w:rsid w:val="009C649B"/>
    <w:rsid w:val="009C6718"/>
    <w:rsid w:val="009C70AB"/>
    <w:rsid w:val="009D02E8"/>
    <w:rsid w:val="009D0FF5"/>
    <w:rsid w:val="009D135D"/>
    <w:rsid w:val="009D1881"/>
    <w:rsid w:val="009D2826"/>
    <w:rsid w:val="009D28F0"/>
    <w:rsid w:val="009D2EEF"/>
    <w:rsid w:val="009D31F4"/>
    <w:rsid w:val="009D386B"/>
    <w:rsid w:val="009D39F1"/>
    <w:rsid w:val="009D3F46"/>
    <w:rsid w:val="009D4698"/>
    <w:rsid w:val="009D4A22"/>
    <w:rsid w:val="009D506A"/>
    <w:rsid w:val="009D5575"/>
    <w:rsid w:val="009D6B4C"/>
    <w:rsid w:val="009D7345"/>
    <w:rsid w:val="009D7873"/>
    <w:rsid w:val="009D7B33"/>
    <w:rsid w:val="009D7BA8"/>
    <w:rsid w:val="009E0472"/>
    <w:rsid w:val="009E0C1E"/>
    <w:rsid w:val="009E10F2"/>
    <w:rsid w:val="009E255D"/>
    <w:rsid w:val="009E264C"/>
    <w:rsid w:val="009E2810"/>
    <w:rsid w:val="009E2D6C"/>
    <w:rsid w:val="009E2F27"/>
    <w:rsid w:val="009E343B"/>
    <w:rsid w:val="009E3FA7"/>
    <w:rsid w:val="009E42EF"/>
    <w:rsid w:val="009E434D"/>
    <w:rsid w:val="009E4B35"/>
    <w:rsid w:val="009E4E88"/>
    <w:rsid w:val="009E5735"/>
    <w:rsid w:val="009E5B87"/>
    <w:rsid w:val="009E5C90"/>
    <w:rsid w:val="009E6293"/>
    <w:rsid w:val="009E677E"/>
    <w:rsid w:val="009E688B"/>
    <w:rsid w:val="009E69C3"/>
    <w:rsid w:val="009E741F"/>
    <w:rsid w:val="009E7DB1"/>
    <w:rsid w:val="009F0005"/>
    <w:rsid w:val="009F0601"/>
    <w:rsid w:val="009F0869"/>
    <w:rsid w:val="009F08AB"/>
    <w:rsid w:val="009F1929"/>
    <w:rsid w:val="009F2AC2"/>
    <w:rsid w:val="009F2AE5"/>
    <w:rsid w:val="009F2E0E"/>
    <w:rsid w:val="009F4C85"/>
    <w:rsid w:val="009F4E25"/>
    <w:rsid w:val="009F5D6C"/>
    <w:rsid w:val="009F60A0"/>
    <w:rsid w:val="009F644B"/>
    <w:rsid w:val="009F6C98"/>
    <w:rsid w:val="009F6F9C"/>
    <w:rsid w:val="009F7A8E"/>
    <w:rsid w:val="009F7D79"/>
    <w:rsid w:val="00A004C5"/>
    <w:rsid w:val="00A00982"/>
    <w:rsid w:val="00A00E74"/>
    <w:rsid w:val="00A01322"/>
    <w:rsid w:val="00A018C1"/>
    <w:rsid w:val="00A01CCB"/>
    <w:rsid w:val="00A01E96"/>
    <w:rsid w:val="00A02297"/>
    <w:rsid w:val="00A024CD"/>
    <w:rsid w:val="00A027C0"/>
    <w:rsid w:val="00A02C78"/>
    <w:rsid w:val="00A03B09"/>
    <w:rsid w:val="00A03E48"/>
    <w:rsid w:val="00A03F8B"/>
    <w:rsid w:val="00A04A96"/>
    <w:rsid w:val="00A04E8E"/>
    <w:rsid w:val="00A04F2B"/>
    <w:rsid w:val="00A05199"/>
    <w:rsid w:val="00A06313"/>
    <w:rsid w:val="00A0667B"/>
    <w:rsid w:val="00A06788"/>
    <w:rsid w:val="00A06D1D"/>
    <w:rsid w:val="00A073ED"/>
    <w:rsid w:val="00A078A6"/>
    <w:rsid w:val="00A079F8"/>
    <w:rsid w:val="00A11A0D"/>
    <w:rsid w:val="00A11A34"/>
    <w:rsid w:val="00A12095"/>
    <w:rsid w:val="00A12655"/>
    <w:rsid w:val="00A12B7D"/>
    <w:rsid w:val="00A13419"/>
    <w:rsid w:val="00A146BB"/>
    <w:rsid w:val="00A1498C"/>
    <w:rsid w:val="00A15902"/>
    <w:rsid w:val="00A15ED1"/>
    <w:rsid w:val="00A1607E"/>
    <w:rsid w:val="00A162FE"/>
    <w:rsid w:val="00A164CA"/>
    <w:rsid w:val="00A16659"/>
    <w:rsid w:val="00A169F2"/>
    <w:rsid w:val="00A16F54"/>
    <w:rsid w:val="00A173BA"/>
    <w:rsid w:val="00A1784E"/>
    <w:rsid w:val="00A21594"/>
    <w:rsid w:val="00A21A1E"/>
    <w:rsid w:val="00A21E79"/>
    <w:rsid w:val="00A2208F"/>
    <w:rsid w:val="00A224DD"/>
    <w:rsid w:val="00A2266E"/>
    <w:rsid w:val="00A22CA3"/>
    <w:rsid w:val="00A22D32"/>
    <w:rsid w:val="00A22D40"/>
    <w:rsid w:val="00A235D7"/>
    <w:rsid w:val="00A243BA"/>
    <w:rsid w:val="00A24BA1"/>
    <w:rsid w:val="00A256A4"/>
    <w:rsid w:val="00A25EB8"/>
    <w:rsid w:val="00A262F2"/>
    <w:rsid w:val="00A26612"/>
    <w:rsid w:val="00A2698F"/>
    <w:rsid w:val="00A26ACE"/>
    <w:rsid w:val="00A26D4B"/>
    <w:rsid w:val="00A26E4D"/>
    <w:rsid w:val="00A271A6"/>
    <w:rsid w:val="00A2757A"/>
    <w:rsid w:val="00A2783A"/>
    <w:rsid w:val="00A3016F"/>
    <w:rsid w:val="00A30D09"/>
    <w:rsid w:val="00A32164"/>
    <w:rsid w:val="00A32351"/>
    <w:rsid w:val="00A32768"/>
    <w:rsid w:val="00A32D60"/>
    <w:rsid w:val="00A330C6"/>
    <w:rsid w:val="00A331FC"/>
    <w:rsid w:val="00A350BE"/>
    <w:rsid w:val="00A35318"/>
    <w:rsid w:val="00A35644"/>
    <w:rsid w:val="00A35E66"/>
    <w:rsid w:val="00A36085"/>
    <w:rsid w:val="00A368CF"/>
    <w:rsid w:val="00A36F06"/>
    <w:rsid w:val="00A3754B"/>
    <w:rsid w:val="00A37F19"/>
    <w:rsid w:val="00A40243"/>
    <w:rsid w:val="00A4040C"/>
    <w:rsid w:val="00A40BDD"/>
    <w:rsid w:val="00A41040"/>
    <w:rsid w:val="00A412A8"/>
    <w:rsid w:val="00A4165C"/>
    <w:rsid w:val="00A426E1"/>
    <w:rsid w:val="00A42BA3"/>
    <w:rsid w:val="00A43A8A"/>
    <w:rsid w:val="00A43E05"/>
    <w:rsid w:val="00A44627"/>
    <w:rsid w:val="00A44DDA"/>
    <w:rsid w:val="00A45347"/>
    <w:rsid w:val="00A46141"/>
    <w:rsid w:val="00A4627E"/>
    <w:rsid w:val="00A464A4"/>
    <w:rsid w:val="00A470E9"/>
    <w:rsid w:val="00A4713A"/>
    <w:rsid w:val="00A47208"/>
    <w:rsid w:val="00A4725C"/>
    <w:rsid w:val="00A472D2"/>
    <w:rsid w:val="00A473A7"/>
    <w:rsid w:val="00A47453"/>
    <w:rsid w:val="00A502D8"/>
    <w:rsid w:val="00A508EA"/>
    <w:rsid w:val="00A509EF"/>
    <w:rsid w:val="00A5132E"/>
    <w:rsid w:val="00A51A50"/>
    <w:rsid w:val="00A51C63"/>
    <w:rsid w:val="00A51C64"/>
    <w:rsid w:val="00A51DFE"/>
    <w:rsid w:val="00A52259"/>
    <w:rsid w:val="00A523CC"/>
    <w:rsid w:val="00A5275D"/>
    <w:rsid w:val="00A52B67"/>
    <w:rsid w:val="00A52E33"/>
    <w:rsid w:val="00A52EA5"/>
    <w:rsid w:val="00A537B6"/>
    <w:rsid w:val="00A53A6B"/>
    <w:rsid w:val="00A5414F"/>
    <w:rsid w:val="00A5524B"/>
    <w:rsid w:val="00A556CF"/>
    <w:rsid w:val="00A558BD"/>
    <w:rsid w:val="00A55B2B"/>
    <w:rsid w:val="00A55CA4"/>
    <w:rsid w:val="00A5700D"/>
    <w:rsid w:val="00A5788E"/>
    <w:rsid w:val="00A600EE"/>
    <w:rsid w:val="00A603D5"/>
    <w:rsid w:val="00A61032"/>
    <w:rsid w:val="00A61156"/>
    <w:rsid w:val="00A62420"/>
    <w:rsid w:val="00A62830"/>
    <w:rsid w:val="00A628C7"/>
    <w:rsid w:val="00A62B26"/>
    <w:rsid w:val="00A63A7B"/>
    <w:rsid w:val="00A63EEF"/>
    <w:rsid w:val="00A640DD"/>
    <w:rsid w:val="00A64423"/>
    <w:rsid w:val="00A658D8"/>
    <w:rsid w:val="00A65B26"/>
    <w:rsid w:val="00A65B9A"/>
    <w:rsid w:val="00A66323"/>
    <w:rsid w:val="00A677E0"/>
    <w:rsid w:val="00A67ABE"/>
    <w:rsid w:val="00A67CA5"/>
    <w:rsid w:val="00A7008C"/>
    <w:rsid w:val="00A704F4"/>
    <w:rsid w:val="00A7072D"/>
    <w:rsid w:val="00A70902"/>
    <w:rsid w:val="00A71D0B"/>
    <w:rsid w:val="00A71E96"/>
    <w:rsid w:val="00A72B9E"/>
    <w:rsid w:val="00A73245"/>
    <w:rsid w:val="00A7352B"/>
    <w:rsid w:val="00A735F0"/>
    <w:rsid w:val="00A73B66"/>
    <w:rsid w:val="00A74D89"/>
    <w:rsid w:val="00A75428"/>
    <w:rsid w:val="00A75B85"/>
    <w:rsid w:val="00A75D08"/>
    <w:rsid w:val="00A76286"/>
    <w:rsid w:val="00A76899"/>
    <w:rsid w:val="00A7752C"/>
    <w:rsid w:val="00A7775F"/>
    <w:rsid w:val="00A77825"/>
    <w:rsid w:val="00A77FBF"/>
    <w:rsid w:val="00A8030B"/>
    <w:rsid w:val="00A81085"/>
    <w:rsid w:val="00A81A04"/>
    <w:rsid w:val="00A81C8F"/>
    <w:rsid w:val="00A81CF2"/>
    <w:rsid w:val="00A829EF"/>
    <w:rsid w:val="00A82CEB"/>
    <w:rsid w:val="00A83215"/>
    <w:rsid w:val="00A832CC"/>
    <w:rsid w:val="00A8339D"/>
    <w:rsid w:val="00A834F3"/>
    <w:rsid w:val="00A83606"/>
    <w:rsid w:val="00A83CFB"/>
    <w:rsid w:val="00A84052"/>
    <w:rsid w:val="00A841A4"/>
    <w:rsid w:val="00A8437E"/>
    <w:rsid w:val="00A84C3D"/>
    <w:rsid w:val="00A854A5"/>
    <w:rsid w:val="00A8599F"/>
    <w:rsid w:val="00A85A7E"/>
    <w:rsid w:val="00A85BF2"/>
    <w:rsid w:val="00A8613D"/>
    <w:rsid w:val="00A86A4B"/>
    <w:rsid w:val="00A86C58"/>
    <w:rsid w:val="00A86F06"/>
    <w:rsid w:val="00A8752B"/>
    <w:rsid w:val="00A87A24"/>
    <w:rsid w:val="00A87F59"/>
    <w:rsid w:val="00A907CE"/>
    <w:rsid w:val="00A9117D"/>
    <w:rsid w:val="00A9132C"/>
    <w:rsid w:val="00A915EF"/>
    <w:rsid w:val="00A917EC"/>
    <w:rsid w:val="00A9233E"/>
    <w:rsid w:val="00A924A9"/>
    <w:rsid w:val="00A927FB"/>
    <w:rsid w:val="00A92886"/>
    <w:rsid w:val="00A92A5B"/>
    <w:rsid w:val="00A92D99"/>
    <w:rsid w:val="00A92ED6"/>
    <w:rsid w:val="00A93535"/>
    <w:rsid w:val="00A93EB7"/>
    <w:rsid w:val="00A9439F"/>
    <w:rsid w:val="00A94C9A"/>
    <w:rsid w:val="00A94E3B"/>
    <w:rsid w:val="00A94F14"/>
    <w:rsid w:val="00A954FD"/>
    <w:rsid w:val="00A95771"/>
    <w:rsid w:val="00A958AA"/>
    <w:rsid w:val="00A963B5"/>
    <w:rsid w:val="00A96ADB"/>
    <w:rsid w:val="00A977D7"/>
    <w:rsid w:val="00A978DB"/>
    <w:rsid w:val="00A9795A"/>
    <w:rsid w:val="00A97A06"/>
    <w:rsid w:val="00AA0969"/>
    <w:rsid w:val="00AA2BCE"/>
    <w:rsid w:val="00AA43EC"/>
    <w:rsid w:val="00AA447B"/>
    <w:rsid w:val="00AA4DF9"/>
    <w:rsid w:val="00AA5101"/>
    <w:rsid w:val="00AA5553"/>
    <w:rsid w:val="00AA5562"/>
    <w:rsid w:val="00AA5832"/>
    <w:rsid w:val="00AA7A2F"/>
    <w:rsid w:val="00AB0B37"/>
    <w:rsid w:val="00AB12BC"/>
    <w:rsid w:val="00AB1470"/>
    <w:rsid w:val="00AB14FC"/>
    <w:rsid w:val="00AB2828"/>
    <w:rsid w:val="00AB2B46"/>
    <w:rsid w:val="00AB32CC"/>
    <w:rsid w:val="00AB3AA6"/>
    <w:rsid w:val="00AB40CD"/>
    <w:rsid w:val="00AB481B"/>
    <w:rsid w:val="00AB5AE6"/>
    <w:rsid w:val="00AB6A74"/>
    <w:rsid w:val="00AB6A82"/>
    <w:rsid w:val="00AB6CF2"/>
    <w:rsid w:val="00AB7E60"/>
    <w:rsid w:val="00AC0602"/>
    <w:rsid w:val="00AC0674"/>
    <w:rsid w:val="00AC0D7B"/>
    <w:rsid w:val="00AC1510"/>
    <w:rsid w:val="00AC35AF"/>
    <w:rsid w:val="00AC38BF"/>
    <w:rsid w:val="00AC3B67"/>
    <w:rsid w:val="00AC48ED"/>
    <w:rsid w:val="00AC4996"/>
    <w:rsid w:val="00AC49A3"/>
    <w:rsid w:val="00AC681F"/>
    <w:rsid w:val="00AC7469"/>
    <w:rsid w:val="00AD00E4"/>
    <w:rsid w:val="00AD0DA5"/>
    <w:rsid w:val="00AD0EF2"/>
    <w:rsid w:val="00AD0FD1"/>
    <w:rsid w:val="00AD1028"/>
    <w:rsid w:val="00AD1249"/>
    <w:rsid w:val="00AD19A7"/>
    <w:rsid w:val="00AD217D"/>
    <w:rsid w:val="00AD2D24"/>
    <w:rsid w:val="00AD302F"/>
    <w:rsid w:val="00AD33FF"/>
    <w:rsid w:val="00AD3568"/>
    <w:rsid w:val="00AD3FFE"/>
    <w:rsid w:val="00AD5552"/>
    <w:rsid w:val="00AD5AA7"/>
    <w:rsid w:val="00AD60B9"/>
    <w:rsid w:val="00AD68A0"/>
    <w:rsid w:val="00AD6A14"/>
    <w:rsid w:val="00AD6FC3"/>
    <w:rsid w:val="00AD73B7"/>
    <w:rsid w:val="00AE033D"/>
    <w:rsid w:val="00AE03D1"/>
    <w:rsid w:val="00AE05B1"/>
    <w:rsid w:val="00AE0CF1"/>
    <w:rsid w:val="00AE15D4"/>
    <w:rsid w:val="00AE1AAD"/>
    <w:rsid w:val="00AE1B18"/>
    <w:rsid w:val="00AE24B6"/>
    <w:rsid w:val="00AE27F6"/>
    <w:rsid w:val="00AE282E"/>
    <w:rsid w:val="00AE516C"/>
    <w:rsid w:val="00AE5894"/>
    <w:rsid w:val="00AE5E86"/>
    <w:rsid w:val="00AE60A2"/>
    <w:rsid w:val="00AE77FB"/>
    <w:rsid w:val="00AF07C2"/>
    <w:rsid w:val="00AF1564"/>
    <w:rsid w:val="00AF1D80"/>
    <w:rsid w:val="00AF20AD"/>
    <w:rsid w:val="00AF26DA"/>
    <w:rsid w:val="00AF2A5A"/>
    <w:rsid w:val="00AF310E"/>
    <w:rsid w:val="00AF3F91"/>
    <w:rsid w:val="00AF4080"/>
    <w:rsid w:val="00AF4382"/>
    <w:rsid w:val="00AF44F1"/>
    <w:rsid w:val="00AF4A62"/>
    <w:rsid w:val="00AF4A6B"/>
    <w:rsid w:val="00AF5393"/>
    <w:rsid w:val="00AF5C42"/>
    <w:rsid w:val="00AF5FB5"/>
    <w:rsid w:val="00AF61A8"/>
    <w:rsid w:val="00AF6556"/>
    <w:rsid w:val="00AF6AC1"/>
    <w:rsid w:val="00AF7159"/>
    <w:rsid w:val="00AF7A36"/>
    <w:rsid w:val="00AF7BBD"/>
    <w:rsid w:val="00B004CB"/>
    <w:rsid w:val="00B019E3"/>
    <w:rsid w:val="00B01CC0"/>
    <w:rsid w:val="00B01D3B"/>
    <w:rsid w:val="00B029BA"/>
    <w:rsid w:val="00B03193"/>
    <w:rsid w:val="00B035CD"/>
    <w:rsid w:val="00B03FA2"/>
    <w:rsid w:val="00B04890"/>
    <w:rsid w:val="00B04F35"/>
    <w:rsid w:val="00B05687"/>
    <w:rsid w:val="00B05956"/>
    <w:rsid w:val="00B05980"/>
    <w:rsid w:val="00B05B04"/>
    <w:rsid w:val="00B06733"/>
    <w:rsid w:val="00B06BC8"/>
    <w:rsid w:val="00B07194"/>
    <w:rsid w:val="00B0786C"/>
    <w:rsid w:val="00B100A8"/>
    <w:rsid w:val="00B10E07"/>
    <w:rsid w:val="00B11379"/>
    <w:rsid w:val="00B1190A"/>
    <w:rsid w:val="00B13972"/>
    <w:rsid w:val="00B13F02"/>
    <w:rsid w:val="00B14376"/>
    <w:rsid w:val="00B1514B"/>
    <w:rsid w:val="00B15936"/>
    <w:rsid w:val="00B15BF0"/>
    <w:rsid w:val="00B16445"/>
    <w:rsid w:val="00B16626"/>
    <w:rsid w:val="00B16839"/>
    <w:rsid w:val="00B16F70"/>
    <w:rsid w:val="00B17407"/>
    <w:rsid w:val="00B179DF"/>
    <w:rsid w:val="00B17C25"/>
    <w:rsid w:val="00B17E45"/>
    <w:rsid w:val="00B2036A"/>
    <w:rsid w:val="00B205DC"/>
    <w:rsid w:val="00B20987"/>
    <w:rsid w:val="00B20FDA"/>
    <w:rsid w:val="00B21AB6"/>
    <w:rsid w:val="00B21EA4"/>
    <w:rsid w:val="00B22CB7"/>
    <w:rsid w:val="00B22CC5"/>
    <w:rsid w:val="00B22DDA"/>
    <w:rsid w:val="00B230BA"/>
    <w:rsid w:val="00B233A8"/>
    <w:rsid w:val="00B2343B"/>
    <w:rsid w:val="00B2491F"/>
    <w:rsid w:val="00B255CE"/>
    <w:rsid w:val="00B25645"/>
    <w:rsid w:val="00B260B0"/>
    <w:rsid w:val="00B265BF"/>
    <w:rsid w:val="00B27A54"/>
    <w:rsid w:val="00B27FD6"/>
    <w:rsid w:val="00B303C8"/>
    <w:rsid w:val="00B31462"/>
    <w:rsid w:val="00B3191E"/>
    <w:rsid w:val="00B3197E"/>
    <w:rsid w:val="00B31B1F"/>
    <w:rsid w:val="00B33EA1"/>
    <w:rsid w:val="00B33F50"/>
    <w:rsid w:val="00B34187"/>
    <w:rsid w:val="00B34629"/>
    <w:rsid w:val="00B34F9F"/>
    <w:rsid w:val="00B34FF5"/>
    <w:rsid w:val="00B35114"/>
    <w:rsid w:val="00B35245"/>
    <w:rsid w:val="00B35883"/>
    <w:rsid w:val="00B35B5F"/>
    <w:rsid w:val="00B37479"/>
    <w:rsid w:val="00B37BA0"/>
    <w:rsid w:val="00B37F63"/>
    <w:rsid w:val="00B40060"/>
    <w:rsid w:val="00B4048F"/>
    <w:rsid w:val="00B4058D"/>
    <w:rsid w:val="00B415B0"/>
    <w:rsid w:val="00B41985"/>
    <w:rsid w:val="00B42584"/>
    <w:rsid w:val="00B42C29"/>
    <w:rsid w:val="00B430CD"/>
    <w:rsid w:val="00B436EA"/>
    <w:rsid w:val="00B439E7"/>
    <w:rsid w:val="00B43D8A"/>
    <w:rsid w:val="00B43EED"/>
    <w:rsid w:val="00B43F0A"/>
    <w:rsid w:val="00B442A1"/>
    <w:rsid w:val="00B449E5"/>
    <w:rsid w:val="00B44BAF"/>
    <w:rsid w:val="00B44D04"/>
    <w:rsid w:val="00B456E8"/>
    <w:rsid w:val="00B4585C"/>
    <w:rsid w:val="00B45A6C"/>
    <w:rsid w:val="00B45CE9"/>
    <w:rsid w:val="00B45D45"/>
    <w:rsid w:val="00B46D99"/>
    <w:rsid w:val="00B4755B"/>
    <w:rsid w:val="00B478F1"/>
    <w:rsid w:val="00B502F4"/>
    <w:rsid w:val="00B50933"/>
    <w:rsid w:val="00B513AF"/>
    <w:rsid w:val="00B51CB6"/>
    <w:rsid w:val="00B52919"/>
    <w:rsid w:val="00B52CA3"/>
    <w:rsid w:val="00B52CBE"/>
    <w:rsid w:val="00B52DD8"/>
    <w:rsid w:val="00B539D3"/>
    <w:rsid w:val="00B55246"/>
    <w:rsid w:val="00B55F78"/>
    <w:rsid w:val="00B562D2"/>
    <w:rsid w:val="00B564ED"/>
    <w:rsid w:val="00B566FF"/>
    <w:rsid w:val="00B56FD8"/>
    <w:rsid w:val="00B57564"/>
    <w:rsid w:val="00B578CD"/>
    <w:rsid w:val="00B57A05"/>
    <w:rsid w:val="00B57AEF"/>
    <w:rsid w:val="00B57F29"/>
    <w:rsid w:val="00B607E8"/>
    <w:rsid w:val="00B60B35"/>
    <w:rsid w:val="00B60C5F"/>
    <w:rsid w:val="00B60E0C"/>
    <w:rsid w:val="00B60F58"/>
    <w:rsid w:val="00B6102A"/>
    <w:rsid w:val="00B614C4"/>
    <w:rsid w:val="00B61ED0"/>
    <w:rsid w:val="00B62656"/>
    <w:rsid w:val="00B62894"/>
    <w:rsid w:val="00B628F4"/>
    <w:rsid w:val="00B6303F"/>
    <w:rsid w:val="00B63266"/>
    <w:rsid w:val="00B63783"/>
    <w:rsid w:val="00B647E9"/>
    <w:rsid w:val="00B64A52"/>
    <w:rsid w:val="00B64AE2"/>
    <w:rsid w:val="00B64DDC"/>
    <w:rsid w:val="00B64F34"/>
    <w:rsid w:val="00B64FC4"/>
    <w:rsid w:val="00B65069"/>
    <w:rsid w:val="00B650D0"/>
    <w:rsid w:val="00B65390"/>
    <w:rsid w:val="00B6583E"/>
    <w:rsid w:val="00B6675C"/>
    <w:rsid w:val="00B66874"/>
    <w:rsid w:val="00B6786C"/>
    <w:rsid w:val="00B67A00"/>
    <w:rsid w:val="00B70D0B"/>
    <w:rsid w:val="00B70D48"/>
    <w:rsid w:val="00B70FD4"/>
    <w:rsid w:val="00B7163B"/>
    <w:rsid w:val="00B71AAB"/>
    <w:rsid w:val="00B71B0D"/>
    <w:rsid w:val="00B71DF0"/>
    <w:rsid w:val="00B727B1"/>
    <w:rsid w:val="00B72907"/>
    <w:rsid w:val="00B73485"/>
    <w:rsid w:val="00B73FBD"/>
    <w:rsid w:val="00B75349"/>
    <w:rsid w:val="00B75377"/>
    <w:rsid w:val="00B753AF"/>
    <w:rsid w:val="00B757F4"/>
    <w:rsid w:val="00B7580D"/>
    <w:rsid w:val="00B75950"/>
    <w:rsid w:val="00B75BC7"/>
    <w:rsid w:val="00B75CF7"/>
    <w:rsid w:val="00B761EF"/>
    <w:rsid w:val="00B77058"/>
    <w:rsid w:val="00B80361"/>
    <w:rsid w:val="00B8039D"/>
    <w:rsid w:val="00B80EAD"/>
    <w:rsid w:val="00B81192"/>
    <w:rsid w:val="00B81354"/>
    <w:rsid w:val="00B8179C"/>
    <w:rsid w:val="00B81FA8"/>
    <w:rsid w:val="00B82529"/>
    <w:rsid w:val="00B8269B"/>
    <w:rsid w:val="00B82721"/>
    <w:rsid w:val="00B8298E"/>
    <w:rsid w:val="00B82AB1"/>
    <w:rsid w:val="00B84C68"/>
    <w:rsid w:val="00B84D3B"/>
    <w:rsid w:val="00B84D6D"/>
    <w:rsid w:val="00B853F0"/>
    <w:rsid w:val="00B860CA"/>
    <w:rsid w:val="00B868F6"/>
    <w:rsid w:val="00B86AF5"/>
    <w:rsid w:val="00B86BD5"/>
    <w:rsid w:val="00B86DF8"/>
    <w:rsid w:val="00B87334"/>
    <w:rsid w:val="00B876CC"/>
    <w:rsid w:val="00B90074"/>
    <w:rsid w:val="00B903B7"/>
    <w:rsid w:val="00B90502"/>
    <w:rsid w:val="00B90B86"/>
    <w:rsid w:val="00B912AC"/>
    <w:rsid w:val="00B913F3"/>
    <w:rsid w:val="00B9180D"/>
    <w:rsid w:val="00B91EA9"/>
    <w:rsid w:val="00B9287F"/>
    <w:rsid w:val="00B928DC"/>
    <w:rsid w:val="00B92C8D"/>
    <w:rsid w:val="00B92CF0"/>
    <w:rsid w:val="00B92D82"/>
    <w:rsid w:val="00B92DC6"/>
    <w:rsid w:val="00B932A9"/>
    <w:rsid w:val="00B93A1D"/>
    <w:rsid w:val="00B93DDD"/>
    <w:rsid w:val="00B953BB"/>
    <w:rsid w:val="00B955B6"/>
    <w:rsid w:val="00B957A4"/>
    <w:rsid w:val="00B95A36"/>
    <w:rsid w:val="00B95DD7"/>
    <w:rsid w:val="00B95E01"/>
    <w:rsid w:val="00B962D4"/>
    <w:rsid w:val="00B969CE"/>
    <w:rsid w:val="00B96F42"/>
    <w:rsid w:val="00B97068"/>
    <w:rsid w:val="00B97145"/>
    <w:rsid w:val="00B97148"/>
    <w:rsid w:val="00B972FB"/>
    <w:rsid w:val="00B97A46"/>
    <w:rsid w:val="00BA03E5"/>
    <w:rsid w:val="00BA06DE"/>
    <w:rsid w:val="00BA08AD"/>
    <w:rsid w:val="00BA1007"/>
    <w:rsid w:val="00BA20C2"/>
    <w:rsid w:val="00BA2864"/>
    <w:rsid w:val="00BA2E5D"/>
    <w:rsid w:val="00BA2ED1"/>
    <w:rsid w:val="00BA4A6A"/>
    <w:rsid w:val="00BA4CCA"/>
    <w:rsid w:val="00BA4D3C"/>
    <w:rsid w:val="00BA513A"/>
    <w:rsid w:val="00BA551D"/>
    <w:rsid w:val="00BA561C"/>
    <w:rsid w:val="00BA5C11"/>
    <w:rsid w:val="00BA5D37"/>
    <w:rsid w:val="00BA624F"/>
    <w:rsid w:val="00BA64B0"/>
    <w:rsid w:val="00BA64E6"/>
    <w:rsid w:val="00BA655C"/>
    <w:rsid w:val="00BA656E"/>
    <w:rsid w:val="00BA6E5F"/>
    <w:rsid w:val="00BA7386"/>
    <w:rsid w:val="00BA7505"/>
    <w:rsid w:val="00BA76DE"/>
    <w:rsid w:val="00BA7BDD"/>
    <w:rsid w:val="00BB037F"/>
    <w:rsid w:val="00BB07E0"/>
    <w:rsid w:val="00BB2160"/>
    <w:rsid w:val="00BB25C9"/>
    <w:rsid w:val="00BB2A4B"/>
    <w:rsid w:val="00BB2ADE"/>
    <w:rsid w:val="00BB2BDE"/>
    <w:rsid w:val="00BB395E"/>
    <w:rsid w:val="00BB4387"/>
    <w:rsid w:val="00BB43A0"/>
    <w:rsid w:val="00BB4951"/>
    <w:rsid w:val="00BB4A8C"/>
    <w:rsid w:val="00BB5079"/>
    <w:rsid w:val="00BB5312"/>
    <w:rsid w:val="00BB53D3"/>
    <w:rsid w:val="00BB5597"/>
    <w:rsid w:val="00BB584A"/>
    <w:rsid w:val="00BB615F"/>
    <w:rsid w:val="00BB6393"/>
    <w:rsid w:val="00BB7F71"/>
    <w:rsid w:val="00BC0634"/>
    <w:rsid w:val="00BC0966"/>
    <w:rsid w:val="00BC0A1F"/>
    <w:rsid w:val="00BC0B93"/>
    <w:rsid w:val="00BC177B"/>
    <w:rsid w:val="00BC1957"/>
    <w:rsid w:val="00BC1FFB"/>
    <w:rsid w:val="00BC2123"/>
    <w:rsid w:val="00BC28A7"/>
    <w:rsid w:val="00BC309C"/>
    <w:rsid w:val="00BC3D05"/>
    <w:rsid w:val="00BC4040"/>
    <w:rsid w:val="00BC4C1B"/>
    <w:rsid w:val="00BC4E93"/>
    <w:rsid w:val="00BC5656"/>
    <w:rsid w:val="00BC56F8"/>
    <w:rsid w:val="00BC5C02"/>
    <w:rsid w:val="00BC5C5E"/>
    <w:rsid w:val="00BC6670"/>
    <w:rsid w:val="00BC6788"/>
    <w:rsid w:val="00BC6918"/>
    <w:rsid w:val="00BC6A7B"/>
    <w:rsid w:val="00BC7641"/>
    <w:rsid w:val="00BC7AB8"/>
    <w:rsid w:val="00BD0B7B"/>
    <w:rsid w:val="00BD10BB"/>
    <w:rsid w:val="00BD1573"/>
    <w:rsid w:val="00BD15F3"/>
    <w:rsid w:val="00BD1DCA"/>
    <w:rsid w:val="00BD2AAF"/>
    <w:rsid w:val="00BD2B7A"/>
    <w:rsid w:val="00BD3187"/>
    <w:rsid w:val="00BD3E8F"/>
    <w:rsid w:val="00BD426A"/>
    <w:rsid w:val="00BD4DF1"/>
    <w:rsid w:val="00BD52ED"/>
    <w:rsid w:val="00BD556F"/>
    <w:rsid w:val="00BD5684"/>
    <w:rsid w:val="00BD5784"/>
    <w:rsid w:val="00BD5998"/>
    <w:rsid w:val="00BD6274"/>
    <w:rsid w:val="00BD6767"/>
    <w:rsid w:val="00BD6877"/>
    <w:rsid w:val="00BD7238"/>
    <w:rsid w:val="00BD74F5"/>
    <w:rsid w:val="00BD7515"/>
    <w:rsid w:val="00BD7B4E"/>
    <w:rsid w:val="00BD7D44"/>
    <w:rsid w:val="00BE02D2"/>
    <w:rsid w:val="00BE0B26"/>
    <w:rsid w:val="00BE0FDC"/>
    <w:rsid w:val="00BE1407"/>
    <w:rsid w:val="00BE16DD"/>
    <w:rsid w:val="00BE1FD8"/>
    <w:rsid w:val="00BE2371"/>
    <w:rsid w:val="00BE29CF"/>
    <w:rsid w:val="00BE2AF1"/>
    <w:rsid w:val="00BE2B13"/>
    <w:rsid w:val="00BE2EDF"/>
    <w:rsid w:val="00BE332B"/>
    <w:rsid w:val="00BE3FBB"/>
    <w:rsid w:val="00BE40EE"/>
    <w:rsid w:val="00BE4839"/>
    <w:rsid w:val="00BE53E4"/>
    <w:rsid w:val="00BE56EC"/>
    <w:rsid w:val="00BE572D"/>
    <w:rsid w:val="00BE5B5C"/>
    <w:rsid w:val="00BE6796"/>
    <w:rsid w:val="00BE6F37"/>
    <w:rsid w:val="00BE74FA"/>
    <w:rsid w:val="00BE7ABC"/>
    <w:rsid w:val="00BF0129"/>
    <w:rsid w:val="00BF041D"/>
    <w:rsid w:val="00BF0731"/>
    <w:rsid w:val="00BF0751"/>
    <w:rsid w:val="00BF0C8D"/>
    <w:rsid w:val="00BF157A"/>
    <w:rsid w:val="00BF1B44"/>
    <w:rsid w:val="00BF22F3"/>
    <w:rsid w:val="00BF2437"/>
    <w:rsid w:val="00BF2543"/>
    <w:rsid w:val="00BF25FE"/>
    <w:rsid w:val="00BF26C2"/>
    <w:rsid w:val="00BF2FF8"/>
    <w:rsid w:val="00BF3138"/>
    <w:rsid w:val="00BF3B81"/>
    <w:rsid w:val="00BF3BC3"/>
    <w:rsid w:val="00BF49A0"/>
    <w:rsid w:val="00BF4AEF"/>
    <w:rsid w:val="00BF5387"/>
    <w:rsid w:val="00BF571E"/>
    <w:rsid w:val="00BF5CC8"/>
    <w:rsid w:val="00BF6241"/>
    <w:rsid w:val="00BF6CFF"/>
    <w:rsid w:val="00BF768E"/>
    <w:rsid w:val="00BF77D7"/>
    <w:rsid w:val="00BF7A39"/>
    <w:rsid w:val="00C00525"/>
    <w:rsid w:val="00C017C1"/>
    <w:rsid w:val="00C01AFD"/>
    <w:rsid w:val="00C02BCC"/>
    <w:rsid w:val="00C02FD4"/>
    <w:rsid w:val="00C02FE5"/>
    <w:rsid w:val="00C041F8"/>
    <w:rsid w:val="00C04580"/>
    <w:rsid w:val="00C04B6E"/>
    <w:rsid w:val="00C04E0C"/>
    <w:rsid w:val="00C04FB4"/>
    <w:rsid w:val="00C0508D"/>
    <w:rsid w:val="00C051A1"/>
    <w:rsid w:val="00C06D23"/>
    <w:rsid w:val="00C07340"/>
    <w:rsid w:val="00C0766D"/>
    <w:rsid w:val="00C07EFB"/>
    <w:rsid w:val="00C10765"/>
    <w:rsid w:val="00C11040"/>
    <w:rsid w:val="00C1192E"/>
    <w:rsid w:val="00C11E84"/>
    <w:rsid w:val="00C12078"/>
    <w:rsid w:val="00C1208B"/>
    <w:rsid w:val="00C123A0"/>
    <w:rsid w:val="00C125BC"/>
    <w:rsid w:val="00C12B4F"/>
    <w:rsid w:val="00C12D97"/>
    <w:rsid w:val="00C12EB0"/>
    <w:rsid w:val="00C12ECE"/>
    <w:rsid w:val="00C14299"/>
    <w:rsid w:val="00C145AF"/>
    <w:rsid w:val="00C1498D"/>
    <w:rsid w:val="00C15685"/>
    <w:rsid w:val="00C160B9"/>
    <w:rsid w:val="00C16B89"/>
    <w:rsid w:val="00C16E13"/>
    <w:rsid w:val="00C16EB8"/>
    <w:rsid w:val="00C17AD3"/>
    <w:rsid w:val="00C20771"/>
    <w:rsid w:val="00C2185C"/>
    <w:rsid w:val="00C225FB"/>
    <w:rsid w:val="00C233B9"/>
    <w:rsid w:val="00C23C22"/>
    <w:rsid w:val="00C23C3D"/>
    <w:rsid w:val="00C23EF6"/>
    <w:rsid w:val="00C24113"/>
    <w:rsid w:val="00C24BF7"/>
    <w:rsid w:val="00C24DAF"/>
    <w:rsid w:val="00C24E07"/>
    <w:rsid w:val="00C25939"/>
    <w:rsid w:val="00C25ED3"/>
    <w:rsid w:val="00C2701A"/>
    <w:rsid w:val="00C2703F"/>
    <w:rsid w:val="00C2764C"/>
    <w:rsid w:val="00C30143"/>
    <w:rsid w:val="00C3015B"/>
    <w:rsid w:val="00C30265"/>
    <w:rsid w:val="00C30277"/>
    <w:rsid w:val="00C30A54"/>
    <w:rsid w:val="00C31A2A"/>
    <w:rsid w:val="00C31ED5"/>
    <w:rsid w:val="00C32340"/>
    <w:rsid w:val="00C334DA"/>
    <w:rsid w:val="00C3350A"/>
    <w:rsid w:val="00C34716"/>
    <w:rsid w:val="00C349AE"/>
    <w:rsid w:val="00C35417"/>
    <w:rsid w:val="00C36C05"/>
    <w:rsid w:val="00C374CD"/>
    <w:rsid w:val="00C37762"/>
    <w:rsid w:val="00C40700"/>
    <w:rsid w:val="00C4078B"/>
    <w:rsid w:val="00C41139"/>
    <w:rsid w:val="00C41505"/>
    <w:rsid w:val="00C41524"/>
    <w:rsid w:val="00C417FB"/>
    <w:rsid w:val="00C41AA1"/>
    <w:rsid w:val="00C41C21"/>
    <w:rsid w:val="00C41ED9"/>
    <w:rsid w:val="00C4209E"/>
    <w:rsid w:val="00C4283C"/>
    <w:rsid w:val="00C42987"/>
    <w:rsid w:val="00C43128"/>
    <w:rsid w:val="00C438C4"/>
    <w:rsid w:val="00C43D6A"/>
    <w:rsid w:val="00C43E9E"/>
    <w:rsid w:val="00C43F08"/>
    <w:rsid w:val="00C44DBE"/>
    <w:rsid w:val="00C4586D"/>
    <w:rsid w:val="00C45A4B"/>
    <w:rsid w:val="00C45F8C"/>
    <w:rsid w:val="00C46B5F"/>
    <w:rsid w:val="00C4786D"/>
    <w:rsid w:val="00C47886"/>
    <w:rsid w:val="00C50017"/>
    <w:rsid w:val="00C501E2"/>
    <w:rsid w:val="00C5043E"/>
    <w:rsid w:val="00C50A5B"/>
    <w:rsid w:val="00C50DC9"/>
    <w:rsid w:val="00C50DEF"/>
    <w:rsid w:val="00C50EBA"/>
    <w:rsid w:val="00C51254"/>
    <w:rsid w:val="00C516EE"/>
    <w:rsid w:val="00C51A8D"/>
    <w:rsid w:val="00C51FE5"/>
    <w:rsid w:val="00C5220E"/>
    <w:rsid w:val="00C52480"/>
    <w:rsid w:val="00C52BA6"/>
    <w:rsid w:val="00C53700"/>
    <w:rsid w:val="00C539F1"/>
    <w:rsid w:val="00C53AC3"/>
    <w:rsid w:val="00C540C9"/>
    <w:rsid w:val="00C541C1"/>
    <w:rsid w:val="00C541F7"/>
    <w:rsid w:val="00C542AE"/>
    <w:rsid w:val="00C54CD8"/>
    <w:rsid w:val="00C5561A"/>
    <w:rsid w:val="00C558A9"/>
    <w:rsid w:val="00C563BA"/>
    <w:rsid w:val="00C5692E"/>
    <w:rsid w:val="00C56DD6"/>
    <w:rsid w:val="00C57235"/>
    <w:rsid w:val="00C61668"/>
    <w:rsid w:val="00C61CA8"/>
    <w:rsid w:val="00C61DAC"/>
    <w:rsid w:val="00C62185"/>
    <w:rsid w:val="00C62973"/>
    <w:rsid w:val="00C62DC7"/>
    <w:rsid w:val="00C63343"/>
    <w:rsid w:val="00C63D0E"/>
    <w:rsid w:val="00C644F2"/>
    <w:rsid w:val="00C64927"/>
    <w:rsid w:val="00C64C98"/>
    <w:rsid w:val="00C650EF"/>
    <w:rsid w:val="00C65342"/>
    <w:rsid w:val="00C6542D"/>
    <w:rsid w:val="00C65606"/>
    <w:rsid w:val="00C65D44"/>
    <w:rsid w:val="00C65E34"/>
    <w:rsid w:val="00C70499"/>
    <w:rsid w:val="00C706C6"/>
    <w:rsid w:val="00C7082F"/>
    <w:rsid w:val="00C70989"/>
    <w:rsid w:val="00C70AB3"/>
    <w:rsid w:val="00C714CC"/>
    <w:rsid w:val="00C715C1"/>
    <w:rsid w:val="00C71817"/>
    <w:rsid w:val="00C71A57"/>
    <w:rsid w:val="00C71E7C"/>
    <w:rsid w:val="00C72775"/>
    <w:rsid w:val="00C72C81"/>
    <w:rsid w:val="00C74728"/>
    <w:rsid w:val="00C74C11"/>
    <w:rsid w:val="00C76841"/>
    <w:rsid w:val="00C7685B"/>
    <w:rsid w:val="00C76A70"/>
    <w:rsid w:val="00C76D7B"/>
    <w:rsid w:val="00C773C2"/>
    <w:rsid w:val="00C77537"/>
    <w:rsid w:val="00C80543"/>
    <w:rsid w:val="00C807E2"/>
    <w:rsid w:val="00C80934"/>
    <w:rsid w:val="00C8109D"/>
    <w:rsid w:val="00C81490"/>
    <w:rsid w:val="00C81B98"/>
    <w:rsid w:val="00C81D2B"/>
    <w:rsid w:val="00C81F8E"/>
    <w:rsid w:val="00C8244D"/>
    <w:rsid w:val="00C82608"/>
    <w:rsid w:val="00C82677"/>
    <w:rsid w:val="00C82899"/>
    <w:rsid w:val="00C82A2D"/>
    <w:rsid w:val="00C82DC2"/>
    <w:rsid w:val="00C830A2"/>
    <w:rsid w:val="00C840EF"/>
    <w:rsid w:val="00C8463C"/>
    <w:rsid w:val="00C846F8"/>
    <w:rsid w:val="00C84DB4"/>
    <w:rsid w:val="00C84F9B"/>
    <w:rsid w:val="00C8532D"/>
    <w:rsid w:val="00C85AEB"/>
    <w:rsid w:val="00C85C51"/>
    <w:rsid w:val="00C85CB0"/>
    <w:rsid w:val="00C8682C"/>
    <w:rsid w:val="00C873C9"/>
    <w:rsid w:val="00C87DA5"/>
    <w:rsid w:val="00C901B7"/>
    <w:rsid w:val="00C90469"/>
    <w:rsid w:val="00C910BF"/>
    <w:rsid w:val="00C91D86"/>
    <w:rsid w:val="00C926BD"/>
    <w:rsid w:val="00C928D5"/>
    <w:rsid w:val="00C92FBA"/>
    <w:rsid w:val="00C9332E"/>
    <w:rsid w:val="00C935BF"/>
    <w:rsid w:val="00C93D43"/>
    <w:rsid w:val="00C9436E"/>
    <w:rsid w:val="00C946B9"/>
    <w:rsid w:val="00C949C0"/>
    <w:rsid w:val="00C94B0F"/>
    <w:rsid w:val="00C94F6E"/>
    <w:rsid w:val="00C9506B"/>
    <w:rsid w:val="00C9596E"/>
    <w:rsid w:val="00C959D3"/>
    <w:rsid w:val="00C95B26"/>
    <w:rsid w:val="00C95D59"/>
    <w:rsid w:val="00C95E73"/>
    <w:rsid w:val="00C96DFB"/>
    <w:rsid w:val="00C979B8"/>
    <w:rsid w:val="00CA00EB"/>
    <w:rsid w:val="00CA0426"/>
    <w:rsid w:val="00CA08B4"/>
    <w:rsid w:val="00CA0CE9"/>
    <w:rsid w:val="00CA0FCC"/>
    <w:rsid w:val="00CA13A9"/>
    <w:rsid w:val="00CA1C81"/>
    <w:rsid w:val="00CA1CA0"/>
    <w:rsid w:val="00CA2028"/>
    <w:rsid w:val="00CA2A55"/>
    <w:rsid w:val="00CA2B4E"/>
    <w:rsid w:val="00CA2E44"/>
    <w:rsid w:val="00CA3192"/>
    <w:rsid w:val="00CA34D0"/>
    <w:rsid w:val="00CA387C"/>
    <w:rsid w:val="00CA3F96"/>
    <w:rsid w:val="00CA5E64"/>
    <w:rsid w:val="00CA5F29"/>
    <w:rsid w:val="00CA6A5C"/>
    <w:rsid w:val="00CA739E"/>
    <w:rsid w:val="00CA7599"/>
    <w:rsid w:val="00CA77BD"/>
    <w:rsid w:val="00CB0115"/>
    <w:rsid w:val="00CB12C5"/>
    <w:rsid w:val="00CB15BE"/>
    <w:rsid w:val="00CB1B72"/>
    <w:rsid w:val="00CB25F8"/>
    <w:rsid w:val="00CB2A9A"/>
    <w:rsid w:val="00CB2F8A"/>
    <w:rsid w:val="00CB4166"/>
    <w:rsid w:val="00CB4598"/>
    <w:rsid w:val="00CB46D8"/>
    <w:rsid w:val="00CB47C5"/>
    <w:rsid w:val="00CB4836"/>
    <w:rsid w:val="00CB4E77"/>
    <w:rsid w:val="00CB5532"/>
    <w:rsid w:val="00CB57EA"/>
    <w:rsid w:val="00CB5DA9"/>
    <w:rsid w:val="00CB626D"/>
    <w:rsid w:val="00CB6461"/>
    <w:rsid w:val="00CB6D34"/>
    <w:rsid w:val="00CB6F09"/>
    <w:rsid w:val="00CB7980"/>
    <w:rsid w:val="00CB7A06"/>
    <w:rsid w:val="00CB7F9E"/>
    <w:rsid w:val="00CC04B5"/>
    <w:rsid w:val="00CC04CA"/>
    <w:rsid w:val="00CC0808"/>
    <w:rsid w:val="00CC0F5A"/>
    <w:rsid w:val="00CC1469"/>
    <w:rsid w:val="00CC1A01"/>
    <w:rsid w:val="00CC1C30"/>
    <w:rsid w:val="00CC2232"/>
    <w:rsid w:val="00CC28E3"/>
    <w:rsid w:val="00CC2E2D"/>
    <w:rsid w:val="00CC33DD"/>
    <w:rsid w:val="00CC4144"/>
    <w:rsid w:val="00CC44E3"/>
    <w:rsid w:val="00CC45C0"/>
    <w:rsid w:val="00CC4C5D"/>
    <w:rsid w:val="00CC4E19"/>
    <w:rsid w:val="00CC50CA"/>
    <w:rsid w:val="00CC5E92"/>
    <w:rsid w:val="00CC5FC9"/>
    <w:rsid w:val="00CC65CF"/>
    <w:rsid w:val="00CC720C"/>
    <w:rsid w:val="00CC7238"/>
    <w:rsid w:val="00CC72CF"/>
    <w:rsid w:val="00CC74A0"/>
    <w:rsid w:val="00CC769E"/>
    <w:rsid w:val="00CC7A19"/>
    <w:rsid w:val="00CC7FB1"/>
    <w:rsid w:val="00CD009B"/>
    <w:rsid w:val="00CD06D1"/>
    <w:rsid w:val="00CD0F32"/>
    <w:rsid w:val="00CD135D"/>
    <w:rsid w:val="00CD1CC8"/>
    <w:rsid w:val="00CD1DF8"/>
    <w:rsid w:val="00CD2982"/>
    <w:rsid w:val="00CD3406"/>
    <w:rsid w:val="00CD434D"/>
    <w:rsid w:val="00CD44BB"/>
    <w:rsid w:val="00CD4EE5"/>
    <w:rsid w:val="00CD51E4"/>
    <w:rsid w:val="00CD5260"/>
    <w:rsid w:val="00CD52BB"/>
    <w:rsid w:val="00CD53BF"/>
    <w:rsid w:val="00CD577E"/>
    <w:rsid w:val="00CD61C9"/>
    <w:rsid w:val="00CD69D5"/>
    <w:rsid w:val="00CD71A3"/>
    <w:rsid w:val="00CD7AEA"/>
    <w:rsid w:val="00CE0602"/>
    <w:rsid w:val="00CE0915"/>
    <w:rsid w:val="00CE10A2"/>
    <w:rsid w:val="00CE1420"/>
    <w:rsid w:val="00CE1B3F"/>
    <w:rsid w:val="00CE213F"/>
    <w:rsid w:val="00CE2623"/>
    <w:rsid w:val="00CE324A"/>
    <w:rsid w:val="00CE32B6"/>
    <w:rsid w:val="00CE354A"/>
    <w:rsid w:val="00CE37A9"/>
    <w:rsid w:val="00CE4EEB"/>
    <w:rsid w:val="00CE5CA8"/>
    <w:rsid w:val="00CE6660"/>
    <w:rsid w:val="00CE69B5"/>
    <w:rsid w:val="00CE6C89"/>
    <w:rsid w:val="00CE6DF0"/>
    <w:rsid w:val="00CE72C5"/>
    <w:rsid w:val="00CF0DD8"/>
    <w:rsid w:val="00CF124C"/>
    <w:rsid w:val="00CF1B4A"/>
    <w:rsid w:val="00CF2440"/>
    <w:rsid w:val="00CF2851"/>
    <w:rsid w:val="00CF29AA"/>
    <w:rsid w:val="00CF3833"/>
    <w:rsid w:val="00CF4E32"/>
    <w:rsid w:val="00CF4EC9"/>
    <w:rsid w:val="00CF4FC9"/>
    <w:rsid w:val="00CF503B"/>
    <w:rsid w:val="00CF510A"/>
    <w:rsid w:val="00CF5BBE"/>
    <w:rsid w:val="00CF629D"/>
    <w:rsid w:val="00CF6A3B"/>
    <w:rsid w:val="00CF6C76"/>
    <w:rsid w:val="00CF6E3A"/>
    <w:rsid w:val="00CF6F68"/>
    <w:rsid w:val="00CF7124"/>
    <w:rsid w:val="00CF73B7"/>
    <w:rsid w:val="00D00032"/>
    <w:rsid w:val="00D00130"/>
    <w:rsid w:val="00D00B6D"/>
    <w:rsid w:val="00D011F4"/>
    <w:rsid w:val="00D014BC"/>
    <w:rsid w:val="00D02169"/>
    <w:rsid w:val="00D024F1"/>
    <w:rsid w:val="00D02FB9"/>
    <w:rsid w:val="00D033C2"/>
    <w:rsid w:val="00D0350F"/>
    <w:rsid w:val="00D035B9"/>
    <w:rsid w:val="00D03612"/>
    <w:rsid w:val="00D0361F"/>
    <w:rsid w:val="00D03747"/>
    <w:rsid w:val="00D03874"/>
    <w:rsid w:val="00D03B9A"/>
    <w:rsid w:val="00D03EA5"/>
    <w:rsid w:val="00D04863"/>
    <w:rsid w:val="00D054D5"/>
    <w:rsid w:val="00D05D17"/>
    <w:rsid w:val="00D064A6"/>
    <w:rsid w:val="00D06AB7"/>
    <w:rsid w:val="00D07469"/>
    <w:rsid w:val="00D07D29"/>
    <w:rsid w:val="00D1061F"/>
    <w:rsid w:val="00D1081E"/>
    <w:rsid w:val="00D11827"/>
    <w:rsid w:val="00D1205B"/>
    <w:rsid w:val="00D13576"/>
    <w:rsid w:val="00D13E55"/>
    <w:rsid w:val="00D13EFB"/>
    <w:rsid w:val="00D14011"/>
    <w:rsid w:val="00D14570"/>
    <w:rsid w:val="00D14791"/>
    <w:rsid w:val="00D1493C"/>
    <w:rsid w:val="00D14B49"/>
    <w:rsid w:val="00D14F73"/>
    <w:rsid w:val="00D1576D"/>
    <w:rsid w:val="00D15B52"/>
    <w:rsid w:val="00D16882"/>
    <w:rsid w:val="00D16C7B"/>
    <w:rsid w:val="00D16D1E"/>
    <w:rsid w:val="00D1712D"/>
    <w:rsid w:val="00D175B0"/>
    <w:rsid w:val="00D17618"/>
    <w:rsid w:val="00D20466"/>
    <w:rsid w:val="00D207D6"/>
    <w:rsid w:val="00D20C6C"/>
    <w:rsid w:val="00D210F4"/>
    <w:rsid w:val="00D22BD3"/>
    <w:rsid w:val="00D23539"/>
    <w:rsid w:val="00D23621"/>
    <w:rsid w:val="00D238BB"/>
    <w:rsid w:val="00D238D6"/>
    <w:rsid w:val="00D23CE5"/>
    <w:rsid w:val="00D242D3"/>
    <w:rsid w:val="00D2447A"/>
    <w:rsid w:val="00D24518"/>
    <w:rsid w:val="00D24CE3"/>
    <w:rsid w:val="00D24D42"/>
    <w:rsid w:val="00D259F8"/>
    <w:rsid w:val="00D25C36"/>
    <w:rsid w:val="00D26CC9"/>
    <w:rsid w:val="00D273E1"/>
    <w:rsid w:val="00D27F4A"/>
    <w:rsid w:val="00D30974"/>
    <w:rsid w:val="00D30AE6"/>
    <w:rsid w:val="00D319AD"/>
    <w:rsid w:val="00D31ADC"/>
    <w:rsid w:val="00D321F3"/>
    <w:rsid w:val="00D32374"/>
    <w:rsid w:val="00D33048"/>
    <w:rsid w:val="00D33C4B"/>
    <w:rsid w:val="00D33F7F"/>
    <w:rsid w:val="00D343BE"/>
    <w:rsid w:val="00D347E3"/>
    <w:rsid w:val="00D34957"/>
    <w:rsid w:val="00D34CEC"/>
    <w:rsid w:val="00D35072"/>
    <w:rsid w:val="00D351B6"/>
    <w:rsid w:val="00D35535"/>
    <w:rsid w:val="00D35817"/>
    <w:rsid w:val="00D35B23"/>
    <w:rsid w:val="00D35C64"/>
    <w:rsid w:val="00D35EC0"/>
    <w:rsid w:val="00D369B1"/>
    <w:rsid w:val="00D37528"/>
    <w:rsid w:val="00D37592"/>
    <w:rsid w:val="00D4058E"/>
    <w:rsid w:val="00D405EE"/>
    <w:rsid w:val="00D40924"/>
    <w:rsid w:val="00D40D97"/>
    <w:rsid w:val="00D41673"/>
    <w:rsid w:val="00D41D73"/>
    <w:rsid w:val="00D424B5"/>
    <w:rsid w:val="00D4263B"/>
    <w:rsid w:val="00D42FF6"/>
    <w:rsid w:val="00D4301D"/>
    <w:rsid w:val="00D4305E"/>
    <w:rsid w:val="00D43390"/>
    <w:rsid w:val="00D44264"/>
    <w:rsid w:val="00D442F5"/>
    <w:rsid w:val="00D443D5"/>
    <w:rsid w:val="00D451B8"/>
    <w:rsid w:val="00D45482"/>
    <w:rsid w:val="00D461BF"/>
    <w:rsid w:val="00D464C6"/>
    <w:rsid w:val="00D46FE5"/>
    <w:rsid w:val="00D473BF"/>
    <w:rsid w:val="00D474EE"/>
    <w:rsid w:val="00D4753D"/>
    <w:rsid w:val="00D47676"/>
    <w:rsid w:val="00D5105B"/>
    <w:rsid w:val="00D51433"/>
    <w:rsid w:val="00D5151F"/>
    <w:rsid w:val="00D515AB"/>
    <w:rsid w:val="00D516F5"/>
    <w:rsid w:val="00D51C3C"/>
    <w:rsid w:val="00D52A7C"/>
    <w:rsid w:val="00D53023"/>
    <w:rsid w:val="00D53F81"/>
    <w:rsid w:val="00D551EF"/>
    <w:rsid w:val="00D55433"/>
    <w:rsid w:val="00D55564"/>
    <w:rsid w:val="00D557E8"/>
    <w:rsid w:val="00D55C01"/>
    <w:rsid w:val="00D56257"/>
    <w:rsid w:val="00D56458"/>
    <w:rsid w:val="00D5725A"/>
    <w:rsid w:val="00D57A77"/>
    <w:rsid w:val="00D57EA8"/>
    <w:rsid w:val="00D60288"/>
    <w:rsid w:val="00D604C0"/>
    <w:rsid w:val="00D608E8"/>
    <w:rsid w:val="00D61094"/>
    <w:rsid w:val="00D614D0"/>
    <w:rsid w:val="00D6184C"/>
    <w:rsid w:val="00D62226"/>
    <w:rsid w:val="00D62420"/>
    <w:rsid w:val="00D626FA"/>
    <w:rsid w:val="00D627C9"/>
    <w:rsid w:val="00D62C83"/>
    <w:rsid w:val="00D632BA"/>
    <w:rsid w:val="00D641F2"/>
    <w:rsid w:val="00D648E3"/>
    <w:rsid w:val="00D64C97"/>
    <w:rsid w:val="00D656B9"/>
    <w:rsid w:val="00D6621C"/>
    <w:rsid w:val="00D665AA"/>
    <w:rsid w:val="00D668C4"/>
    <w:rsid w:val="00D669F8"/>
    <w:rsid w:val="00D66EF2"/>
    <w:rsid w:val="00D672AC"/>
    <w:rsid w:val="00D6794A"/>
    <w:rsid w:val="00D67992"/>
    <w:rsid w:val="00D67F91"/>
    <w:rsid w:val="00D702AF"/>
    <w:rsid w:val="00D7031D"/>
    <w:rsid w:val="00D703DE"/>
    <w:rsid w:val="00D709BB"/>
    <w:rsid w:val="00D72622"/>
    <w:rsid w:val="00D72838"/>
    <w:rsid w:val="00D729D5"/>
    <w:rsid w:val="00D72AED"/>
    <w:rsid w:val="00D72F03"/>
    <w:rsid w:val="00D732DA"/>
    <w:rsid w:val="00D73C37"/>
    <w:rsid w:val="00D73D63"/>
    <w:rsid w:val="00D74213"/>
    <w:rsid w:val="00D743EE"/>
    <w:rsid w:val="00D74417"/>
    <w:rsid w:val="00D745AA"/>
    <w:rsid w:val="00D74A84"/>
    <w:rsid w:val="00D752F8"/>
    <w:rsid w:val="00D7573E"/>
    <w:rsid w:val="00D75A82"/>
    <w:rsid w:val="00D75B95"/>
    <w:rsid w:val="00D75E0B"/>
    <w:rsid w:val="00D75F23"/>
    <w:rsid w:val="00D75F82"/>
    <w:rsid w:val="00D76008"/>
    <w:rsid w:val="00D76206"/>
    <w:rsid w:val="00D76395"/>
    <w:rsid w:val="00D7743A"/>
    <w:rsid w:val="00D77A59"/>
    <w:rsid w:val="00D77CF2"/>
    <w:rsid w:val="00D8021B"/>
    <w:rsid w:val="00D80221"/>
    <w:rsid w:val="00D80768"/>
    <w:rsid w:val="00D80BF3"/>
    <w:rsid w:val="00D80FF9"/>
    <w:rsid w:val="00D813D4"/>
    <w:rsid w:val="00D8177F"/>
    <w:rsid w:val="00D81DE5"/>
    <w:rsid w:val="00D84437"/>
    <w:rsid w:val="00D8453B"/>
    <w:rsid w:val="00D847B5"/>
    <w:rsid w:val="00D84B86"/>
    <w:rsid w:val="00D84C82"/>
    <w:rsid w:val="00D84F87"/>
    <w:rsid w:val="00D85370"/>
    <w:rsid w:val="00D85A8B"/>
    <w:rsid w:val="00D86B1A"/>
    <w:rsid w:val="00D873AB"/>
    <w:rsid w:val="00D87445"/>
    <w:rsid w:val="00D8745F"/>
    <w:rsid w:val="00D87A17"/>
    <w:rsid w:val="00D87C27"/>
    <w:rsid w:val="00D9011C"/>
    <w:rsid w:val="00D904FF"/>
    <w:rsid w:val="00D909C4"/>
    <w:rsid w:val="00D911AE"/>
    <w:rsid w:val="00D91738"/>
    <w:rsid w:val="00D91FAE"/>
    <w:rsid w:val="00D9202E"/>
    <w:rsid w:val="00D925E6"/>
    <w:rsid w:val="00D929D8"/>
    <w:rsid w:val="00D937AB"/>
    <w:rsid w:val="00D9383C"/>
    <w:rsid w:val="00D93F97"/>
    <w:rsid w:val="00D943EE"/>
    <w:rsid w:val="00D9455F"/>
    <w:rsid w:val="00D9482A"/>
    <w:rsid w:val="00D948A1"/>
    <w:rsid w:val="00D94D65"/>
    <w:rsid w:val="00D959D6"/>
    <w:rsid w:val="00D960C3"/>
    <w:rsid w:val="00D9624B"/>
    <w:rsid w:val="00D96663"/>
    <w:rsid w:val="00D969F2"/>
    <w:rsid w:val="00D96D49"/>
    <w:rsid w:val="00D972F7"/>
    <w:rsid w:val="00D97344"/>
    <w:rsid w:val="00D9763C"/>
    <w:rsid w:val="00D97AE7"/>
    <w:rsid w:val="00D97ED9"/>
    <w:rsid w:val="00DA0393"/>
    <w:rsid w:val="00DA04E5"/>
    <w:rsid w:val="00DA1B23"/>
    <w:rsid w:val="00DA1CB1"/>
    <w:rsid w:val="00DA1D1C"/>
    <w:rsid w:val="00DA2216"/>
    <w:rsid w:val="00DA25F9"/>
    <w:rsid w:val="00DA2A1F"/>
    <w:rsid w:val="00DA3197"/>
    <w:rsid w:val="00DA3267"/>
    <w:rsid w:val="00DA3A13"/>
    <w:rsid w:val="00DA3D0B"/>
    <w:rsid w:val="00DA4353"/>
    <w:rsid w:val="00DA4D17"/>
    <w:rsid w:val="00DA5B13"/>
    <w:rsid w:val="00DA5F4A"/>
    <w:rsid w:val="00DA6388"/>
    <w:rsid w:val="00DA64F5"/>
    <w:rsid w:val="00DA673C"/>
    <w:rsid w:val="00DA6760"/>
    <w:rsid w:val="00DA6B30"/>
    <w:rsid w:val="00DA6F60"/>
    <w:rsid w:val="00DA7A12"/>
    <w:rsid w:val="00DB0DDC"/>
    <w:rsid w:val="00DB2278"/>
    <w:rsid w:val="00DB2F62"/>
    <w:rsid w:val="00DB3397"/>
    <w:rsid w:val="00DB3543"/>
    <w:rsid w:val="00DB41EF"/>
    <w:rsid w:val="00DB4710"/>
    <w:rsid w:val="00DB4AEE"/>
    <w:rsid w:val="00DB5261"/>
    <w:rsid w:val="00DB5D9F"/>
    <w:rsid w:val="00DB62E8"/>
    <w:rsid w:val="00DB685F"/>
    <w:rsid w:val="00DB6918"/>
    <w:rsid w:val="00DB6CA1"/>
    <w:rsid w:val="00DC00F0"/>
    <w:rsid w:val="00DC05CE"/>
    <w:rsid w:val="00DC0BAF"/>
    <w:rsid w:val="00DC0FD7"/>
    <w:rsid w:val="00DC133C"/>
    <w:rsid w:val="00DC14A6"/>
    <w:rsid w:val="00DC14C3"/>
    <w:rsid w:val="00DC18B4"/>
    <w:rsid w:val="00DC2520"/>
    <w:rsid w:val="00DC28A5"/>
    <w:rsid w:val="00DC2CEC"/>
    <w:rsid w:val="00DC361F"/>
    <w:rsid w:val="00DC3AF5"/>
    <w:rsid w:val="00DC3EBC"/>
    <w:rsid w:val="00DC3F41"/>
    <w:rsid w:val="00DC4125"/>
    <w:rsid w:val="00DC4747"/>
    <w:rsid w:val="00DC4CC5"/>
    <w:rsid w:val="00DC5023"/>
    <w:rsid w:val="00DC52E4"/>
    <w:rsid w:val="00DC5633"/>
    <w:rsid w:val="00DC565D"/>
    <w:rsid w:val="00DC5F8F"/>
    <w:rsid w:val="00DC659D"/>
    <w:rsid w:val="00DC6A12"/>
    <w:rsid w:val="00DC6FAA"/>
    <w:rsid w:val="00DC7692"/>
    <w:rsid w:val="00DD0673"/>
    <w:rsid w:val="00DD086D"/>
    <w:rsid w:val="00DD0A76"/>
    <w:rsid w:val="00DD0EFB"/>
    <w:rsid w:val="00DD14B2"/>
    <w:rsid w:val="00DD2DC4"/>
    <w:rsid w:val="00DD395F"/>
    <w:rsid w:val="00DD4061"/>
    <w:rsid w:val="00DD474F"/>
    <w:rsid w:val="00DD4E79"/>
    <w:rsid w:val="00DD5382"/>
    <w:rsid w:val="00DD60E3"/>
    <w:rsid w:val="00DD6814"/>
    <w:rsid w:val="00DD68F2"/>
    <w:rsid w:val="00DE024F"/>
    <w:rsid w:val="00DE04E1"/>
    <w:rsid w:val="00DE096A"/>
    <w:rsid w:val="00DE0C80"/>
    <w:rsid w:val="00DE1EF0"/>
    <w:rsid w:val="00DE258E"/>
    <w:rsid w:val="00DE2AE5"/>
    <w:rsid w:val="00DE2B77"/>
    <w:rsid w:val="00DE2D75"/>
    <w:rsid w:val="00DE3462"/>
    <w:rsid w:val="00DE3553"/>
    <w:rsid w:val="00DE39DC"/>
    <w:rsid w:val="00DE3CCD"/>
    <w:rsid w:val="00DE3CE1"/>
    <w:rsid w:val="00DE3F45"/>
    <w:rsid w:val="00DE4069"/>
    <w:rsid w:val="00DE4921"/>
    <w:rsid w:val="00DE4C75"/>
    <w:rsid w:val="00DE4E94"/>
    <w:rsid w:val="00DE5342"/>
    <w:rsid w:val="00DE673F"/>
    <w:rsid w:val="00DE6D67"/>
    <w:rsid w:val="00DE7BE0"/>
    <w:rsid w:val="00DF02AA"/>
    <w:rsid w:val="00DF04B5"/>
    <w:rsid w:val="00DF050A"/>
    <w:rsid w:val="00DF0D72"/>
    <w:rsid w:val="00DF1371"/>
    <w:rsid w:val="00DF158C"/>
    <w:rsid w:val="00DF1802"/>
    <w:rsid w:val="00DF1F84"/>
    <w:rsid w:val="00DF207A"/>
    <w:rsid w:val="00DF2D26"/>
    <w:rsid w:val="00DF2DD1"/>
    <w:rsid w:val="00DF3CE5"/>
    <w:rsid w:val="00DF3D4B"/>
    <w:rsid w:val="00DF3D75"/>
    <w:rsid w:val="00DF4F50"/>
    <w:rsid w:val="00DF5488"/>
    <w:rsid w:val="00DF56D1"/>
    <w:rsid w:val="00DF600B"/>
    <w:rsid w:val="00DF63AC"/>
    <w:rsid w:val="00DF691C"/>
    <w:rsid w:val="00DF6AC2"/>
    <w:rsid w:val="00DF7C9D"/>
    <w:rsid w:val="00DF7DA3"/>
    <w:rsid w:val="00E00246"/>
    <w:rsid w:val="00E005C9"/>
    <w:rsid w:val="00E00DED"/>
    <w:rsid w:val="00E012DC"/>
    <w:rsid w:val="00E0180A"/>
    <w:rsid w:val="00E01895"/>
    <w:rsid w:val="00E01BEB"/>
    <w:rsid w:val="00E01C7F"/>
    <w:rsid w:val="00E01DB0"/>
    <w:rsid w:val="00E01EB2"/>
    <w:rsid w:val="00E02E63"/>
    <w:rsid w:val="00E03707"/>
    <w:rsid w:val="00E03DA3"/>
    <w:rsid w:val="00E04326"/>
    <w:rsid w:val="00E043EA"/>
    <w:rsid w:val="00E0514E"/>
    <w:rsid w:val="00E05689"/>
    <w:rsid w:val="00E05CBA"/>
    <w:rsid w:val="00E06570"/>
    <w:rsid w:val="00E06747"/>
    <w:rsid w:val="00E07364"/>
    <w:rsid w:val="00E076CA"/>
    <w:rsid w:val="00E100EC"/>
    <w:rsid w:val="00E100FE"/>
    <w:rsid w:val="00E10428"/>
    <w:rsid w:val="00E106AF"/>
    <w:rsid w:val="00E10CD7"/>
    <w:rsid w:val="00E10D2F"/>
    <w:rsid w:val="00E113C0"/>
    <w:rsid w:val="00E1177A"/>
    <w:rsid w:val="00E11C8D"/>
    <w:rsid w:val="00E12977"/>
    <w:rsid w:val="00E12B26"/>
    <w:rsid w:val="00E12FEE"/>
    <w:rsid w:val="00E1352D"/>
    <w:rsid w:val="00E13987"/>
    <w:rsid w:val="00E14658"/>
    <w:rsid w:val="00E14961"/>
    <w:rsid w:val="00E14DE2"/>
    <w:rsid w:val="00E15BAF"/>
    <w:rsid w:val="00E15C56"/>
    <w:rsid w:val="00E162A6"/>
    <w:rsid w:val="00E1647E"/>
    <w:rsid w:val="00E166B6"/>
    <w:rsid w:val="00E16731"/>
    <w:rsid w:val="00E167D3"/>
    <w:rsid w:val="00E16C31"/>
    <w:rsid w:val="00E16C66"/>
    <w:rsid w:val="00E1749A"/>
    <w:rsid w:val="00E174AD"/>
    <w:rsid w:val="00E17BC2"/>
    <w:rsid w:val="00E17C53"/>
    <w:rsid w:val="00E17D49"/>
    <w:rsid w:val="00E17D89"/>
    <w:rsid w:val="00E2082A"/>
    <w:rsid w:val="00E208D9"/>
    <w:rsid w:val="00E209FE"/>
    <w:rsid w:val="00E213FC"/>
    <w:rsid w:val="00E21DF9"/>
    <w:rsid w:val="00E21EA8"/>
    <w:rsid w:val="00E2243C"/>
    <w:rsid w:val="00E22B6A"/>
    <w:rsid w:val="00E22B9C"/>
    <w:rsid w:val="00E23463"/>
    <w:rsid w:val="00E23585"/>
    <w:rsid w:val="00E23959"/>
    <w:rsid w:val="00E23B07"/>
    <w:rsid w:val="00E2403F"/>
    <w:rsid w:val="00E243B4"/>
    <w:rsid w:val="00E24FEC"/>
    <w:rsid w:val="00E2571C"/>
    <w:rsid w:val="00E25AD7"/>
    <w:rsid w:val="00E26072"/>
    <w:rsid w:val="00E26AB3"/>
    <w:rsid w:val="00E26D62"/>
    <w:rsid w:val="00E26EC7"/>
    <w:rsid w:val="00E278F4"/>
    <w:rsid w:val="00E3205B"/>
    <w:rsid w:val="00E321A2"/>
    <w:rsid w:val="00E32A90"/>
    <w:rsid w:val="00E330E1"/>
    <w:rsid w:val="00E33834"/>
    <w:rsid w:val="00E33EC7"/>
    <w:rsid w:val="00E3411E"/>
    <w:rsid w:val="00E34225"/>
    <w:rsid w:val="00E35030"/>
    <w:rsid w:val="00E36962"/>
    <w:rsid w:val="00E36DB7"/>
    <w:rsid w:val="00E378B9"/>
    <w:rsid w:val="00E40031"/>
    <w:rsid w:val="00E40216"/>
    <w:rsid w:val="00E4044E"/>
    <w:rsid w:val="00E4076E"/>
    <w:rsid w:val="00E407B6"/>
    <w:rsid w:val="00E40E20"/>
    <w:rsid w:val="00E413E3"/>
    <w:rsid w:val="00E4141B"/>
    <w:rsid w:val="00E42837"/>
    <w:rsid w:val="00E42E26"/>
    <w:rsid w:val="00E4419C"/>
    <w:rsid w:val="00E442C3"/>
    <w:rsid w:val="00E4496C"/>
    <w:rsid w:val="00E44EBD"/>
    <w:rsid w:val="00E451A1"/>
    <w:rsid w:val="00E45891"/>
    <w:rsid w:val="00E4590F"/>
    <w:rsid w:val="00E45A8F"/>
    <w:rsid w:val="00E45C00"/>
    <w:rsid w:val="00E46AB5"/>
    <w:rsid w:val="00E46FDC"/>
    <w:rsid w:val="00E471C3"/>
    <w:rsid w:val="00E476CF"/>
    <w:rsid w:val="00E507A5"/>
    <w:rsid w:val="00E50A33"/>
    <w:rsid w:val="00E50EA1"/>
    <w:rsid w:val="00E51452"/>
    <w:rsid w:val="00E5173A"/>
    <w:rsid w:val="00E51BD7"/>
    <w:rsid w:val="00E51E27"/>
    <w:rsid w:val="00E52470"/>
    <w:rsid w:val="00E52672"/>
    <w:rsid w:val="00E52A7E"/>
    <w:rsid w:val="00E52D20"/>
    <w:rsid w:val="00E5365B"/>
    <w:rsid w:val="00E53F18"/>
    <w:rsid w:val="00E540C2"/>
    <w:rsid w:val="00E541DF"/>
    <w:rsid w:val="00E5472F"/>
    <w:rsid w:val="00E54EE1"/>
    <w:rsid w:val="00E55549"/>
    <w:rsid w:val="00E55595"/>
    <w:rsid w:val="00E55610"/>
    <w:rsid w:val="00E55ABC"/>
    <w:rsid w:val="00E55EAF"/>
    <w:rsid w:val="00E563AD"/>
    <w:rsid w:val="00E5648F"/>
    <w:rsid w:val="00E5742F"/>
    <w:rsid w:val="00E575EE"/>
    <w:rsid w:val="00E578DB"/>
    <w:rsid w:val="00E57A9A"/>
    <w:rsid w:val="00E57C23"/>
    <w:rsid w:val="00E57CDC"/>
    <w:rsid w:val="00E60783"/>
    <w:rsid w:val="00E60D22"/>
    <w:rsid w:val="00E60D47"/>
    <w:rsid w:val="00E60DC9"/>
    <w:rsid w:val="00E60DD1"/>
    <w:rsid w:val="00E60DD6"/>
    <w:rsid w:val="00E61343"/>
    <w:rsid w:val="00E61534"/>
    <w:rsid w:val="00E61A72"/>
    <w:rsid w:val="00E61B8F"/>
    <w:rsid w:val="00E61CE7"/>
    <w:rsid w:val="00E62C52"/>
    <w:rsid w:val="00E63443"/>
    <w:rsid w:val="00E63554"/>
    <w:rsid w:val="00E63899"/>
    <w:rsid w:val="00E63E65"/>
    <w:rsid w:val="00E6432E"/>
    <w:rsid w:val="00E64759"/>
    <w:rsid w:val="00E64973"/>
    <w:rsid w:val="00E649E4"/>
    <w:rsid w:val="00E64EA4"/>
    <w:rsid w:val="00E652A7"/>
    <w:rsid w:val="00E661C7"/>
    <w:rsid w:val="00E666E3"/>
    <w:rsid w:val="00E66FE2"/>
    <w:rsid w:val="00E67005"/>
    <w:rsid w:val="00E67061"/>
    <w:rsid w:val="00E67DCB"/>
    <w:rsid w:val="00E7027F"/>
    <w:rsid w:val="00E7049F"/>
    <w:rsid w:val="00E707F9"/>
    <w:rsid w:val="00E70FD6"/>
    <w:rsid w:val="00E71508"/>
    <w:rsid w:val="00E7158E"/>
    <w:rsid w:val="00E71841"/>
    <w:rsid w:val="00E7190E"/>
    <w:rsid w:val="00E7222F"/>
    <w:rsid w:val="00E7229D"/>
    <w:rsid w:val="00E72B22"/>
    <w:rsid w:val="00E72B55"/>
    <w:rsid w:val="00E72DD8"/>
    <w:rsid w:val="00E72E03"/>
    <w:rsid w:val="00E72E7C"/>
    <w:rsid w:val="00E73DFC"/>
    <w:rsid w:val="00E73F5E"/>
    <w:rsid w:val="00E743AC"/>
    <w:rsid w:val="00E74B15"/>
    <w:rsid w:val="00E74CDA"/>
    <w:rsid w:val="00E74E85"/>
    <w:rsid w:val="00E76667"/>
    <w:rsid w:val="00E76A19"/>
    <w:rsid w:val="00E7715A"/>
    <w:rsid w:val="00E774FC"/>
    <w:rsid w:val="00E77FFE"/>
    <w:rsid w:val="00E80508"/>
    <w:rsid w:val="00E80725"/>
    <w:rsid w:val="00E815D4"/>
    <w:rsid w:val="00E8197A"/>
    <w:rsid w:val="00E82034"/>
    <w:rsid w:val="00E821F7"/>
    <w:rsid w:val="00E8231A"/>
    <w:rsid w:val="00E82572"/>
    <w:rsid w:val="00E827BE"/>
    <w:rsid w:val="00E827E8"/>
    <w:rsid w:val="00E82926"/>
    <w:rsid w:val="00E83510"/>
    <w:rsid w:val="00E83D1D"/>
    <w:rsid w:val="00E841F9"/>
    <w:rsid w:val="00E84D87"/>
    <w:rsid w:val="00E8530D"/>
    <w:rsid w:val="00E85700"/>
    <w:rsid w:val="00E85ADD"/>
    <w:rsid w:val="00E85B40"/>
    <w:rsid w:val="00E85FBA"/>
    <w:rsid w:val="00E862C4"/>
    <w:rsid w:val="00E86911"/>
    <w:rsid w:val="00E872B9"/>
    <w:rsid w:val="00E872D4"/>
    <w:rsid w:val="00E87D3D"/>
    <w:rsid w:val="00E901DD"/>
    <w:rsid w:val="00E906C7"/>
    <w:rsid w:val="00E90B5B"/>
    <w:rsid w:val="00E9117A"/>
    <w:rsid w:val="00E92430"/>
    <w:rsid w:val="00E92751"/>
    <w:rsid w:val="00E92890"/>
    <w:rsid w:val="00E92FA3"/>
    <w:rsid w:val="00E934A3"/>
    <w:rsid w:val="00E93550"/>
    <w:rsid w:val="00E93FB1"/>
    <w:rsid w:val="00E94124"/>
    <w:rsid w:val="00E94501"/>
    <w:rsid w:val="00E9465F"/>
    <w:rsid w:val="00E946DD"/>
    <w:rsid w:val="00E94ACE"/>
    <w:rsid w:val="00E95251"/>
    <w:rsid w:val="00E96A6B"/>
    <w:rsid w:val="00E96DB8"/>
    <w:rsid w:val="00E970F3"/>
    <w:rsid w:val="00E97418"/>
    <w:rsid w:val="00E9751F"/>
    <w:rsid w:val="00E97CBF"/>
    <w:rsid w:val="00EA088B"/>
    <w:rsid w:val="00EA0E76"/>
    <w:rsid w:val="00EA1212"/>
    <w:rsid w:val="00EA122F"/>
    <w:rsid w:val="00EA18AA"/>
    <w:rsid w:val="00EA1E6C"/>
    <w:rsid w:val="00EA23BD"/>
    <w:rsid w:val="00EA2512"/>
    <w:rsid w:val="00EA2CFC"/>
    <w:rsid w:val="00EA2D35"/>
    <w:rsid w:val="00EA3237"/>
    <w:rsid w:val="00EA38E7"/>
    <w:rsid w:val="00EA3E4D"/>
    <w:rsid w:val="00EA435E"/>
    <w:rsid w:val="00EA476C"/>
    <w:rsid w:val="00EA52FC"/>
    <w:rsid w:val="00EA5B15"/>
    <w:rsid w:val="00EA613B"/>
    <w:rsid w:val="00EA6A3D"/>
    <w:rsid w:val="00EB0352"/>
    <w:rsid w:val="00EB0858"/>
    <w:rsid w:val="00EB0907"/>
    <w:rsid w:val="00EB092D"/>
    <w:rsid w:val="00EB0B09"/>
    <w:rsid w:val="00EB0B97"/>
    <w:rsid w:val="00EB0F7F"/>
    <w:rsid w:val="00EB10FA"/>
    <w:rsid w:val="00EB1402"/>
    <w:rsid w:val="00EB17FE"/>
    <w:rsid w:val="00EB22F2"/>
    <w:rsid w:val="00EB23BF"/>
    <w:rsid w:val="00EB243C"/>
    <w:rsid w:val="00EB279E"/>
    <w:rsid w:val="00EB2EC6"/>
    <w:rsid w:val="00EB2F24"/>
    <w:rsid w:val="00EB341C"/>
    <w:rsid w:val="00EB34E7"/>
    <w:rsid w:val="00EB368C"/>
    <w:rsid w:val="00EB3732"/>
    <w:rsid w:val="00EB3BA4"/>
    <w:rsid w:val="00EB4759"/>
    <w:rsid w:val="00EB4989"/>
    <w:rsid w:val="00EB538F"/>
    <w:rsid w:val="00EB6640"/>
    <w:rsid w:val="00EB6B14"/>
    <w:rsid w:val="00EB6E53"/>
    <w:rsid w:val="00EB780C"/>
    <w:rsid w:val="00EB7AC4"/>
    <w:rsid w:val="00EC0C37"/>
    <w:rsid w:val="00EC1121"/>
    <w:rsid w:val="00EC1277"/>
    <w:rsid w:val="00EC1484"/>
    <w:rsid w:val="00EC190B"/>
    <w:rsid w:val="00EC19C4"/>
    <w:rsid w:val="00EC20E3"/>
    <w:rsid w:val="00EC216E"/>
    <w:rsid w:val="00EC25EB"/>
    <w:rsid w:val="00EC2706"/>
    <w:rsid w:val="00EC397E"/>
    <w:rsid w:val="00EC3A50"/>
    <w:rsid w:val="00EC417A"/>
    <w:rsid w:val="00EC443C"/>
    <w:rsid w:val="00EC4D36"/>
    <w:rsid w:val="00EC51C2"/>
    <w:rsid w:val="00EC53F9"/>
    <w:rsid w:val="00EC597E"/>
    <w:rsid w:val="00EC5A0A"/>
    <w:rsid w:val="00EC604A"/>
    <w:rsid w:val="00EC6819"/>
    <w:rsid w:val="00EC6BC7"/>
    <w:rsid w:val="00EC6BCE"/>
    <w:rsid w:val="00EC7C01"/>
    <w:rsid w:val="00EC7D16"/>
    <w:rsid w:val="00ED0223"/>
    <w:rsid w:val="00ED0817"/>
    <w:rsid w:val="00ED1168"/>
    <w:rsid w:val="00ED17C1"/>
    <w:rsid w:val="00ED17C6"/>
    <w:rsid w:val="00ED188E"/>
    <w:rsid w:val="00ED2393"/>
    <w:rsid w:val="00ED25F1"/>
    <w:rsid w:val="00ED28C2"/>
    <w:rsid w:val="00ED2B3D"/>
    <w:rsid w:val="00ED3ECB"/>
    <w:rsid w:val="00ED3F08"/>
    <w:rsid w:val="00ED4C72"/>
    <w:rsid w:val="00ED5228"/>
    <w:rsid w:val="00ED5BA9"/>
    <w:rsid w:val="00ED5D09"/>
    <w:rsid w:val="00ED61CF"/>
    <w:rsid w:val="00ED6808"/>
    <w:rsid w:val="00EE0DB6"/>
    <w:rsid w:val="00EE0F0E"/>
    <w:rsid w:val="00EE0FB7"/>
    <w:rsid w:val="00EE105C"/>
    <w:rsid w:val="00EE11D7"/>
    <w:rsid w:val="00EE1328"/>
    <w:rsid w:val="00EE2063"/>
    <w:rsid w:val="00EE2538"/>
    <w:rsid w:val="00EE4191"/>
    <w:rsid w:val="00EE5BC9"/>
    <w:rsid w:val="00EE5F41"/>
    <w:rsid w:val="00EE617E"/>
    <w:rsid w:val="00EE67D7"/>
    <w:rsid w:val="00EE68FD"/>
    <w:rsid w:val="00EE6C4D"/>
    <w:rsid w:val="00EE6D77"/>
    <w:rsid w:val="00EE702E"/>
    <w:rsid w:val="00EE7B8D"/>
    <w:rsid w:val="00EE7C60"/>
    <w:rsid w:val="00EF0043"/>
    <w:rsid w:val="00EF01DE"/>
    <w:rsid w:val="00EF0780"/>
    <w:rsid w:val="00EF0823"/>
    <w:rsid w:val="00EF0A32"/>
    <w:rsid w:val="00EF0AD1"/>
    <w:rsid w:val="00EF0B64"/>
    <w:rsid w:val="00EF0BEB"/>
    <w:rsid w:val="00EF0EFE"/>
    <w:rsid w:val="00EF1182"/>
    <w:rsid w:val="00EF1E5C"/>
    <w:rsid w:val="00EF1EDF"/>
    <w:rsid w:val="00EF206B"/>
    <w:rsid w:val="00EF2E65"/>
    <w:rsid w:val="00EF30A3"/>
    <w:rsid w:val="00EF33B6"/>
    <w:rsid w:val="00EF34F7"/>
    <w:rsid w:val="00EF439C"/>
    <w:rsid w:val="00EF5300"/>
    <w:rsid w:val="00EF573B"/>
    <w:rsid w:val="00EF5D01"/>
    <w:rsid w:val="00EF615B"/>
    <w:rsid w:val="00EF6839"/>
    <w:rsid w:val="00EF6C4C"/>
    <w:rsid w:val="00EF713E"/>
    <w:rsid w:val="00F00AFA"/>
    <w:rsid w:val="00F0136E"/>
    <w:rsid w:val="00F0218A"/>
    <w:rsid w:val="00F021A1"/>
    <w:rsid w:val="00F02344"/>
    <w:rsid w:val="00F02608"/>
    <w:rsid w:val="00F04319"/>
    <w:rsid w:val="00F05273"/>
    <w:rsid w:val="00F05552"/>
    <w:rsid w:val="00F056D6"/>
    <w:rsid w:val="00F06A07"/>
    <w:rsid w:val="00F06D71"/>
    <w:rsid w:val="00F07337"/>
    <w:rsid w:val="00F07D62"/>
    <w:rsid w:val="00F10144"/>
    <w:rsid w:val="00F104E0"/>
    <w:rsid w:val="00F1106D"/>
    <w:rsid w:val="00F112D1"/>
    <w:rsid w:val="00F120A8"/>
    <w:rsid w:val="00F12549"/>
    <w:rsid w:val="00F127CB"/>
    <w:rsid w:val="00F1293F"/>
    <w:rsid w:val="00F12AD7"/>
    <w:rsid w:val="00F12ADA"/>
    <w:rsid w:val="00F12D40"/>
    <w:rsid w:val="00F133F4"/>
    <w:rsid w:val="00F13598"/>
    <w:rsid w:val="00F138BA"/>
    <w:rsid w:val="00F13B04"/>
    <w:rsid w:val="00F1436C"/>
    <w:rsid w:val="00F16038"/>
    <w:rsid w:val="00F1628E"/>
    <w:rsid w:val="00F16505"/>
    <w:rsid w:val="00F165F8"/>
    <w:rsid w:val="00F16952"/>
    <w:rsid w:val="00F178BE"/>
    <w:rsid w:val="00F17BD2"/>
    <w:rsid w:val="00F20E77"/>
    <w:rsid w:val="00F212F2"/>
    <w:rsid w:val="00F22200"/>
    <w:rsid w:val="00F22829"/>
    <w:rsid w:val="00F22ADE"/>
    <w:rsid w:val="00F23376"/>
    <w:rsid w:val="00F2340D"/>
    <w:rsid w:val="00F236B5"/>
    <w:rsid w:val="00F23F5E"/>
    <w:rsid w:val="00F2424C"/>
    <w:rsid w:val="00F24492"/>
    <w:rsid w:val="00F24DBA"/>
    <w:rsid w:val="00F25366"/>
    <w:rsid w:val="00F25663"/>
    <w:rsid w:val="00F25A6D"/>
    <w:rsid w:val="00F25FA2"/>
    <w:rsid w:val="00F261AD"/>
    <w:rsid w:val="00F267BD"/>
    <w:rsid w:val="00F269FF"/>
    <w:rsid w:val="00F26C29"/>
    <w:rsid w:val="00F271C7"/>
    <w:rsid w:val="00F274CF"/>
    <w:rsid w:val="00F275BD"/>
    <w:rsid w:val="00F27917"/>
    <w:rsid w:val="00F30273"/>
    <w:rsid w:val="00F30287"/>
    <w:rsid w:val="00F30788"/>
    <w:rsid w:val="00F318D2"/>
    <w:rsid w:val="00F31DE6"/>
    <w:rsid w:val="00F31FCA"/>
    <w:rsid w:val="00F3202F"/>
    <w:rsid w:val="00F3206A"/>
    <w:rsid w:val="00F32427"/>
    <w:rsid w:val="00F32BAE"/>
    <w:rsid w:val="00F32CE8"/>
    <w:rsid w:val="00F32E72"/>
    <w:rsid w:val="00F33208"/>
    <w:rsid w:val="00F33E1C"/>
    <w:rsid w:val="00F33E4E"/>
    <w:rsid w:val="00F34100"/>
    <w:rsid w:val="00F34E51"/>
    <w:rsid w:val="00F34EAF"/>
    <w:rsid w:val="00F35127"/>
    <w:rsid w:val="00F35624"/>
    <w:rsid w:val="00F35E90"/>
    <w:rsid w:val="00F35FEC"/>
    <w:rsid w:val="00F371A2"/>
    <w:rsid w:val="00F377DC"/>
    <w:rsid w:val="00F378B8"/>
    <w:rsid w:val="00F37A2F"/>
    <w:rsid w:val="00F37B34"/>
    <w:rsid w:val="00F4048C"/>
    <w:rsid w:val="00F40870"/>
    <w:rsid w:val="00F4229E"/>
    <w:rsid w:val="00F42423"/>
    <w:rsid w:val="00F42A36"/>
    <w:rsid w:val="00F43331"/>
    <w:rsid w:val="00F4426E"/>
    <w:rsid w:val="00F44F75"/>
    <w:rsid w:val="00F454CE"/>
    <w:rsid w:val="00F45655"/>
    <w:rsid w:val="00F46459"/>
    <w:rsid w:val="00F500F4"/>
    <w:rsid w:val="00F503EF"/>
    <w:rsid w:val="00F50808"/>
    <w:rsid w:val="00F50820"/>
    <w:rsid w:val="00F51402"/>
    <w:rsid w:val="00F514B5"/>
    <w:rsid w:val="00F515A6"/>
    <w:rsid w:val="00F5298D"/>
    <w:rsid w:val="00F52B41"/>
    <w:rsid w:val="00F52FA8"/>
    <w:rsid w:val="00F53717"/>
    <w:rsid w:val="00F53C55"/>
    <w:rsid w:val="00F53D65"/>
    <w:rsid w:val="00F53DDF"/>
    <w:rsid w:val="00F53E02"/>
    <w:rsid w:val="00F54BB1"/>
    <w:rsid w:val="00F54D3E"/>
    <w:rsid w:val="00F54DE6"/>
    <w:rsid w:val="00F552D4"/>
    <w:rsid w:val="00F557CF"/>
    <w:rsid w:val="00F5694D"/>
    <w:rsid w:val="00F56ADF"/>
    <w:rsid w:val="00F56BFC"/>
    <w:rsid w:val="00F56E65"/>
    <w:rsid w:val="00F5725E"/>
    <w:rsid w:val="00F57E0E"/>
    <w:rsid w:val="00F600FD"/>
    <w:rsid w:val="00F60E3B"/>
    <w:rsid w:val="00F60EB6"/>
    <w:rsid w:val="00F61427"/>
    <w:rsid w:val="00F61BD2"/>
    <w:rsid w:val="00F61EF0"/>
    <w:rsid w:val="00F6203F"/>
    <w:rsid w:val="00F632B7"/>
    <w:rsid w:val="00F6336D"/>
    <w:rsid w:val="00F63C07"/>
    <w:rsid w:val="00F63D24"/>
    <w:rsid w:val="00F65154"/>
    <w:rsid w:val="00F655A9"/>
    <w:rsid w:val="00F659BC"/>
    <w:rsid w:val="00F65B92"/>
    <w:rsid w:val="00F65B94"/>
    <w:rsid w:val="00F66038"/>
    <w:rsid w:val="00F66999"/>
    <w:rsid w:val="00F674CC"/>
    <w:rsid w:val="00F67939"/>
    <w:rsid w:val="00F71B38"/>
    <w:rsid w:val="00F720A0"/>
    <w:rsid w:val="00F727C7"/>
    <w:rsid w:val="00F734FD"/>
    <w:rsid w:val="00F742DF"/>
    <w:rsid w:val="00F744B4"/>
    <w:rsid w:val="00F7461F"/>
    <w:rsid w:val="00F750E6"/>
    <w:rsid w:val="00F76B45"/>
    <w:rsid w:val="00F77202"/>
    <w:rsid w:val="00F772F6"/>
    <w:rsid w:val="00F7781C"/>
    <w:rsid w:val="00F77F0F"/>
    <w:rsid w:val="00F77F4F"/>
    <w:rsid w:val="00F800BB"/>
    <w:rsid w:val="00F80682"/>
    <w:rsid w:val="00F81172"/>
    <w:rsid w:val="00F811C2"/>
    <w:rsid w:val="00F8123F"/>
    <w:rsid w:val="00F81477"/>
    <w:rsid w:val="00F818AB"/>
    <w:rsid w:val="00F8210C"/>
    <w:rsid w:val="00F826D7"/>
    <w:rsid w:val="00F83B03"/>
    <w:rsid w:val="00F83DB5"/>
    <w:rsid w:val="00F850B1"/>
    <w:rsid w:val="00F852E0"/>
    <w:rsid w:val="00F85579"/>
    <w:rsid w:val="00F85649"/>
    <w:rsid w:val="00F856DA"/>
    <w:rsid w:val="00F85829"/>
    <w:rsid w:val="00F85F39"/>
    <w:rsid w:val="00F86052"/>
    <w:rsid w:val="00F8606D"/>
    <w:rsid w:val="00F8614F"/>
    <w:rsid w:val="00F864AF"/>
    <w:rsid w:val="00F8722A"/>
    <w:rsid w:val="00F9045A"/>
    <w:rsid w:val="00F9054F"/>
    <w:rsid w:val="00F90C95"/>
    <w:rsid w:val="00F90F34"/>
    <w:rsid w:val="00F915C9"/>
    <w:rsid w:val="00F916B0"/>
    <w:rsid w:val="00F92036"/>
    <w:rsid w:val="00F9208B"/>
    <w:rsid w:val="00F923F8"/>
    <w:rsid w:val="00F92B8E"/>
    <w:rsid w:val="00F93417"/>
    <w:rsid w:val="00F93460"/>
    <w:rsid w:val="00F9349F"/>
    <w:rsid w:val="00F94DB8"/>
    <w:rsid w:val="00F950D1"/>
    <w:rsid w:val="00F95133"/>
    <w:rsid w:val="00F96184"/>
    <w:rsid w:val="00F96BED"/>
    <w:rsid w:val="00F97669"/>
    <w:rsid w:val="00F97ACA"/>
    <w:rsid w:val="00FA014B"/>
    <w:rsid w:val="00FA0B64"/>
    <w:rsid w:val="00FA0D34"/>
    <w:rsid w:val="00FA135B"/>
    <w:rsid w:val="00FA18E6"/>
    <w:rsid w:val="00FA205E"/>
    <w:rsid w:val="00FA2B02"/>
    <w:rsid w:val="00FA4CD1"/>
    <w:rsid w:val="00FA51D2"/>
    <w:rsid w:val="00FA53D4"/>
    <w:rsid w:val="00FA54A2"/>
    <w:rsid w:val="00FA59C2"/>
    <w:rsid w:val="00FA5DDF"/>
    <w:rsid w:val="00FA60A3"/>
    <w:rsid w:val="00FA6137"/>
    <w:rsid w:val="00FA642B"/>
    <w:rsid w:val="00FA68B3"/>
    <w:rsid w:val="00FA6CBA"/>
    <w:rsid w:val="00FA721A"/>
    <w:rsid w:val="00FA7CA9"/>
    <w:rsid w:val="00FA7CC6"/>
    <w:rsid w:val="00FB0847"/>
    <w:rsid w:val="00FB0AFE"/>
    <w:rsid w:val="00FB17C0"/>
    <w:rsid w:val="00FB17EB"/>
    <w:rsid w:val="00FB27B2"/>
    <w:rsid w:val="00FB28F0"/>
    <w:rsid w:val="00FB28FA"/>
    <w:rsid w:val="00FB35F7"/>
    <w:rsid w:val="00FB3C9B"/>
    <w:rsid w:val="00FB44E5"/>
    <w:rsid w:val="00FB45D6"/>
    <w:rsid w:val="00FB46AF"/>
    <w:rsid w:val="00FB475A"/>
    <w:rsid w:val="00FB5657"/>
    <w:rsid w:val="00FB5B8C"/>
    <w:rsid w:val="00FB629D"/>
    <w:rsid w:val="00FB6390"/>
    <w:rsid w:val="00FB6552"/>
    <w:rsid w:val="00FB685B"/>
    <w:rsid w:val="00FB6DDB"/>
    <w:rsid w:val="00FB7A97"/>
    <w:rsid w:val="00FB7AB1"/>
    <w:rsid w:val="00FB7FD1"/>
    <w:rsid w:val="00FC0524"/>
    <w:rsid w:val="00FC0756"/>
    <w:rsid w:val="00FC08DB"/>
    <w:rsid w:val="00FC130F"/>
    <w:rsid w:val="00FC22B2"/>
    <w:rsid w:val="00FC2C08"/>
    <w:rsid w:val="00FC2DAA"/>
    <w:rsid w:val="00FC3ABE"/>
    <w:rsid w:val="00FC41A1"/>
    <w:rsid w:val="00FC42E4"/>
    <w:rsid w:val="00FC4362"/>
    <w:rsid w:val="00FC4AA3"/>
    <w:rsid w:val="00FC5425"/>
    <w:rsid w:val="00FC546F"/>
    <w:rsid w:val="00FC54C5"/>
    <w:rsid w:val="00FC633A"/>
    <w:rsid w:val="00FC6C4F"/>
    <w:rsid w:val="00FC6F54"/>
    <w:rsid w:val="00FC7BBA"/>
    <w:rsid w:val="00FD01DC"/>
    <w:rsid w:val="00FD07F7"/>
    <w:rsid w:val="00FD0807"/>
    <w:rsid w:val="00FD0D6F"/>
    <w:rsid w:val="00FD124D"/>
    <w:rsid w:val="00FD1663"/>
    <w:rsid w:val="00FD16F6"/>
    <w:rsid w:val="00FD1790"/>
    <w:rsid w:val="00FD1C90"/>
    <w:rsid w:val="00FD2421"/>
    <w:rsid w:val="00FD3479"/>
    <w:rsid w:val="00FD349A"/>
    <w:rsid w:val="00FD379B"/>
    <w:rsid w:val="00FD3F5C"/>
    <w:rsid w:val="00FD45B2"/>
    <w:rsid w:val="00FD5109"/>
    <w:rsid w:val="00FD5492"/>
    <w:rsid w:val="00FD623B"/>
    <w:rsid w:val="00FD660B"/>
    <w:rsid w:val="00FE106F"/>
    <w:rsid w:val="00FE1158"/>
    <w:rsid w:val="00FE12FB"/>
    <w:rsid w:val="00FE1534"/>
    <w:rsid w:val="00FE19B6"/>
    <w:rsid w:val="00FE202A"/>
    <w:rsid w:val="00FE2217"/>
    <w:rsid w:val="00FE246A"/>
    <w:rsid w:val="00FE2487"/>
    <w:rsid w:val="00FE2CCD"/>
    <w:rsid w:val="00FE2F60"/>
    <w:rsid w:val="00FE3B7A"/>
    <w:rsid w:val="00FE3F3B"/>
    <w:rsid w:val="00FE5BC0"/>
    <w:rsid w:val="00FE5E53"/>
    <w:rsid w:val="00FE5F0B"/>
    <w:rsid w:val="00FE65DC"/>
    <w:rsid w:val="00FE6C8C"/>
    <w:rsid w:val="00FE6E56"/>
    <w:rsid w:val="00FE765E"/>
    <w:rsid w:val="00FE7661"/>
    <w:rsid w:val="00FE771A"/>
    <w:rsid w:val="00FF00B0"/>
    <w:rsid w:val="00FF040B"/>
    <w:rsid w:val="00FF086D"/>
    <w:rsid w:val="00FF0B9E"/>
    <w:rsid w:val="00FF0DA0"/>
    <w:rsid w:val="00FF100D"/>
    <w:rsid w:val="00FF142B"/>
    <w:rsid w:val="00FF1A6F"/>
    <w:rsid w:val="00FF1BD4"/>
    <w:rsid w:val="00FF26A1"/>
    <w:rsid w:val="00FF33B3"/>
    <w:rsid w:val="00FF367F"/>
    <w:rsid w:val="00FF4514"/>
    <w:rsid w:val="00FF4D9F"/>
    <w:rsid w:val="00FF4E47"/>
    <w:rsid w:val="00FF4EB5"/>
    <w:rsid w:val="00FF5D17"/>
    <w:rsid w:val="00FF602D"/>
    <w:rsid w:val="00FF60E2"/>
    <w:rsid w:val="00FF6A91"/>
    <w:rsid w:val="00FF756F"/>
    <w:rsid w:val="00FF7668"/>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1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8BA"/>
    <w:pPr>
      <w:widowControl w:val="0"/>
      <w:autoSpaceDE w:val="0"/>
      <w:autoSpaceDN w:val="0"/>
      <w:adjustRightInd w:val="0"/>
    </w:pPr>
    <w:rPr>
      <w:sz w:val="26"/>
      <w:szCs w:val="24"/>
    </w:rPr>
  </w:style>
  <w:style w:type="paragraph" w:styleId="Heading1">
    <w:name w:val="heading 1"/>
    <w:basedOn w:val="Normal"/>
    <w:next w:val="FERCparanumber"/>
    <w:qFormat/>
    <w:rsid w:val="00585FE5"/>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qFormat/>
    <w:rsid w:val="00585FE5"/>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qFormat/>
    <w:rsid w:val="00585FE5"/>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qFormat/>
    <w:rsid w:val="00585FE5"/>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qFormat/>
    <w:rsid w:val="00585FE5"/>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qFormat/>
    <w:rsid w:val="00585FE5"/>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qFormat/>
    <w:rsid w:val="00585FE5"/>
    <w:pPr>
      <w:keepNext/>
      <w:keepLines/>
      <w:widowControl/>
      <w:numPr>
        <w:ilvl w:val="6"/>
        <w:numId w:val="12"/>
      </w:numPr>
      <w:spacing w:after="260"/>
      <w:outlineLvl w:val="6"/>
    </w:pPr>
    <w:rPr>
      <w:b/>
      <w:kern w:val="32"/>
      <w:u w:val="single"/>
    </w:rPr>
  </w:style>
  <w:style w:type="paragraph" w:styleId="Heading8">
    <w:name w:val="heading 8"/>
    <w:basedOn w:val="Normal"/>
    <w:next w:val="FERCparanumber"/>
    <w:qFormat/>
    <w:rsid w:val="00585FE5"/>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qFormat/>
    <w:rsid w:val="00585FE5"/>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2FB9"/>
    <w:rPr>
      <w:rFonts w:ascii="Tahoma" w:hAnsi="Tahoma" w:cs="Tahoma"/>
      <w:sz w:val="16"/>
      <w:szCs w:val="16"/>
    </w:rPr>
  </w:style>
  <w:style w:type="paragraph" w:customStyle="1" w:styleId="BlockIndent">
    <w:name w:val="Block Indent"/>
    <w:basedOn w:val="Normal"/>
    <w:next w:val="Normal"/>
    <w:rsid w:val="00D02FB9"/>
    <w:pPr>
      <w:widowControl/>
      <w:spacing w:after="240"/>
      <w:ind w:left="1440" w:right="1440"/>
    </w:pPr>
  </w:style>
  <w:style w:type="paragraph" w:styleId="BlockText">
    <w:name w:val="Block Text"/>
    <w:basedOn w:val="Normal"/>
    <w:rsid w:val="00D02FB9"/>
    <w:pPr>
      <w:spacing w:after="120"/>
      <w:ind w:left="1440" w:right="1440"/>
    </w:pPr>
  </w:style>
  <w:style w:type="paragraph" w:styleId="FootnoteText">
    <w:name w:val="footnote text"/>
    <w:basedOn w:val="Normal"/>
    <w:rsid w:val="00D02FB9"/>
    <w:pPr>
      <w:spacing w:after="260"/>
      <w:ind w:firstLine="720"/>
    </w:pPr>
    <w:rPr>
      <w:szCs w:val="20"/>
    </w:rPr>
  </w:style>
  <w:style w:type="paragraph" w:customStyle="1" w:styleId="BodyFootnote">
    <w:name w:val="Body Footnote"/>
    <w:basedOn w:val="FootnoteText"/>
    <w:rsid w:val="00D02FB9"/>
    <w:rPr>
      <w:szCs w:val="26"/>
    </w:rPr>
  </w:style>
  <w:style w:type="paragraph" w:styleId="BodyText">
    <w:name w:val="Body Text"/>
    <w:basedOn w:val="Normal"/>
    <w:rsid w:val="00D02FB9"/>
    <w:pPr>
      <w:spacing w:after="120"/>
    </w:pPr>
  </w:style>
  <w:style w:type="paragraph" w:styleId="BodyText2">
    <w:name w:val="Body Text 2"/>
    <w:basedOn w:val="Normal"/>
    <w:rsid w:val="00D02FB9"/>
    <w:pPr>
      <w:spacing w:after="120" w:line="480" w:lineRule="auto"/>
    </w:pPr>
  </w:style>
  <w:style w:type="paragraph" w:styleId="BodyText3">
    <w:name w:val="Body Text 3"/>
    <w:basedOn w:val="Normal"/>
    <w:rsid w:val="00D02FB9"/>
    <w:pPr>
      <w:spacing w:after="120"/>
    </w:pPr>
    <w:rPr>
      <w:sz w:val="16"/>
      <w:szCs w:val="16"/>
    </w:rPr>
  </w:style>
  <w:style w:type="paragraph" w:styleId="BodyTextFirstIndent">
    <w:name w:val="Body Text First Indent"/>
    <w:basedOn w:val="BodyText"/>
    <w:rsid w:val="00D02FB9"/>
    <w:pPr>
      <w:ind w:firstLine="210"/>
    </w:pPr>
  </w:style>
  <w:style w:type="paragraph" w:styleId="BodyTextIndent">
    <w:name w:val="Body Text Indent"/>
    <w:basedOn w:val="Normal"/>
    <w:rsid w:val="00D02FB9"/>
    <w:pPr>
      <w:spacing w:after="120"/>
      <w:ind w:left="360"/>
    </w:pPr>
  </w:style>
  <w:style w:type="paragraph" w:styleId="BodyTextFirstIndent2">
    <w:name w:val="Body Text First Indent 2"/>
    <w:basedOn w:val="BodyTextIndent"/>
    <w:rsid w:val="00D02FB9"/>
    <w:pPr>
      <w:ind w:firstLine="210"/>
    </w:pPr>
  </w:style>
  <w:style w:type="paragraph" w:styleId="BodyTextIndent2">
    <w:name w:val="Body Text Indent 2"/>
    <w:basedOn w:val="Normal"/>
    <w:rsid w:val="00D02FB9"/>
    <w:pPr>
      <w:spacing w:after="120" w:line="480" w:lineRule="auto"/>
      <w:ind w:left="360"/>
    </w:pPr>
  </w:style>
  <w:style w:type="paragraph" w:styleId="BodyTextIndent3">
    <w:name w:val="Body Text Indent 3"/>
    <w:basedOn w:val="Normal"/>
    <w:rsid w:val="00D02FB9"/>
    <w:pPr>
      <w:spacing w:after="120"/>
      <w:ind w:left="360"/>
    </w:pPr>
    <w:rPr>
      <w:sz w:val="16"/>
      <w:szCs w:val="16"/>
    </w:rPr>
  </w:style>
  <w:style w:type="paragraph" w:styleId="Caption">
    <w:name w:val="caption"/>
    <w:basedOn w:val="Normal"/>
    <w:next w:val="Normal"/>
    <w:qFormat/>
    <w:rsid w:val="00D02FB9"/>
    <w:pPr>
      <w:spacing w:before="120" w:after="120"/>
    </w:pPr>
    <w:rPr>
      <w:b/>
      <w:bCs/>
      <w:sz w:val="20"/>
      <w:szCs w:val="20"/>
    </w:rPr>
  </w:style>
  <w:style w:type="paragraph" w:styleId="Closing">
    <w:name w:val="Closing"/>
    <w:basedOn w:val="Normal"/>
    <w:rsid w:val="00D02FB9"/>
    <w:pPr>
      <w:ind w:left="4320"/>
    </w:pPr>
  </w:style>
  <w:style w:type="paragraph" w:styleId="CommentText">
    <w:name w:val="annotation text"/>
    <w:basedOn w:val="Normal"/>
    <w:semiHidden/>
    <w:rsid w:val="00D02FB9"/>
    <w:rPr>
      <w:sz w:val="20"/>
      <w:szCs w:val="20"/>
    </w:rPr>
  </w:style>
  <w:style w:type="paragraph" w:styleId="CommentSubject">
    <w:name w:val="annotation subject"/>
    <w:basedOn w:val="CommentText"/>
    <w:next w:val="CommentText"/>
    <w:semiHidden/>
    <w:rsid w:val="00D02FB9"/>
    <w:rPr>
      <w:b/>
      <w:bCs/>
    </w:rPr>
  </w:style>
  <w:style w:type="paragraph" w:styleId="Date">
    <w:name w:val="Date"/>
    <w:basedOn w:val="Normal"/>
    <w:next w:val="Normal"/>
    <w:rsid w:val="00D02FB9"/>
  </w:style>
  <w:style w:type="paragraph" w:styleId="DocumentMap">
    <w:name w:val="Document Map"/>
    <w:basedOn w:val="Normal"/>
    <w:semiHidden/>
    <w:rsid w:val="00D02FB9"/>
    <w:pPr>
      <w:shd w:val="clear" w:color="auto" w:fill="000080"/>
    </w:pPr>
    <w:rPr>
      <w:rFonts w:ascii="Tahoma" w:hAnsi="Tahoma" w:cs="Tahoma"/>
    </w:rPr>
  </w:style>
  <w:style w:type="paragraph" w:styleId="E-mailSignature">
    <w:name w:val="E-mail Signature"/>
    <w:basedOn w:val="Normal"/>
    <w:rsid w:val="00D02FB9"/>
  </w:style>
  <w:style w:type="paragraph" w:styleId="EndnoteText">
    <w:name w:val="endnote text"/>
    <w:basedOn w:val="Normal"/>
    <w:semiHidden/>
    <w:rsid w:val="00D02FB9"/>
    <w:rPr>
      <w:sz w:val="20"/>
      <w:szCs w:val="20"/>
    </w:rPr>
  </w:style>
  <w:style w:type="paragraph" w:styleId="EnvelopeAddress">
    <w:name w:val="envelope address"/>
    <w:basedOn w:val="Normal"/>
    <w:rsid w:val="00D02FB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D02FB9"/>
    <w:rPr>
      <w:rFonts w:ascii="Arial" w:hAnsi="Arial" w:cs="Arial"/>
      <w:sz w:val="20"/>
      <w:szCs w:val="20"/>
    </w:rPr>
  </w:style>
  <w:style w:type="paragraph" w:customStyle="1" w:styleId="FERCparanumber">
    <w:name w:val="FERC paranumber"/>
    <w:basedOn w:val="Normal"/>
    <w:rsid w:val="00DB4AEE"/>
    <w:pPr>
      <w:widowControl/>
      <w:numPr>
        <w:numId w:val="1"/>
      </w:numPr>
      <w:spacing w:line="480" w:lineRule="auto"/>
    </w:pPr>
  </w:style>
  <w:style w:type="paragraph" w:styleId="Footer">
    <w:name w:val="footer"/>
    <w:basedOn w:val="Normal"/>
    <w:rsid w:val="00D02FB9"/>
    <w:pPr>
      <w:tabs>
        <w:tab w:val="center" w:pos="4320"/>
        <w:tab w:val="right" w:pos="8640"/>
      </w:tabs>
    </w:pPr>
  </w:style>
  <w:style w:type="character" w:styleId="FootnoteReference">
    <w:name w:val="footnote reference"/>
    <w:rsid w:val="00D02FB9"/>
    <w:rPr>
      <w:rFonts w:ascii="Times New Roman" w:hAnsi="Times New Roman" w:cs="Times New Roman"/>
      <w:b/>
      <w:dstrike w:val="0"/>
      <w:sz w:val="26"/>
      <w:szCs w:val="26"/>
      <w:vertAlign w:val="superscript"/>
    </w:rPr>
  </w:style>
  <w:style w:type="paragraph" w:styleId="Header">
    <w:name w:val="header"/>
    <w:basedOn w:val="Normal"/>
    <w:rsid w:val="00D02FB9"/>
    <w:pPr>
      <w:tabs>
        <w:tab w:val="right" w:pos="8640"/>
      </w:tabs>
      <w:spacing w:after="120"/>
    </w:pPr>
  </w:style>
  <w:style w:type="paragraph" w:styleId="HTMLAddress">
    <w:name w:val="HTML Address"/>
    <w:basedOn w:val="Normal"/>
    <w:rsid w:val="00D02FB9"/>
    <w:rPr>
      <w:i/>
      <w:iCs/>
    </w:rPr>
  </w:style>
  <w:style w:type="paragraph" w:styleId="HTMLPreformatted">
    <w:name w:val="HTML Preformatted"/>
    <w:basedOn w:val="Normal"/>
    <w:rsid w:val="00D02FB9"/>
    <w:rPr>
      <w:rFonts w:ascii="Courier New" w:hAnsi="Courier New" w:cs="Courier New"/>
      <w:sz w:val="20"/>
      <w:szCs w:val="20"/>
    </w:rPr>
  </w:style>
  <w:style w:type="paragraph" w:styleId="Index1">
    <w:name w:val="index 1"/>
    <w:basedOn w:val="Normal"/>
    <w:next w:val="Normal"/>
    <w:semiHidden/>
    <w:rsid w:val="00D02FB9"/>
    <w:pPr>
      <w:ind w:left="260" w:hanging="260"/>
    </w:pPr>
  </w:style>
  <w:style w:type="paragraph" w:styleId="Index2">
    <w:name w:val="index 2"/>
    <w:basedOn w:val="Normal"/>
    <w:next w:val="Normal"/>
    <w:semiHidden/>
    <w:rsid w:val="00D02FB9"/>
    <w:pPr>
      <w:ind w:left="520" w:hanging="260"/>
    </w:pPr>
  </w:style>
  <w:style w:type="paragraph" w:styleId="Index3">
    <w:name w:val="index 3"/>
    <w:basedOn w:val="Normal"/>
    <w:next w:val="Normal"/>
    <w:semiHidden/>
    <w:rsid w:val="00D02FB9"/>
    <w:pPr>
      <w:ind w:left="780" w:hanging="260"/>
    </w:pPr>
  </w:style>
  <w:style w:type="paragraph" w:styleId="Index4">
    <w:name w:val="index 4"/>
    <w:basedOn w:val="Normal"/>
    <w:next w:val="Normal"/>
    <w:semiHidden/>
    <w:rsid w:val="00D02FB9"/>
    <w:pPr>
      <w:ind w:left="1040" w:hanging="260"/>
    </w:pPr>
  </w:style>
  <w:style w:type="paragraph" w:styleId="Index5">
    <w:name w:val="index 5"/>
    <w:basedOn w:val="Normal"/>
    <w:next w:val="Normal"/>
    <w:semiHidden/>
    <w:rsid w:val="00D02FB9"/>
    <w:pPr>
      <w:ind w:left="1300" w:hanging="260"/>
    </w:pPr>
  </w:style>
  <w:style w:type="paragraph" w:styleId="Index6">
    <w:name w:val="index 6"/>
    <w:basedOn w:val="Normal"/>
    <w:next w:val="Normal"/>
    <w:semiHidden/>
    <w:rsid w:val="00D02FB9"/>
    <w:pPr>
      <w:ind w:left="1560" w:hanging="260"/>
    </w:pPr>
  </w:style>
  <w:style w:type="paragraph" w:styleId="Index7">
    <w:name w:val="index 7"/>
    <w:basedOn w:val="Normal"/>
    <w:next w:val="Normal"/>
    <w:semiHidden/>
    <w:rsid w:val="00D02FB9"/>
    <w:pPr>
      <w:ind w:left="1820" w:hanging="260"/>
    </w:pPr>
  </w:style>
  <w:style w:type="paragraph" w:styleId="Index8">
    <w:name w:val="index 8"/>
    <w:basedOn w:val="Normal"/>
    <w:next w:val="Normal"/>
    <w:semiHidden/>
    <w:rsid w:val="00D02FB9"/>
    <w:pPr>
      <w:ind w:left="2080" w:hanging="260"/>
    </w:pPr>
  </w:style>
  <w:style w:type="paragraph" w:styleId="Index9">
    <w:name w:val="index 9"/>
    <w:basedOn w:val="Normal"/>
    <w:next w:val="Normal"/>
    <w:semiHidden/>
    <w:rsid w:val="00D02FB9"/>
    <w:pPr>
      <w:ind w:left="2340" w:hanging="260"/>
    </w:pPr>
  </w:style>
  <w:style w:type="paragraph" w:styleId="IndexHeading">
    <w:name w:val="index heading"/>
    <w:basedOn w:val="Normal"/>
    <w:next w:val="Index1"/>
    <w:semiHidden/>
    <w:rsid w:val="00D02FB9"/>
    <w:rPr>
      <w:rFonts w:ascii="Arial" w:hAnsi="Arial" w:cs="Arial"/>
      <w:b/>
      <w:bCs/>
    </w:rPr>
  </w:style>
  <w:style w:type="paragraph" w:styleId="List">
    <w:name w:val="List"/>
    <w:basedOn w:val="Normal"/>
    <w:rsid w:val="00D02FB9"/>
    <w:pPr>
      <w:ind w:left="360" w:hanging="360"/>
    </w:pPr>
  </w:style>
  <w:style w:type="paragraph" w:styleId="List2">
    <w:name w:val="List 2"/>
    <w:basedOn w:val="Normal"/>
    <w:rsid w:val="00D02FB9"/>
    <w:pPr>
      <w:ind w:left="720" w:hanging="360"/>
    </w:pPr>
  </w:style>
  <w:style w:type="paragraph" w:styleId="List3">
    <w:name w:val="List 3"/>
    <w:basedOn w:val="Normal"/>
    <w:rsid w:val="00D02FB9"/>
    <w:pPr>
      <w:ind w:left="1080" w:hanging="360"/>
    </w:pPr>
  </w:style>
  <w:style w:type="paragraph" w:styleId="List4">
    <w:name w:val="List 4"/>
    <w:basedOn w:val="Normal"/>
    <w:rsid w:val="00D02FB9"/>
    <w:pPr>
      <w:ind w:left="1440" w:hanging="360"/>
    </w:pPr>
  </w:style>
  <w:style w:type="paragraph" w:styleId="List5">
    <w:name w:val="List 5"/>
    <w:basedOn w:val="Normal"/>
    <w:rsid w:val="00D02FB9"/>
    <w:pPr>
      <w:ind w:left="1800" w:hanging="360"/>
    </w:pPr>
  </w:style>
  <w:style w:type="paragraph" w:styleId="ListBullet">
    <w:name w:val="List Bullet"/>
    <w:basedOn w:val="Normal"/>
    <w:rsid w:val="00D02FB9"/>
    <w:pPr>
      <w:numPr>
        <w:numId w:val="2"/>
      </w:numPr>
    </w:pPr>
  </w:style>
  <w:style w:type="paragraph" w:styleId="ListBullet2">
    <w:name w:val="List Bullet 2"/>
    <w:basedOn w:val="Normal"/>
    <w:rsid w:val="00D02FB9"/>
    <w:pPr>
      <w:numPr>
        <w:numId w:val="3"/>
      </w:numPr>
    </w:pPr>
  </w:style>
  <w:style w:type="paragraph" w:styleId="ListBullet3">
    <w:name w:val="List Bullet 3"/>
    <w:basedOn w:val="Normal"/>
    <w:rsid w:val="00D02FB9"/>
    <w:pPr>
      <w:numPr>
        <w:numId w:val="4"/>
      </w:numPr>
    </w:pPr>
  </w:style>
  <w:style w:type="paragraph" w:styleId="ListBullet4">
    <w:name w:val="List Bullet 4"/>
    <w:basedOn w:val="Normal"/>
    <w:rsid w:val="00D02FB9"/>
    <w:pPr>
      <w:numPr>
        <w:numId w:val="5"/>
      </w:numPr>
    </w:pPr>
  </w:style>
  <w:style w:type="paragraph" w:styleId="ListBullet5">
    <w:name w:val="List Bullet 5"/>
    <w:basedOn w:val="Normal"/>
    <w:rsid w:val="00D02FB9"/>
    <w:pPr>
      <w:numPr>
        <w:numId w:val="6"/>
      </w:numPr>
    </w:pPr>
  </w:style>
  <w:style w:type="paragraph" w:styleId="ListContinue">
    <w:name w:val="List Continue"/>
    <w:basedOn w:val="Normal"/>
    <w:semiHidden/>
    <w:rsid w:val="00D02FB9"/>
    <w:pPr>
      <w:widowControl/>
      <w:autoSpaceDE/>
      <w:autoSpaceDN/>
      <w:adjustRightInd/>
      <w:spacing w:after="120"/>
      <w:ind w:left="360"/>
    </w:pPr>
  </w:style>
  <w:style w:type="paragraph" w:styleId="ListContinue2">
    <w:name w:val="List Continue 2"/>
    <w:basedOn w:val="Normal"/>
    <w:rsid w:val="00D02FB9"/>
    <w:pPr>
      <w:spacing w:after="120"/>
      <w:ind w:left="720"/>
    </w:pPr>
  </w:style>
  <w:style w:type="paragraph" w:styleId="ListContinue3">
    <w:name w:val="List Continue 3"/>
    <w:basedOn w:val="Normal"/>
    <w:rsid w:val="00D02FB9"/>
    <w:pPr>
      <w:spacing w:after="120"/>
      <w:ind w:left="1080"/>
    </w:pPr>
  </w:style>
  <w:style w:type="paragraph" w:styleId="ListContinue4">
    <w:name w:val="List Continue 4"/>
    <w:basedOn w:val="Normal"/>
    <w:rsid w:val="00D02FB9"/>
    <w:pPr>
      <w:spacing w:after="120"/>
      <w:ind w:left="1440"/>
    </w:pPr>
  </w:style>
  <w:style w:type="paragraph" w:styleId="ListContinue5">
    <w:name w:val="List Continue 5"/>
    <w:basedOn w:val="Normal"/>
    <w:rsid w:val="00D02FB9"/>
    <w:pPr>
      <w:spacing w:after="120"/>
      <w:ind w:left="1800"/>
    </w:pPr>
  </w:style>
  <w:style w:type="paragraph" w:styleId="ListNumber">
    <w:name w:val="List Number"/>
    <w:basedOn w:val="Normal"/>
    <w:rsid w:val="00D02FB9"/>
    <w:pPr>
      <w:numPr>
        <w:numId w:val="7"/>
      </w:numPr>
    </w:pPr>
  </w:style>
  <w:style w:type="paragraph" w:styleId="ListNumber2">
    <w:name w:val="List Number 2"/>
    <w:basedOn w:val="Normal"/>
    <w:rsid w:val="00D02FB9"/>
    <w:pPr>
      <w:numPr>
        <w:numId w:val="8"/>
      </w:numPr>
    </w:pPr>
  </w:style>
  <w:style w:type="paragraph" w:styleId="ListNumber3">
    <w:name w:val="List Number 3"/>
    <w:basedOn w:val="Normal"/>
    <w:rsid w:val="00D02FB9"/>
    <w:pPr>
      <w:numPr>
        <w:numId w:val="9"/>
      </w:numPr>
    </w:pPr>
  </w:style>
  <w:style w:type="paragraph" w:styleId="ListNumber4">
    <w:name w:val="List Number 4"/>
    <w:basedOn w:val="Normal"/>
    <w:rsid w:val="00D02FB9"/>
    <w:pPr>
      <w:numPr>
        <w:numId w:val="10"/>
      </w:numPr>
    </w:pPr>
  </w:style>
  <w:style w:type="paragraph" w:styleId="ListNumber5">
    <w:name w:val="List Number 5"/>
    <w:basedOn w:val="Normal"/>
    <w:rsid w:val="00D02FB9"/>
    <w:pPr>
      <w:numPr>
        <w:numId w:val="11"/>
      </w:numPr>
    </w:pPr>
  </w:style>
  <w:style w:type="paragraph" w:styleId="MacroText">
    <w:name w:val="macro"/>
    <w:semiHidden/>
    <w:rsid w:val="00D02FB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D02F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customStyle="1" w:styleId="myTOC1">
    <w:name w:val="myTOC 1"/>
    <w:basedOn w:val="Normal"/>
    <w:next w:val="Normal"/>
    <w:rsid w:val="00D02FB9"/>
    <w:pPr>
      <w:tabs>
        <w:tab w:val="left" w:leader="dot" w:pos="9648"/>
      </w:tabs>
      <w:spacing w:before="120"/>
    </w:pPr>
    <w:rPr>
      <w:szCs w:val="26"/>
    </w:rPr>
  </w:style>
  <w:style w:type="paragraph" w:customStyle="1" w:styleId="myTOC2">
    <w:name w:val="myTOC 2"/>
    <w:basedOn w:val="Normal"/>
    <w:next w:val="Normal"/>
    <w:rsid w:val="00D02FB9"/>
    <w:pPr>
      <w:tabs>
        <w:tab w:val="left" w:leader="dot" w:pos="9648"/>
      </w:tabs>
      <w:ind w:left="288"/>
    </w:pPr>
    <w:rPr>
      <w:szCs w:val="26"/>
    </w:rPr>
  </w:style>
  <w:style w:type="paragraph" w:customStyle="1" w:styleId="myTOC3">
    <w:name w:val="myTOC 3"/>
    <w:basedOn w:val="Normal"/>
    <w:next w:val="Normal"/>
    <w:rsid w:val="00D02FB9"/>
    <w:pPr>
      <w:tabs>
        <w:tab w:val="left" w:leader="dot" w:pos="9648"/>
      </w:tabs>
      <w:ind w:left="576"/>
    </w:pPr>
    <w:rPr>
      <w:szCs w:val="26"/>
    </w:rPr>
  </w:style>
  <w:style w:type="paragraph" w:customStyle="1" w:styleId="myTOC4">
    <w:name w:val="myTOC 4"/>
    <w:basedOn w:val="Normal"/>
    <w:next w:val="Normal"/>
    <w:rsid w:val="00D02FB9"/>
    <w:pPr>
      <w:tabs>
        <w:tab w:val="left" w:leader="dot" w:pos="9648"/>
      </w:tabs>
      <w:ind w:left="864"/>
    </w:pPr>
    <w:rPr>
      <w:szCs w:val="26"/>
    </w:rPr>
  </w:style>
  <w:style w:type="paragraph" w:customStyle="1" w:styleId="myTOC5">
    <w:name w:val="myTOC 5"/>
    <w:basedOn w:val="Normal"/>
    <w:next w:val="Normal"/>
    <w:rsid w:val="00D02FB9"/>
    <w:pPr>
      <w:tabs>
        <w:tab w:val="left" w:leader="dot" w:pos="9648"/>
      </w:tabs>
      <w:ind w:left="1152"/>
    </w:pPr>
    <w:rPr>
      <w:szCs w:val="26"/>
    </w:rPr>
  </w:style>
  <w:style w:type="paragraph" w:customStyle="1" w:styleId="myTOC6">
    <w:name w:val="myTOC 6"/>
    <w:basedOn w:val="Normal"/>
    <w:next w:val="Normal"/>
    <w:rsid w:val="00D02FB9"/>
    <w:pPr>
      <w:widowControl/>
      <w:tabs>
        <w:tab w:val="left" w:leader="dot" w:pos="9648"/>
      </w:tabs>
      <w:autoSpaceDE/>
      <w:autoSpaceDN/>
      <w:adjustRightInd/>
      <w:ind w:left="1440"/>
    </w:pPr>
    <w:rPr>
      <w:szCs w:val="26"/>
    </w:rPr>
  </w:style>
  <w:style w:type="paragraph" w:customStyle="1" w:styleId="myTOC7">
    <w:name w:val="myTOC 7"/>
    <w:basedOn w:val="Normal"/>
    <w:next w:val="Normal"/>
    <w:rsid w:val="00D02FB9"/>
    <w:pPr>
      <w:widowControl/>
      <w:tabs>
        <w:tab w:val="left" w:leader="dot" w:pos="9648"/>
      </w:tabs>
      <w:autoSpaceDE/>
      <w:autoSpaceDN/>
      <w:adjustRightInd/>
      <w:ind w:left="1728"/>
    </w:pPr>
    <w:rPr>
      <w:szCs w:val="26"/>
    </w:rPr>
  </w:style>
  <w:style w:type="paragraph" w:customStyle="1" w:styleId="myTOC8">
    <w:name w:val="myTOC 8"/>
    <w:basedOn w:val="Normal"/>
    <w:next w:val="Normal"/>
    <w:rsid w:val="00D02FB9"/>
    <w:pPr>
      <w:widowControl/>
      <w:tabs>
        <w:tab w:val="left" w:leader="dot" w:pos="9648"/>
      </w:tabs>
      <w:autoSpaceDE/>
      <w:autoSpaceDN/>
      <w:adjustRightInd/>
      <w:ind w:left="2016"/>
    </w:pPr>
    <w:rPr>
      <w:szCs w:val="26"/>
    </w:rPr>
  </w:style>
  <w:style w:type="paragraph" w:customStyle="1" w:styleId="myTOC9">
    <w:name w:val="myTOC 9"/>
    <w:basedOn w:val="Normal"/>
    <w:next w:val="Normal"/>
    <w:rsid w:val="00D02FB9"/>
    <w:pPr>
      <w:widowControl/>
      <w:tabs>
        <w:tab w:val="left" w:leader="dot" w:pos="9648"/>
      </w:tabs>
      <w:autoSpaceDE/>
      <w:autoSpaceDN/>
      <w:adjustRightInd/>
      <w:ind w:left="2304"/>
    </w:pPr>
    <w:rPr>
      <w:szCs w:val="26"/>
    </w:rPr>
  </w:style>
  <w:style w:type="paragraph" w:customStyle="1" w:styleId="Non-TOCStyle">
    <w:name w:val="Non-TOC Style"/>
    <w:basedOn w:val="Normal"/>
    <w:next w:val="FERCparanumber"/>
    <w:rsid w:val="00D02FB9"/>
    <w:pPr>
      <w:keepNext/>
      <w:keepLines/>
      <w:widowControl/>
      <w:spacing w:after="260"/>
      <w:jc w:val="center"/>
      <w:outlineLvl w:val="4"/>
    </w:pPr>
    <w:rPr>
      <w:b/>
      <w:szCs w:val="26"/>
      <w:u w:val="single"/>
    </w:rPr>
  </w:style>
  <w:style w:type="paragraph" w:styleId="NormalWeb">
    <w:name w:val="Normal (Web)"/>
    <w:basedOn w:val="Normal"/>
    <w:rsid w:val="00D02FB9"/>
    <w:rPr>
      <w:sz w:val="24"/>
    </w:rPr>
  </w:style>
  <w:style w:type="paragraph" w:styleId="NormalIndent">
    <w:name w:val="Normal Indent"/>
    <w:basedOn w:val="Normal"/>
    <w:rsid w:val="00D02FB9"/>
    <w:pPr>
      <w:ind w:left="720"/>
    </w:pPr>
  </w:style>
  <w:style w:type="paragraph" w:styleId="NoteHeading">
    <w:name w:val="Note Heading"/>
    <w:basedOn w:val="Normal"/>
    <w:next w:val="Normal"/>
    <w:rsid w:val="00D02FB9"/>
  </w:style>
  <w:style w:type="character" w:styleId="PageNumber">
    <w:name w:val="page number"/>
    <w:basedOn w:val="DefaultParagraphFont"/>
    <w:rsid w:val="00D02FB9"/>
  </w:style>
  <w:style w:type="paragraph" w:styleId="PlainText">
    <w:name w:val="Plain Text"/>
    <w:basedOn w:val="Normal"/>
    <w:rsid w:val="00D02FB9"/>
    <w:rPr>
      <w:rFonts w:ascii="Courier New" w:hAnsi="Courier New" w:cs="Courier New"/>
      <w:sz w:val="20"/>
      <w:szCs w:val="20"/>
    </w:rPr>
  </w:style>
  <w:style w:type="paragraph" w:styleId="Salutation">
    <w:name w:val="Salutation"/>
    <w:basedOn w:val="Normal"/>
    <w:next w:val="Normal"/>
    <w:rsid w:val="00D02FB9"/>
  </w:style>
  <w:style w:type="paragraph" w:styleId="Signature">
    <w:name w:val="Signature"/>
    <w:basedOn w:val="Normal"/>
    <w:rsid w:val="00D02FB9"/>
    <w:pPr>
      <w:ind w:left="4320"/>
    </w:pPr>
  </w:style>
  <w:style w:type="paragraph" w:styleId="Subtitle">
    <w:name w:val="Subtitle"/>
    <w:basedOn w:val="Normal"/>
    <w:qFormat/>
    <w:rsid w:val="00D02FB9"/>
    <w:pPr>
      <w:spacing w:after="60"/>
      <w:jc w:val="center"/>
      <w:outlineLvl w:val="1"/>
    </w:pPr>
    <w:rPr>
      <w:rFonts w:ascii="Arial" w:hAnsi="Arial" w:cs="Arial"/>
      <w:sz w:val="24"/>
    </w:rPr>
  </w:style>
  <w:style w:type="table" w:styleId="TableGrid">
    <w:name w:val="Table Grid"/>
    <w:basedOn w:val="TableNormal"/>
    <w:rsid w:val="00D02F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D02FB9"/>
    <w:pPr>
      <w:ind w:left="260" w:hanging="260"/>
    </w:pPr>
  </w:style>
  <w:style w:type="paragraph" w:styleId="TableofFigures">
    <w:name w:val="table of figures"/>
    <w:basedOn w:val="Normal"/>
    <w:next w:val="Normal"/>
    <w:semiHidden/>
    <w:rsid w:val="00D02FB9"/>
    <w:pPr>
      <w:ind w:left="520" w:hanging="520"/>
    </w:pPr>
  </w:style>
  <w:style w:type="paragraph" w:styleId="Title">
    <w:name w:val="Title"/>
    <w:basedOn w:val="Normal"/>
    <w:qFormat/>
    <w:rsid w:val="00D02F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02FB9"/>
    <w:pPr>
      <w:spacing w:before="120"/>
    </w:pPr>
    <w:rPr>
      <w:rFonts w:ascii="Arial" w:hAnsi="Arial" w:cs="Arial"/>
      <w:b/>
      <w:bCs/>
      <w:sz w:val="24"/>
    </w:rPr>
  </w:style>
  <w:style w:type="paragraph" w:styleId="TOC1">
    <w:name w:val="toc 1"/>
    <w:basedOn w:val="Normal"/>
    <w:next w:val="Normal"/>
    <w:uiPriority w:val="39"/>
    <w:rsid w:val="00D02FB9"/>
  </w:style>
  <w:style w:type="paragraph" w:styleId="TOC2">
    <w:name w:val="toc 2"/>
    <w:basedOn w:val="Normal"/>
    <w:next w:val="Normal"/>
    <w:semiHidden/>
    <w:rsid w:val="00D02FB9"/>
    <w:pPr>
      <w:ind w:left="260"/>
    </w:pPr>
  </w:style>
  <w:style w:type="paragraph" w:styleId="TOC3">
    <w:name w:val="toc 3"/>
    <w:basedOn w:val="Normal"/>
    <w:next w:val="Normal"/>
    <w:uiPriority w:val="39"/>
    <w:rsid w:val="00D02FB9"/>
    <w:pPr>
      <w:ind w:left="520"/>
    </w:pPr>
  </w:style>
  <w:style w:type="paragraph" w:styleId="TOC4">
    <w:name w:val="toc 4"/>
    <w:basedOn w:val="Normal"/>
    <w:next w:val="Normal"/>
    <w:semiHidden/>
    <w:rsid w:val="00D02FB9"/>
    <w:pPr>
      <w:ind w:left="780"/>
    </w:pPr>
  </w:style>
  <w:style w:type="paragraph" w:styleId="TOC5">
    <w:name w:val="toc 5"/>
    <w:basedOn w:val="Normal"/>
    <w:next w:val="Normal"/>
    <w:semiHidden/>
    <w:rsid w:val="00D02FB9"/>
    <w:pPr>
      <w:ind w:left="1040"/>
    </w:pPr>
  </w:style>
  <w:style w:type="paragraph" w:styleId="TOC6">
    <w:name w:val="toc 6"/>
    <w:basedOn w:val="Normal"/>
    <w:next w:val="Normal"/>
    <w:semiHidden/>
    <w:rsid w:val="00D02FB9"/>
    <w:pPr>
      <w:ind w:left="1300"/>
    </w:pPr>
  </w:style>
  <w:style w:type="paragraph" w:styleId="TOC7">
    <w:name w:val="toc 7"/>
    <w:basedOn w:val="Normal"/>
    <w:next w:val="Normal"/>
    <w:semiHidden/>
    <w:rsid w:val="00D02FB9"/>
    <w:pPr>
      <w:ind w:left="1560"/>
    </w:pPr>
  </w:style>
  <w:style w:type="paragraph" w:styleId="TOC8">
    <w:name w:val="toc 8"/>
    <w:basedOn w:val="Normal"/>
    <w:next w:val="Normal"/>
    <w:semiHidden/>
    <w:rsid w:val="00D02FB9"/>
    <w:pPr>
      <w:ind w:left="1820"/>
    </w:pPr>
  </w:style>
  <w:style w:type="paragraph" w:styleId="TOC9">
    <w:name w:val="toc 9"/>
    <w:basedOn w:val="Normal"/>
    <w:next w:val="Normal"/>
    <w:semiHidden/>
    <w:rsid w:val="00D02FB9"/>
    <w:pPr>
      <w:ind w:left="2080"/>
    </w:pPr>
  </w:style>
  <w:style w:type="character" w:styleId="CommentReference">
    <w:name w:val="annotation reference"/>
    <w:semiHidden/>
    <w:rsid w:val="00E5742F"/>
    <w:rPr>
      <w:sz w:val="16"/>
      <w:szCs w:val="16"/>
    </w:rPr>
  </w:style>
  <w:style w:type="character" w:styleId="Hyperlink">
    <w:name w:val="Hyperlink"/>
    <w:uiPriority w:val="99"/>
    <w:rsid w:val="00874552"/>
    <w:rPr>
      <w:color w:val="0000FF"/>
      <w:u w:val="single"/>
    </w:rPr>
  </w:style>
  <w:style w:type="character" w:customStyle="1" w:styleId="a">
    <w:rsid w:val="00B45CE9"/>
    <w:rPr>
      <w:sz w:val="26"/>
    </w:rPr>
  </w:style>
  <w:style w:type="paragraph" w:customStyle="1" w:styleId="Bibliography1">
    <w:name w:val="Bibliography1"/>
    <w:basedOn w:val="Normal"/>
    <w:next w:val="Normal"/>
    <w:uiPriority w:val="37"/>
    <w:semiHidden/>
    <w:unhideWhenUsed/>
    <w:rsid w:val="001350B9"/>
  </w:style>
  <w:style w:type="paragraph" w:customStyle="1" w:styleId="MediumGrid3-Accent21">
    <w:name w:val="Medium Grid 3 - Accent 21"/>
    <w:basedOn w:val="Normal"/>
    <w:next w:val="Normal"/>
    <w:link w:val="MediumGrid3-Accent2Char"/>
    <w:uiPriority w:val="30"/>
    <w:qFormat/>
    <w:rsid w:val="001350B9"/>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1350B9"/>
    <w:rPr>
      <w:b/>
      <w:bCs/>
      <w:i/>
      <w:iCs/>
      <w:color w:val="4F81BD"/>
      <w:sz w:val="26"/>
      <w:szCs w:val="24"/>
    </w:rPr>
  </w:style>
  <w:style w:type="paragraph" w:customStyle="1" w:styleId="MediumGrid1-Accent21">
    <w:name w:val="Medium Grid 1 - Accent 21"/>
    <w:basedOn w:val="Normal"/>
    <w:uiPriority w:val="34"/>
    <w:qFormat/>
    <w:rsid w:val="001350B9"/>
    <w:pPr>
      <w:ind w:left="720"/>
    </w:pPr>
  </w:style>
  <w:style w:type="paragraph" w:customStyle="1" w:styleId="MediumShading1-Accent11">
    <w:name w:val="Medium Shading 1 - Accent 11"/>
    <w:uiPriority w:val="1"/>
    <w:qFormat/>
    <w:rsid w:val="001350B9"/>
    <w:pPr>
      <w:widowControl w:val="0"/>
      <w:autoSpaceDE w:val="0"/>
      <w:autoSpaceDN w:val="0"/>
      <w:adjustRightInd w:val="0"/>
    </w:pPr>
    <w:rPr>
      <w:sz w:val="26"/>
      <w:szCs w:val="24"/>
    </w:rPr>
  </w:style>
  <w:style w:type="paragraph" w:customStyle="1" w:styleId="MediumGrid2-Accent21">
    <w:name w:val="Medium Grid 2 - Accent 21"/>
    <w:basedOn w:val="Normal"/>
    <w:next w:val="Normal"/>
    <w:link w:val="MediumGrid2-Accent2Char"/>
    <w:uiPriority w:val="29"/>
    <w:qFormat/>
    <w:rsid w:val="001350B9"/>
    <w:rPr>
      <w:i/>
      <w:iCs/>
      <w:color w:val="000000"/>
    </w:rPr>
  </w:style>
  <w:style w:type="character" w:customStyle="1" w:styleId="MediumGrid2-Accent2Char">
    <w:name w:val="Medium Grid 2 - Accent 2 Char"/>
    <w:link w:val="MediumGrid2-Accent21"/>
    <w:uiPriority w:val="29"/>
    <w:rsid w:val="001350B9"/>
    <w:rPr>
      <w:i/>
      <w:iCs/>
      <w:color w:val="000000"/>
      <w:sz w:val="26"/>
      <w:szCs w:val="24"/>
    </w:rPr>
  </w:style>
  <w:style w:type="paragraph" w:customStyle="1" w:styleId="TOCHeading1">
    <w:name w:val="TOC Heading1"/>
    <w:basedOn w:val="Heading1"/>
    <w:next w:val="Normal"/>
    <w:uiPriority w:val="39"/>
    <w:semiHidden/>
    <w:unhideWhenUsed/>
    <w:qFormat/>
    <w:rsid w:val="001350B9"/>
    <w:pPr>
      <w:keepLines w:val="0"/>
      <w:widowControl w:val="0"/>
      <w:spacing w:before="240" w:after="60"/>
      <w:outlineLvl w:val="9"/>
    </w:pPr>
    <w:rPr>
      <w:rFonts w:ascii="Cambria" w:hAnsi="Cambria"/>
      <w:sz w:val="32"/>
      <w:u w:val="none"/>
    </w:rPr>
  </w:style>
  <w:style w:type="character" w:styleId="EndnoteReference">
    <w:name w:val="endnote reference"/>
    <w:rsid w:val="002C0F39"/>
    <w:rPr>
      <w:vertAlign w:val="superscript"/>
    </w:rPr>
  </w:style>
  <w:style w:type="paragraph" w:customStyle="1" w:styleId="MediumList2-Accent21">
    <w:name w:val="Medium List 2 - Accent 21"/>
    <w:hidden/>
    <w:uiPriority w:val="71"/>
    <w:rsid w:val="00B562D2"/>
    <w:rPr>
      <w:sz w:val="26"/>
      <w:szCs w:val="24"/>
    </w:rPr>
  </w:style>
  <w:style w:type="paragraph" w:customStyle="1" w:styleId="Bibliography2">
    <w:name w:val="Bibliography2"/>
    <w:basedOn w:val="Normal"/>
    <w:next w:val="Normal"/>
    <w:uiPriority w:val="37"/>
    <w:semiHidden/>
    <w:unhideWhenUsed/>
    <w:rsid w:val="00BD6274"/>
  </w:style>
  <w:style w:type="paragraph" w:customStyle="1" w:styleId="LightShading-Accent21">
    <w:name w:val="Light Shading - Accent 21"/>
    <w:basedOn w:val="Normal"/>
    <w:next w:val="Normal"/>
    <w:link w:val="LightShading-Accent2Char1"/>
    <w:uiPriority w:val="30"/>
    <w:qFormat/>
    <w:rsid w:val="00BD6274"/>
    <w:pPr>
      <w:pBdr>
        <w:bottom w:val="single" w:sz="4" w:space="4" w:color="4F81BD"/>
      </w:pBdr>
      <w:spacing w:before="200" w:after="280"/>
      <w:ind w:left="936" w:right="936"/>
    </w:pPr>
    <w:rPr>
      <w:b/>
      <w:bCs/>
      <w:i/>
      <w:iCs/>
      <w:color w:val="4F81BD"/>
    </w:rPr>
  </w:style>
  <w:style w:type="character" w:customStyle="1" w:styleId="LightShading-Accent2Char1">
    <w:name w:val="Light Shading - Accent 2 Char1"/>
    <w:link w:val="LightShading-Accent21"/>
    <w:uiPriority w:val="30"/>
    <w:rsid w:val="00BD6274"/>
    <w:rPr>
      <w:b/>
      <w:bCs/>
      <w:i/>
      <w:iCs/>
      <w:color w:val="4F81BD"/>
      <w:sz w:val="26"/>
      <w:szCs w:val="24"/>
    </w:rPr>
  </w:style>
  <w:style w:type="paragraph" w:customStyle="1" w:styleId="ColorfulList-Accent11">
    <w:name w:val="Colorful List - Accent 11"/>
    <w:basedOn w:val="Normal"/>
    <w:uiPriority w:val="34"/>
    <w:qFormat/>
    <w:rsid w:val="00BD6274"/>
    <w:pPr>
      <w:ind w:left="720"/>
    </w:pPr>
  </w:style>
  <w:style w:type="paragraph" w:customStyle="1" w:styleId="MediumGrid21">
    <w:name w:val="Medium Grid 21"/>
    <w:uiPriority w:val="1"/>
    <w:qFormat/>
    <w:rsid w:val="00BD6274"/>
    <w:pPr>
      <w:widowControl w:val="0"/>
      <w:autoSpaceDE w:val="0"/>
      <w:autoSpaceDN w:val="0"/>
      <w:adjustRightInd w:val="0"/>
    </w:pPr>
    <w:rPr>
      <w:sz w:val="26"/>
      <w:szCs w:val="24"/>
    </w:rPr>
  </w:style>
  <w:style w:type="paragraph" w:customStyle="1" w:styleId="ColorfulGrid-Accent11">
    <w:name w:val="Colorful Grid - Accent 11"/>
    <w:basedOn w:val="Normal"/>
    <w:next w:val="Normal"/>
    <w:link w:val="ColorfulGrid-Accent1Char1"/>
    <w:uiPriority w:val="29"/>
    <w:qFormat/>
    <w:rsid w:val="00BD6274"/>
    <w:rPr>
      <w:i/>
      <w:iCs/>
      <w:color w:val="000000"/>
    </w:rPr>
  </w:style>
  <w:style w:type="character" w:customStyle="1" w:styleId="ColorfulGrid-Accent1Char1">
    <w:name w:val="Colorful Grid - Accent 1 Char1"/>
    <w:link w:val="ColorfulGrid-Accent11"/>
    <w:uiPriority w:val="29"/>
    <w:rsid w:val="00BD6274"/>
    <w:rPr>
      <w:i/>
      <w:iCs/>
      <w:color w:val="000000"/>
      <w:sz w:val="26"/>
      <w:szCs w:val="24"/>
    </w:rPr>
  </w:style>
  <w:style w:type="paragraph" w:customStyle="1" w:styleId="TOCHeading2">
    <w:name w:val="TOC Heading2"/>
    <w:basedOn w:val="Heading1"/>
    <w:next w:val="Normal"/>
    <w:uiPriority w:val="39"/>
    <w:semiHidden/>
    <w:unhideWhenUsed/>
    <w:qFormat/>
    <w:rsid w:val="00BD6274"/>
    <w:pPr>
      <w:keepLines w:val="0"/>
      <w:widowControl w:val="0"/>
      <w:spacing w:before="240" w:after="60"/>
      <w:outlineLvl w:val="9"/>
    </w:pPr>
    <w:rPr>
      <w:rFonts w:ascii="Cambria" w:hAnsi="Cambria"/>
      <w:sz w:val="32"/>
      <w:u w:val="none"/>
    </w:rPr>
  </w:style>
  <w:style w:type="paragraph" w:customStyle="1" w:styleId="Default">
    <w:name w:val="Default"/>
    <w:rsid w:val="00A004C5"/>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8233EF"/>
  </w:style>
  <w:style w:type="paragraph" w:styleId="IntenseQuote">
    <w:name w:val="Intense Quote"/>
    <w:basedOn w:val="Normal"/>
    <w:next w:val="Normal"/>
    <w:link w:val="IntenseQuoteChar"/>
    <w:uiPriority w:val="30"/>
    <w:qFormat/>
    <w:rsid w:val="008233E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233EF"/>
    <w:rPr>
      <w:b/>
      <w:bCs/>
      <w:i/>
      <w:iCs/>
      <w:color w:val="4F81BD"/>
      <w:sz w:val="26"/>
      <w:szCs w:val="24"/>
    </w:rPr>
  </w:style>
  <w:style w:type="paragraph" w:styleId="ListParagraph">
    <w:name w:val="List Paragraph"/>
    <w:basedOn w:val="Normal"/>
    <w:uiPriority w:val="34"/>
    <w:qFormat/>
    <w:rsid w:val="008233EF"/>
    <w:pPr>
      <w:ind w:left="720"/>
    </w:pPr>
  </w:style>
  <w:style w:type="paragraph" w:styleId="NoSpacing">
    <w:name w:val="No Spacing"/>
    <w:uiPriority w:val="1"/>
    <w:qFormat/>
    <w:rsid w:val="008233EF"/>
    <w:pPr>
      <w:widowControl w:val="0"/>
      <w:autoSpaceDE w:val="0"/>
      <w:autoSpaceDN w:val="0"/>
      <w:adjustRightInd w:val="0"/>
    </w:pPr>
    <w:rPr>
      <w:sz w:val="26"/>
      <w:szCs w:val="24"/>
    </w:rPr>
  </w:style>
  <w:style w:type="paragraph" w:styleId="Quote">
    <w:name w:val="Quote"/>
    <w:basedOn w:val="Normal"/>
    <w:next w:val="Normal"/>
    <w:link w:val="QuoteChar"/>
    <w:uiPriority w:val="29"/>
    <w:qFormat/>
    <w:rsid w:val="008233EF"/>
    <w:rPr>
      <w:i/>
      <w:iCs/>
      <w:color w:val="000000"/>
    </w:rPr>
  </w:style>
  <w:style w:type="character" w:customStyle="1" w:styleId="QuoteChar">
    <w:name w:val="Quote Char"/>
    <w:link w:val="Quote"/>
    <w:uiPriority w:val="29"/>
    <w:rsid w:val="008233EF"/>
    <w:rPr>
      <w:i/>
      <w:iCs/>
      <w:color w:val="000000"/>
      <w:sz w:val="26"/>
      <w:szCs w:val="24"/>
    </w:rPr>
  </w:style>
  <w:style w:type="paragraph" w:styleId="TOCHeading">
    <w:name w:val="TOC Heading"/>
    <w:basedOn w:val="Heading1"/>
    <w:next w:val="Normal"/>
    <w:uiPriority w:val="39"/>
    <w:semiHidden/>
    <w:unhideWhenUsed/>
    <w:qFormat/>
    <w:rsid w:val="008233EF"/>
    <w:pPr>
      <w:keepLines w:val="0"/>
      <w:widowControl w:val="0"/>
      <w:spacing w:before="240" w:after="60"/>
      <w:outlineLvl w:val="9"/>
    </w:pPr>
    <w:rPr>
      <w:rFonts w:ascii="Cambria" w:hAnsi="Cambria"/>
      <w:sz w:val="32"/>
      <w:u w:val="none"/>
    </w:rPr>
  </w:style>
  <w:style w:type="character" w:customStyle="1" w:styleId="a0">
    <w:basedOn w:val="DefaultParagraphFont"/>
    <w:rsid w:val="00FA7CA9"/>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8BA"/>
    <w:pPr>
      <w:widowControl w:val="0"/>
      <w:autoSpaceDE w:val="0"/>
      <w:autoSpaceDN w:val="0"/>
      <w:adjustRightInd w:val="0"/>
    </w:pPr>
    <w:rPr>
      <w:sz w:val="26"/>
      <w:szCs w:val="24"/>
    </w:rPr>
  </w:style>
  <w:style w:type="paragraph" w:styleId="Heading1">
    <w:name w:val="heading 1"/>
    <w:basedOn w:val="Normal"/>
    <w:next w:val="FERCparanumber"/>
    <w:qFormat/>
    <w:rsid w:val="00585FE5"/>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qFormat/>
    <w:rsid w:val="00585FE5"/>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qFormat/>
    <w:rsid w:val="00585FE5"/>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qFormat/>
    <w:rsid w:val="00585FE5"/>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qFormat/>
    <w:rsid w:val="00585FE5"/>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qFormat/>
    <w:rsid w:val="00585FE5"/>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qFormat/>
    <w:rsid w:val="00585FE5"/>
    <w:pPr>
      <w:keepNext/>
      <w:keepLines/>
      <w:widowControl/>
      <w:numPr>
        <w:ilvl w:val="6"/>
        <w:numId w:val="12"/>
      </w:numPr>
      <w:spacing w:after="260"/>
      <w:outlineLvl w:val="6"/>
    </w:pPr>
    <w:rPr>
      <w:b/>
      <w:kern w:val="32"/>
      <w:u w:val="single"/>
    </w:rPr>
  </w:style>
  <w:style w:type="paragraph" w:styleId="Heading8">
    <w:name w:val="heading 8"/>
    <w:basedOn w:val="Normal"/>
    <w:next w:val="FERCparanumber"/>
    <w:qFormat/>
    <w:rsid w:val="00585FE5"/>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qFormat/>
    <w:rsid w:val="00585FE5"/>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2FB9"/>
    <w:rPr>
      <w:rFonts w:ascii="Tahoma" w:hAnsi="Tahoma" w:cs="Tahoma"/>
      <w:sz w:val="16"/>
      <w:szCs w:val="16"/>
    </w:rPr>
  </w:style>
  <w:style w:type="paragraph" w:customStyle="1" w:styleId="BlockIndent">
    <w:name w:val="Block Indent"/>
    <w:basedOn w:val="Normal"/>
    <w:next w:val="Normal"/>
    <w:rsid w:val="00D02FB9"/>
    <w:pPr>
      <w:widowControl/>
      <w:spacing w:after="240"/>
      <w:ind w:left="1440" w:right="1440"/>
    </w:pPr>
  </w:style>
  <w:style w:type="paragraph" w:styleId="BlockText">
    <w:name w:val="Block Text"/>
    <w:basedOn w:val="Normal"/>
    <w:rsid w:val="00D02FB9"/>
    <w:pPr>
      <w:spacing w:after="120"/>
      <w:ind w:left="1440" w:right="1440"/>
    </w:pPr>
  </w:style>
  <w:style w:type="paragraph" w:styleId="FootnoteText">
    <w:name w:val="footnote text"/>
    <w:basedOn w:val="Normal"/>
    <w:rsid w:val="00D02FB9"/>
    <w:pPr>
      <w:spacing w:after="260"/>
      <w:ind w:firstLine="720"/>
    </w:pPr>
    <w:rPr>
      <w:szCs w:val="20"/>
    </w:rPr>
  </w:style>
  <w:style w:type="paragraph" w:customStyle="1" w:styleId="BodyFootnote">
    <w:name w:val="Body Footnote"/>
    <w:basedOn w:val="FootnoteText"/>
    <w:rsid w:val="00D02FB9"/>
    <w:rPr>
      <w:szCs w:val="26"/>
    </w:rPr>
  </w:style>
  <w:style w:type="paragraph" w:styleId="BodyText">
    <w:name w:val="Body Text"/>
    <w:basedOn w:val="Normal"/>
    <w:rsid w:val="00D02FB9"/>
    <w:pPr>
      <w:spacing w:after="120"/>
    </w:pPr>
  </w:style>
  <w:style w:type="paragraph" w:styleId="BodyText2">
    <w:name w:val="Body Text 2"/>
    <w:basedOn w:val="Normal"/>
    <w:rsid w:val="00D02FB9"/>
    <w:pPr>
      <w:spacing w:after="120" w:line="480" w:lineRule="auto"/>
    </w:pPr>
  </w:style>
  <w:style w:type="paragraph" w:styleId="BodyText3">
    <w:name w:val="Body Text 3"/>
    <w:basedOn w:val="Normal"/>
    <w:rsid w:val="00D02FB9"/>
    <w:pPr>
      <w:spacing w:after="120"/>
    </w:pPr>
    <w:rPr>
      <w:sz w:val="16"/>
      <w:szCs w:val="16"/>
    </w:rPr>
  </w:style>
  <w:style w:type="paragraph" w:styleId="BodyTextFirstIndent">
    <w:name w:val="Body Text First Indent"/>
    <w:basedOn w:val="BodyText"/>
    <w:rsid w:val="00D02FB9"/>
    <w:pPr>
      <w:ind w:firstLine="210"/>
    </w:pPr>
  </w:style>
  <w:style w:type="paragraph" w:styleId="BodyTextIndent">
    <w:name w:val="Body Text Indent"/>
    <w:basedOn w:val="Normal"/>
    <w:rsid w:val="00D02FB9"/>
    <w:pPr>
      <w:spacing w:after="120"/>
      <w:ind w:left="360"/>
    </w:pPr>
  </w:style>
  <w:style w:type="paragraph" w:styleId="BodyTextFirstIndent2">
    <w:name w:val="Body Text First Indent 2"/>
    <w:basedOn w:val="BodyTextIndent"/>
    <w:rsid w:val="00D02FB9"/>
    <w:pPr>
      <w:ind w:firstLine="210"/>
    </w:pPr>
  </w:style>
  <w:style w:type="paragraph" w:styleId="BodyTextIndent2">
    <w:name w:val="Body Text Indent 2"/>
    <w:basedOn w:val="Normal"/>
    <w:rsid w:val="00D02FB9"/>
    <w:pPr>
      <w:spacing w:after="120" w:line="480" w:lineRule="auto"/>
      <w:ind w:left="360"/>
    </w:pPr>
  </w:style>
  <w:style w:type="paragraph" w:styleId="BodyTextIndent3">
    <w:name w:val="Body Text Indent 3"/>
    <w:basedOn w:val="Normal"/>
    <w:rsid w:val="00D02FB9"/>
    <w:pPr>
      <w:spacing w:after="120"/>
      <w:ind w:left="360"/>
    </w:pPr>
    <w:rPr>
      <w:sz w:val="16"/>
      <w:szCs w:val="16"/>
    </w:rPr>
  </w:style>
  <w:style w:type="paragraph" w:styleId="Caption">
    <w:name w:val="caption"/>
    <w:basedOn w:val="Normal"/>
    <w:next w:val="Normal"/>
    <w:qFormat/>
    <w:rsid w:val="00D02FB9"/>
    <w:pPr>
      <w:spacing w:before="120" w:after="120"/>
    </w:pPr>
    <w:rPr>
      <w:b/>
      <w:bCs/>
      <w:sz w:val="20"/>
      <w:szCs w:val="20"/>
    </w:rPr>
  </w:style>
  <w:style w:type="paragraph" w:styleId="Closing">
    <w:name w:val="Closing"/>
    <w:basedOn w:val="Normal"/>
    <w:rsid w:val="00D02FB9"/>
    <w:pPr>
      <w:ind w:left="4320"/>
    </w:pPr>
  </w:style>
  <w:style w:type="paragraph" w:styleId="CommentText">
    <w:name w:val="annotation text"/>
    <w:basedOn w:val="Normal"/>
    <w:semiHidden/>
    <w:rsid w:val="00D02FB9"/>
    <w:rPr>
      <w:sz w:val="20"/>
      <w:szCs w:val="20"/>
    </w:rPr>
  </w:style>
  <w:style w:type="paragraph" w:styleId="CommentSubject">
    <w:name w:val="annotation subject"/>
    <w:basedOn w:val="CommentText"/>
    <w:next w:val="CommentText"/>
    <w:semiHidden/>
    <w:rsid w:val="00D02FB9"/>
    <w:rPr>
      <w:b/>
      <w:bCs/>
    </w:rPr>
  </w:style>
  <w:style w:type="paragraph" w:styleId="Date">
    <w:name w:val="Date"/>
    <w:basedOn w:val="Normal"/>
    <w:next w:val="Normal"/>
    <w:rsid w:val="00D02FB9"/>
  </w:style>
  <w:style w:type="paragraph" w:styleId="DocumentMap">
    <w:name w:val="Document Map"/>
    <w:basedOn w:val="Normal"/>
    <w:semiHidden/>
    <w:rsid w:val="00D02FB9"/>
    <w:pPr>
      <w:shd w:val="clear" w:color="auto" w:fill="000080"/>
    </w:pPr>
    <w:rPr>
      <w:rFonts w:ascii="Tahoma" w:hAnsi="Tahoma" w:cs="Tahoma"/>
    </w:rPr>
  </w:style>
  <w:style w:type="paragraph" w:styleId="E-mailSignature">
    <w:name w:val="E-mail Signature"/>
    <w:basedOn w:val="Normal"/>
    <w:rsid w:val="00D02FB9"/>
  </w:style>
  <w:style w:type="paragraph" w:styleId="EndnoteText">
    <w:name w:val="endnote text"/>
    <w:basedOn w:val="Normal"/>
    <w:semiHidden/>
    <w:rsid w:val="00D02FB9"/>
    <w:rPr>
      <w:sz w:val="20"/>
      <w:szCs w:val="20"/>
    </w:rPr>
  </w:style>
  <w:style w:type="paragraph" w:styleId="EnvelopeAddress">
    <w:name w:val="envelope address"/>
    <w:basedOn w:val="Normal"/>
    <w:rsid w:val="00D02FB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D02FB9"/>
    <w:rPr>
      <w:rFonts w:ascii="Arial" w:hAnsi="Arial" w:cs="Arial"/>
      <w:sz w:val="20"/>
      <w:szCs w:val="20"/>
    </w:rPr>
  </w:style>
  <w:style w:type="paragraph" w:customStyle="1" w:styleId="FERCparanumber">
    <w:name w:val="FERC paranumber"/>
    <w:basedOn w:val="Normal"/>
    <w:rsid w:val="00DB4AEE"/>
    <w:pPr>
      <w:widowControl/>
      <w:numPr>
        <w:numId w:val="1"/>
      </w:numPr>
      <w:spacing w:line="480" w:lineRule="auto"/>
    </w:pPr>
  </w:style>
  <w:style w:type="paragraph" w:styleId="Footer">
    <w:name w:val="footer"/>
    <w:basedOn w:val="Normal"/>
    <w:rsid w:val="00D02FB9"/>
    <w:pPr>
      <w:tabs>
        <w:tab w:val="center" w:pos="4320"/>
        <w:tab w:val="right" w:pos="8640"/>
      </w:tabs>
    </w:pPr>
  </w:style>
  <w:style w:type="character" w:styleId="FootnoteReference">
    <w:name w:val="footnote reference"/>
    <w:rsid w:val="00D02FB9"/>
    <w:rPr>
      <w:rFonts w:ascii="Times New Roman" w:hAnsi="Times New Roman" w:cs="Times New Roman"/>
      <w:b/>
      <w:dstrike w:val="0"/>
      <w:sz w:val="26"/>
      <w:szCs w:val="26"/>
      <w:vertAlign w:val="superscript"/>
    </w:rPr>
  </w:style>
  <w:style w:type="paragraph" w:styleId="Header">
    <w:name w:val="header"/>
    <w:basedOn w:val="Normal"/>
    <w:rsid w:val="00D02FB9"/>
    <w:pPr>
      <w:tabs>
        <w:tab w:val="right" w:pos="8640"/>
      </w:tabs>
      <w:spacing w:after="120"/>
    </w:pPr>
  </w:style>
  <w:style w:type="paragraph" w:styleId="HTMLAddress">
    <w:name w:val="HTML Address"/>
    <w:basedOn w:val="Normal"/>
    <w:rsid w:val="00D02FB9"/>
    <w:rPr>
      <w:i/>
      <w:iCs/>
    </w:rPr>
  </w:style>
  <w:style w:type="paragraph" w:styleId="HTMLPreformatted">
    <w:name w:val="HTML Preformatted"/>
    <w:basedOn w:val="Normal"/>
    <w:rsid w:val="00D02FB9"/>
    <w:rPr>
      <w:rFonts w:ascii="Courier New" w:hAnsi="Courier New" w:cs="Courier New"/>
      <w:sz w:val="20"/>
      <w:szCs w:val="20"/>
    </w:rPr>
  </w:style>
  <w:style w:type="paragraph" w:styleId="Index1">
    <w:name w:val="index 1"/>
    <w:basedOn w:val="Normal"/>
    <w:next w:val="Normal"/>
    <w:semiHidden/>
    <w:rsid w:val="00D02FB9"/>
    <w:pPr>
      <w:ind w:left="260" w:hanging="260"/>
    </w:pPr>
  </w:style>
  <w:style w:type="paragraph" w:styleId="Index2">
    <w:name w:val="index 2"/>
    <w:basedOn w:val="Normal"/>
    <w:next w:val="Normal"/>
    <w:semiHidden/>
    <w:rsid w:val="00D02FB9"/>
    <w:pPr>
      <w:ind w:left="520" w:hanging="260"/>
    </w:pPr>
  </w:style>
  <w:style w:type="paragraph" w:styleId="Index3">
    <w:name w:val="index 3"/>
    <w:basedOn w:val="Normal"/>
    <w:next w:val="Normal"/>
    <w:semiHidden/>
    <w:rsid w:val="00D02FB9"/>
    <w:pPr>
      <w:ind w:left="780" w:hanging="260"/>
    </w:pPr>
  </w:style>
  <w:style w:type="paragraph" w:styleId="Index4">
    <w:name w:val="index 4"/>
    <w:basedOn w:val="Normal"/>
    <w:next w:val="Normal"/>
    <w:semiHidden/>
    <w:rsid w:val="00D02FB9"/>
    <w:pPr>
      <w:ind w:left="1040" w:hanging="260"/>
    </w:pPr>
  </w:style>
  <w:style w:type="paragraph" w:styleId="Index5">
    <w:name w:val="index 5"/>
    <w:basedOn w:val="Normal"/>
    <w:next w:val="Normal"/>
    <w:semiHidden/>
    <w:rsid w:val="00D02FB9"/>
    <w:pPr>
      <w:ind w:left="1300" w:hanging="260"/>
    </w:pPr>
  </w:style>
  <w:style w:type="paragraph" w:styleId="Index6">
    <w:name w:val="index 6"/>
    <w:basedOn w:val="Normal"/>
    <w:next w:val="Normal"/>
    <w:semiHidden/>
    <w:rsid w:val="00D02FB9"/>
    <w:pPr>
      <w:ind w:left="1560" w:hanging="260"/>
    </w:pPr>
  </w:style>
  <w:style w:type="paragraph" w:styleId="Index7">
    <w:name w:val="index 7"/>
    <w:basedOn w:val="Normal"/>
    <w:next w:val="Normal"/>
    <w:semiHidden/>
    <w:rsid w:val="00D02FB9"/>
    <w:pPr>
      <w:ind w:left="1820" w:hanging="260"/>
    </w:pPr>
  </w:style>
  <w:style w:type="paragraph" w:styleId="Index8">
    <w:name w:val="index 8"/>
    <w:basedOn w:val="Normal"/>
    <w:next w:val="Normal"/>
    <w:semiHidden/>
    <w:rsid w:val="00D02FB9"/>
    <w:pPr>
      <w:ind w:left="2080" w:hanging="260"/>
    </w:pPr>
  </w:style>
  <w:style w:type="paragraph" w:styleId="Index9">
    <w:name w:val="index 9"/>
    <w:basedOn w:val="Normal"/>
    <w:next w:val="Normal"/>
    <w:semiHidden/>
    <w:rsid w:val="00D02FB9"/>
    <w:pPr>
      <w:ind w:left="2340" w:hanging="260"/>
    </w:pPr>
  </w:style>
  <w:style w:type="paragraph" w:styleId="IndexHeading">
    <w:name w:val="index heading"/>
    <w:basedOn w:val="Normal"/>
    <w:next w:val="Index1"/>
    <w:semiHidden/>
    <w:rsid w:val="00D02FB9"/>
    <w:rPr>
      <w:rFonts w:ascii="Arial" w:hAnsi="Arial" w:cs="Arial"/>
      <w:b/>
      <w:bCs/>
    </w:rPr>
  </w:style>
  <w:style w:type="paragraph" w:styleId="List">
    <w:name w:val="List"/>
    <w:basedOn w:val="Normal"/>
    <w:rsid w:val="00D02FB9"/>
    <w:pPr>
      <w:ind w:left="360" w:hanging="360"/>
    </w:pPr>
  </w:style>
  <w:style w:type="paragraph" w:styleId="List2">
    <w:name w:val="List 2"/>
    <w:basedOn w:val="Normal"/>
    <w:rsid w:val="00D02FB9"/>
    <w:pPr>
      <w:ind w:left="720" w:hanging="360"/>
    </w:pPr>
  </w:style>
  <w:style w:type="paragraph" w:styleId="List3">
    <w:name w:val="List 3"/>
    <w:basedOn w:val="Normal"/>
    <w:rsid w:val="00D02FB9"/>
    <w:pPr>
      <w:ind w:left="1080" w:hanging="360"/>
    </w:pPr>
  </w:style>
  <w:style w:type="paragraph" w:styleId="List4">
    <w:name w:val="List 4"/>
    <w:basedOn w:val="Normal"/>
    <w:rsid w:val="00D02FB9"/>
    <w:pPr>
      <w:ind w:left="1440" w:hanging="360"/>
    </w:pPr>
  </w:style>
  <w:style w:type="paragraph" w:styleId="List5">
    <w:name w:val="List 5"/>
    <w:basedOn w:val="Normal"/>
    <w:rsid w:val="00D02FB9"/>
    <w:pPr>
      <w:ind w:left="1800" w:hanging="360"/>
    </w:pPr>
  </w:style>
  <w:style w:type="paragraph" w:styleId="ListBullet">
    <w:name w:val="List Bullet"/>
    <w:basedOn w:val="Normal"/>
    <w:rsid w:val="00D02FB9"/>
    <w:pPr>
      <w:numPr>
        <w:numId w:val="2"/>
      </w:numPr>
    </w:pPr>
  </w:style>
  <w:style w:type="paragraph" w:styleId="ListBullet2">
    <w:name w:val="List Bullet 2"/>
    <w:basedOn w:val="Normal"/>
    <w:rsid w:val="00D02FB9"/>
    <w:pPr>
      <w:numPr>
        <w:numId w:val="3"/>
      </w:numPr>
    </w:pPr>
  </w:style>
  <w:style w:type="paragraph" w:styleId="ListBullet3">
    <w:name w:val="List Bullet 3"/>
    <w:basedOn w:val="Normal"/>
    <w:rsid w:val="00D02FB9"/>
    <w:pPr>
      <w:numPr>
        <w:numId w:val="4"/>
      </w:numPr>
    </w:pPr>
  </w:style>
  <w:style w:type="paragraph" w:styleId="ListBullet4">
    <w:name w:val="List Bullet 4"/>
    <w:basedOn w:val="Normal"/>
    <w:rsid w:val="00D02FB9"/>
    <w:pPr>
      <w:numPr>
        <w:numId w:val="5"/>
      </w:numPr>
    </w:pPr>
  </w:style>
  <w:style w:type="paragraph" w:styleId="ListBullet5">
    <w:name w:val="List Bullet 5"/>
    <w:basedOn w:val="Normal"/>
    <w:rsid w:val="00D02FB9"/>
    <w:pPr>
      <w:numPr>
        <w:numId w:val="6"/>
      </w:numPr>
    </w:pPr>
  </w:style>
  <w:style w:type="paragraph" w:styleId="ListContinue">
    <w:name w:val="List Continue"/>
    <w:basedOn w:val="Normal"/>
    <w:semiHidden/>
    <w:rsid w:val="00D02FB9"/>
    <w:pPr>
      <w:widowControl/>
      <w:autoSpaceDE/>
      <w:autoSpaceDN/>
      <w:adjustRightInd/>
      <w:spacing w:after="120"/>
      <w:ind w:left="360"/>
    </w:pPr>
  </w:style>
  <w:style w:type="paragraph" w:styleId="ListContinue2">
    <w:name w:val="List Continue 2"/>
    <w:basedOn w:val="Normal"/>
    <w:rsid w:val="00D02FB9"/>
    <w:pPr>
      <w:spacing w:after="120"/>
      <w:ind w:left="720"/>
    </w:pPr>
  </w:style>
  <w:style w:type="paragraph" w:styleId="ListContinue3">
    <w:name w:val="List Continue 3"/>
    <w:basedOn w:val="Normal"/>
    <w:rsid w:val="00D02FB9"/>
    <w:pPr>
      <w:spacing w:after="120"/>
      <w:ind w:left="1080"/>
    </w:pPr>
  </w:style>
  <w:style w:type="paragraph" w:styleId="ListContinue4">
    <w:name w:val="List Continue 4"/>
    <w:basedOn w:val="Normal"/>
    <w:rsid w:val="00D02FB9"/>
    <w:pPr>
      <w:spacing w:after="120"/>
      <w:ind w:left="1440"/>
    </w:pPr>
  </w:style>
  <w:style w:type="paragraph" w:styleId="ListContinue5">
    <w:name w:val="List Continue 5"/>
    <w:basedOn w:val="Normal"/>
    <w:rsid w:val="00D02FB9"/>
    <w:pPr>
      <w:spacing w:after="120"/>
      <w:ind w:left="1800"/>
    </w:pPr>
  </w:style>
  <w:style w:type="paragraph" w:styleId="ListNumber">
    <w:name w:val="List Number"/>
    <w:basedOn w:val="Normal"/>
    <w:rsid w:val="00D02FB9"/>
    <w:pPr>
      <w:numPr>
        <w:numId w:val="7"/>
      </w:numPr>
    </w:pPr>
  </w:style>
  <w:style w:type="paragraph" w:styleId="ListNumber2">
    <w:name w:val="List Number 2"/>
    <w:basedOn w:val="Normal"/>
    <w:rsid w:val="00D02FB9"/>
    <w:pPr>
      <w:numPr>
        <w:numId w:val="8"/>
      </w:numPr>
    </w:pPr>
  </w:style>
  <w:style w:type="paragraph" w:styleId="ListNumber3">
    <w:name w:val="List Number 3"/>
    <w:basedOn w:val="Normal"/>
    <w:rsid w:val="00D02FB9"/>
    <w:pPr>
      <w:numPr>
        <w:numId w:val="9"/>
      </w:numPr>
    </w:pPr>
  </w:style>
  <w:style w:type="paragraph" w:styleId="ListNumber4">
    <w:name w:val="List Number 4"/>
    <w:basedOn w:val="Normal"/>
    <w:rsid w:val="00D02FB9"/>
    <w:pPr>
      <w:numPr>
        <w:numId w:val="10"/>
      </w:numPr>
    </w:pPr>
  </w:style>
  <w:style w:type="paragraph" w:styleId="ListNumber5">
    <w:name w:val="List Number 5"/>
    <w:basedOn w:val="Normal"/>
    <w:rsid w:val="00D02FB9"/>
    <w:pPr>
      <w:numPr>
        <w:numId w:val="11"/>
      </w:numPr>
    </w:pPr>
  </w:style>
  <w:style w:type="paragraph" w:styleId="MacroText">
    <w:name w:val="macro"/>
    <w:semiHidden/>
    <w:rsid w:val="00D02FB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D02F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customStyle="1" w:styleId="myTOC1">
    <w:name w:val="myTOC 1"/>
    <w:basedOn w:val="Normal"/>
    <w:next w:val="Normal"/>
    <w:rsid w:val="00D02FB9"/>
    <w:pPr>
      <w:tabs>
        <w:tab w:val="left" w:leader="dot" w:pos="9648"/>
      </w:tabs>
      <w:spacing w:before="120"/>
    </w:pPr>
    <w:rPr>
      <w:szCs w:val="26"/>
    </w:rPr>
  </w:style>
  <w:style w:type="paragraph" w:customStyle="1" w:styleId="myTOC2">
    <w:name w:val="myTOC 2"/>
    <w:basedOn w:val="Normal"/>
    <w:next w:val="Normal"/>
    <w:rsid w:val="00D02FB9"/>
    <w:pPr>
      <w:tabs>
        <w:tab w:val="left" w:leader="dot" w:pos="9648"/>
      </w:tabs>
      <w:ind w:left="288"/>
    </w:pPr>
    <w:rPr>
      <w:szCs w:val="26"/>
    </w:rPr>
  </w:style>
  <w:style w:type="paragraph" w:customStyle="1" w:styleId="myTOC3">
    <w:name w:val="myTOC 3"/>
    <w:basedOn w:val="Normal"/>
    <w:next w:val="Normal"/>
    <w:rsid w:val="00D02FB9"/>
    <w:pPr>
      <w:tabs>
        <w:tab w:val="left" w:leader="dot" w:pos="9648"/>
      </w:tabs>
      <w:ind w:left="576"/>
    </w:pPr>
    <w:rPr>
      <w:szCs w:val="26"/>
    </w:rPr>
  </w:style>
  <w:style w:type="paragraph" w:customStyle="1" w:styleId="myTOC4">
    <w:name w:val="myTOC 4"/>
    <w:basedOn w:val="Normal"/>
    <w:next w:val="Normal"/>
    <w:rsid w:val="00D02FB9"/>
    <w:pPr>
      <w:tabs>
        <w:tab w:val="left" w:leader="dot" w:pos="9648"/>
      </w:tabs>
      <w:ind w:left="864"/>
    </w:pPr>
    <w:rPr>
      <w:szCs w:val="26"/>
    </w:rPr>
  </w:style>
  <w:style w:type="paragraph" w:customStyle="1" w:styleId="myTOC5">
    <w:name w:val="myTOC 5"/>
    <w:basedOn w:val="Normal"/>
    <w:next w:val="Normal"/>
    <w:rsid w:val="00D02FB9"/>
    <w:pPr>
      <w:tabs>
        <w:tab w:val="left" w:leader="dot" w:pos="9648"/>
      </w:tabs>
      <w:ind w:left="1152"/>
    </w:pPr>
    <w:rPr>
      <w:szCs w:val="26"/>
    </w:rPr>
  </w:style>
  <w:style w:type="paragraph" w:customStyle="1" w:styleId="myTOC6">
    <w:name w:val="myTOC 6"/>
    <w:basedOn w:val="Normal"/>
    <w:next w:val="Normal"/>
    <w:rsid w:val="00D02FB9"/>
    <w:pPr>
      <w:widowControl/>
      <w:tabs>
        <w:tab w:val="left" w:leader="dot" w:pos="9648"/>
      </w:tabs>
      <w:autoSpaceDE/>
      <w:autoSpaceDN/>
      <w:adjustRightInd/>
      <w:ind w:left="1440"/>
    </w:pPr>
    <w:rPr>
      <w:szCs w:val="26"/>
    </w:rPr>
  </w:style>
  <w:style w:type="paragraph" w:customStyle="1" w:styleId="myTOC7">
    <w:name w:val="myTOC 7"/>
    <w:basedOn w:val="Normal"/>
    <w:next w:val="Normal"/>
    <w:rsid w:val="00D02FB9"/>
    <w:pPr>
      <w:widowControl/>
      <w:tabs>
        <w:tab w:val="left" w:leader="dot" w:pos="9648"/>
      </w:tabs>
      <w:autoSpaceDE/>
      <w:autoSpaceDN/>
      <w:adjustRightInd/>
      <w:ind w:left="1728"/>
    </w:pPr>
    <w:rPr>
      <w:szCs w:val="26"/>
    </w:rPr>
  </w:style>
  <w:style w:type="paragraph" w:customStyle="1" w:styleId="myTOC8">
    <w:name w:val="myTOC 8"/>
    <w:basedOn w:val="Normal"/>
    <w:next w:val="Normal"/>
    <w:rsid w:val="00D02FB9"/>
    <w:pPr>
      <w:widowControl/>
      <w:tabs>
        <w:tab w:val="left" w:leader="dot" w:pos="9648"/>
      </w:tabs>
      <w:autoSpaceDE/>
      <w:autoSpaceDN/>
      <w:adjustRightInd/>
      <w:ind w:left="2016"/>
    </w:pPr>
    <w:rPr>
      <w:szCs w:val="26"/>
    </w:rPr>
  </w:style>
  <w:style w:type="paragraph" w:customStyle="1" w:styleId="myTOC9">
    <w:name w:val="myTOC 9"/>
    <w:basedOn w:val="Normal"/>
    <w:next w:val="Normal"/>
    <w:rsid w:val="00D02FB9"/>
    <w:pPr>
      <w:widowControl/>
      <w:tabs>
        <w:tab w:val="left" w:leader="dot" w:pos="9648"/>
      </w:tabs>
      <w:autoSpaceDE/>
      <w:autoSpaceDN/>
      <w:adjustRightInd/>
      <w:ind w:left="2304"/>
    </w:pPr>
    <w:rPr>
      <w:szCs w:val="26"/>
    </w:rPr>
  </w:style>
  <w:style w:type="paragraph" w:customStyle="1" w:styleId="Non-TOCStyle">
    <w:name w:val="Non-TOC Style"/>
    <w:basedOn w:val="Normal"/>
    <w:next w:val="FERCparanumber"/>
    <w:rsid w:val="00D02FB9"/>
    <w:pPr>
      <w:keepNext/>
      <w:keepLines/>
      <w:widowControl/>
      <w:spacing w:after="260"/>
      <w:jc w:val="center"/>
      <w:outlineLvl w:val="4"/>
    </w:pPr>
    <w:rPr>
      <w:b/>
      <w:szCs w:val="26"/>
      <w:u w:val="single"/>
    </w:rPr>
  </w:style>
  <w:style w:type="paragraph" w:styleId="NormalWeb">
    <w:name w:val="Normal (Web)"/>
    <w:basedOn w:val="Normal"/>
    <w:rsid w:val="00D02FB9"/>
    <w:rPr>
      <w:sz w:val="24"/>
    </w:rPr>
  </w:style>
  <w:style w:type="paragraph" w:styleId="NormalIndent">
    <w:name w:val="Normal Indent"/>
    <w:basedOn w:val="Normal"/>
    <w:rsid w:val="00D02FB9"/>
    <w:pPr>
      <w:ind w:left="720"/>
    </w:pPr>
  </w:style>
  <w:style w:type="paragraph" w:styleId="NoteHeading">
    <w:name w:val="Note Heading"/>
    <w:basedOn w:val="Normal"/>
    <w:next w:val="Normal"/>
    <w:rsid w:val="00D02FB9"/>
  </w:style>
  <w:style w:type="character" w:styleId="PageNumber">
    <w:name w:val="page number"/>
    <w:basedOn w:val="DefaultParagraphFont"/>
    <w:rsid w:val="00D02FB9"/>
  </w:style>
  <w:style w:type="paragraph" w:styleId="PlainText">
    <w:name w:val="Plain Text"/>
    <w:basedOn w:val="Normal"/>
    <w:rsid w:val="00D02FB9"/>
    <w:rPr>
      <w:rFonts w:ascii="Courier New" w:hAnsi="Courier New" w:cs="Courier New"/>
      <w:sz w:val="20"/>
      <w:szCs w:val="20"/>
    </w:rPr>
  </w:style>
  <w:style w:type="paragraph" w:styleId="Salutation">
    <w:name w:val="Salutation"/>
    <w:basedOn w:val="Normal"/>
    <w:next w:val="Normal"/>
    <w:rsid w:val="00D02FB9"/>
  </w:style>
  <w:style w:type="paragraph" w:styleId="Signature">
    <w:name w:val="Signature"/>
    <w:basedOn w:val="Normal"/>
    <w:rsid w:val="00D02FB9"/>
    <w:pPr>
      <w:ind w:left="4320"/>
    </w:pPr>
  </w:style>
  <w:style w:type="paragraph" w:styleId="Subtitle">
    <w:name w:val="Subtitle"/>
    <w:basedOn w:val="Normal"/>
    <w:qFormat/>
    <w:rsid w:val="00D02FB9"/>
    <w:pPr>
      <w:spacing w:after="60"/>
      <w:jc w:val="center"/>
      <w:outlineLvl w:val="1"/>
    </w:pPr>
    <w:rPr>
      <w:rFonts w:ascii="Arial" w:hAnsi="Arial" w:cs="Arial"/>
      <w:sz w:val="24"/>
    </w:rPr>
  </w:style>
  <w:style w:type="table" w:styleId="TableGrid">
    <w:name w:val="Table Grid"/>
    <w:basedOn w:val="TableNormal"/>
    <w:rsid w:val="00D02F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D02FB9"/>
    <w:pPr>
      <w:ind w:left="260" w:hanging="260"/>
    </w:pPr>
  </w:style>
  <w:style w:type="paragraph" w:styleId="TableofFigures">
    <w:name w:val="table of figures"/>
    <w:basedOn w:val="Normal"/>
    <w:next w:val="Normal"/>
    <w:semiHidden/>
    <w:rsid w:val="00D02FB9"/>
    <w:pPr>
      <w:ind w:left="520" w:hanging="520"/>
    </w:pPr>
  </w:style>
  <w:style w:type="paragraph" w:styleId="Title">
    <w:name w:val="Title"/>
    <w:basedOn w:val="Normal"/>
    <w:qFormat/>
    <w:rsid w:val="00D02F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02FB9"/>
    <w:pPr>
      <w:spacing w:before="120"/>
    </w:pPr>
    <w:rPr>
      <w:rFonts w:ascii="Arial" w:hAnsi="Arial" w:cs="Arial"/>
      <w:b/>
      <w:bCs/>
      <w:sz w:val="24"/>
    </w:rPr>
  </w:style>
  <w:style w:type="paragraph" w:styleId="TOC1">
    <w:name w:val="toc 1"/>
    <w:basedOn w:val="Normal"/>
    <w:next w:val="Normal"/>
    <w:uiPriority w:val="39"/>
    <w:rsid w:val="00D02FB9"/>
  </w:style>
  <w:style w:type="paragraph" w:styleId="TOC2">
    <w:name w:val="toc 2"/>
    <w:basedOn w:val="Normal"/>
    <w:next w:val="Normal"/>
    <w:semiHidden/>
    <w:rsid w:val="00D02FB9"/>
    <w:pPr>
      <w:ind w:left="260"/>
    </w:pPr>
  </w:style>
  <w:style w:type="paragraph" w:styleId="TOC3">
    <w:name w:val="toc 3"/>
    <w:basedOn w:val="Normal"/>
    <w:next w:val="Normal"/>
    <w:uiPriority w:val="39"/>
    <w:rsid w:val="00D02FB9"/>
    <w:pPr>
      <w:ind w:left="520"/>
    </w:pPr>
  </w:style>
  <w:style w:type="paragraph" w:styleId="TOC4">
    <w:name w:val="toc 4"/>
    <w:basedOn w:val="Normal"/>
    <w:next w:val="Normal"/>
    <w:semiHidden/>
    <w:rsid w:val="00D02FB9"/>
    <w:pPr>
      <w:ind w:left="780"/>
    </w:pPr>
  </w:style>
  <w:style w:type="paragraph" w:styleId="TOC5">
    <w:name w:val="toc 5"/>
    <w:basedOn w:val="Normal"/>
    <w:next w:val="Normal"/>
    <w:semiHidden/>
    <w:rsid w:val="00D02FB9"/>
    <w:pPr>
      <w:ind w:left="1040"/>
    </w:pPr>
  </w:style>
  <w:style w:type="paragraph" w:styleId="TOC6">
    <w:name w:val="toc 6"/>
    <w:basedOn w:val="Normal"/>
    <w:next w:val="Normal"/>
    <w:semiHidden/>
    <w:rsid w:val="00D02FB9"/>
    <w:pPr>
      <w:ind w:left="1300"/>
    </w:pPr>
  </w:style>
  <w:style w:type="paragraph" w:styleId="TOC7">
    <w:name w:val="toc 7"/>
    <w:basedOn w:val="Normal"/>
    <w:next w:val="Normal"/>
    <w:semiHidden/>
    <w:rsid w:val="00D02FB9"/>
    <w:pPr>
      <w:ind w:left="1560"/>
    </w:pPr>
  </w:style>
  <w:style w:type="paragraph" w:styleId="TOC8">
    <w:name w:val="toc 8"/>
    <w:basedOn w:val="Normal"/>
    <w:next w:val="Normal"/>
    <w:semiHidden/>
    <w:rsid w:val="00D02FB9"/>
    <w:pPr>
      <w:ind w:left="1820"/>
    </w:pPr>
  </w:style>
  <w:style w:type="paragraph" w:styleId="TOC9">
    <w:name w:val="toc 9"/>
    <w:basedOn w:val="Normal"/>
    <w:next w:val="Normal"/>
    <w:semiHidden/>
    <w:rsid w:val="00D02FB9"/>
    <w:pPr>
      <w:ind w:left="2080"/>
    </w:pPr>
  </w:style>
  <w:style w:type="character" w:styleId="CommentReference">
    <w:name w:val="annotation reference"/>
    <w:semiHidden/>
    <w:rsid w:val="00E5742F"/>
    <w:rPr>
      <w:sz w:val="16"/>
      <w:szCs w:val="16"/>
    </w:rPr>
  </w:style>
  <w:style w:type="character" w:styleId="Hyperlink">
    <w:name w:val="Hyperlink"/>
    <w:uiPriority w:val="99"/>
    <w:rsid w:val="00874552"/>
    <w:rPr>
      <w:color w:val="0000FF"/>
      <w:u w:val="single"/>
    </w:rPr>
  </w:style>
  <w:style w:type="character" w:customStyle="1" w:styleId="a">
    <w:rsid w:val="00B45CE9"/>
    <w:rPr>
      <w:sz w:val="26"/>
    </w:rPr>
  </w:style>
  <w:style w:type="paragraph" w:customStyle="1" w:styleId="Bibliography1">
    <w:name w:val="Bibliography1"/>
    <w:basedOn w:val="Normal"/>
    <w:next w:val="Normal"/>
    <w:uiPriority w:val="37"/>
    <w:semiHidden/>
    <w:unhideWhenUsed/>
    <w:rsid w:val="001350B9"/>
  </w:style>
  <w:style w:type="paragraph" w:customStyle="1" w:styleId="MediumGrid3-Accent21">
    <w:name w:val="Medium Grid 3 - Accent 21"/>
    <w:basedOn w:val="Normal"/>
    <w:next w:val="Normal"/>
    <w:link w:val="MediumGrid3-Accent2Char"/>
    <w:uiPriority w:val="30"/>
    <w:qFormat/>
    <w:rsid w:val="001350B9"/>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1350B9"/>
    <w:rPr>
      <w:b/>
      <w:bCs/>
      <w:i/>
      <w:iCs/>
      <w:color w:val="4F81BD"/>
      <w:sz w:val="26"/>
      <w:szCs w:val="24"/>
    </w:rPr>
  </w:style>
  <w:style w:type="paragraph" w:customStyle="1" w:styleId="MediumGrid1-Accent21">
    <w:name w:val="Medium Grid 1 - Accent 21"/>
    <w:basedOn w:val="Normal"/>
    <w:uiPriority w:val="34"/>
    <w:qFormat/>
    <w:rsid w:val="001350B9"/>
    <w:pPr>
      <w:ind w:left="720"/>
    </w:pPr>
  </w:style>
  <w:style w:type="paragraph" w:customStyle="1" w:styleId="MediumShading1-Accent11">
    <w:name w:val="Medium Shading 1 - Accent 11"/>
    <w:uiPriority w:val="1"/>
    <w:qFormat/>
    <w:rsid w:val="001350B9"/>
    <w:pPr>
      <w:widowControl w:val="0"/>
      <w:autoSpaceDE w:val="0"/>
      <w:autoSpaceDN w:val="0"/>
      <w:adjustRightInd w:val="0"/>
    </w:pPr>
    <w:rPr>
      <w:sz w:val="26"/>
      <w:szCs w:val="24"/>
    </w:rPr>
  </w:style>
  <w:style w:type="paragraph" w:customStyle="1" w:styleId="MediumGrid2-Accent21">
    <w:name w:val="Medium Grid 2 - Accent 21"/>
    <w:basedOn w:val="Normal"/>
    <w:next w:val="Normal"/>
    <w:link w:val="MediumGrid2-Accent2Char"/>
    <w:uiPriority w:val="29"/>
    <w:qFormat/>
    <w:rsid w:val="001350B9"/>
    <w:rPr>
      <w:i/>
      <w:iCs/>
      <w:color w:val="000000"/>
    </w:rPr>
  </w:style>
  <w:style w:type="character" w:customStyle="1" w:styleId="MediumGrid2-Accent2Char">
    <w:name w:val="Medium Grid 2 - Accent 2 Char"/>
    <w:link w:val="MediumGrid2-Accent21"/>
    <w:uiPriority w:val="29"/>
    <w:rsid w:val="001350B9"/>
    <w:rPr>
      <w:i/>
      <w:iCs/>
      <w:color w:val="000000"/>
      <w:sz w:val="26"/>
      <w:szCs w:val="24"/>
    </w:rPr>
  </w:style>
  <w:style w:type="paragraph" w:customStyle="1" w:styleId="TOCHeading1">
    <w:name w:val="TOC Heading1"/>
    <w:basedOn w:val="Heading1"/>
    <w:next w:val="Normal"/>
    <w:uiPriority w:val="39"/>
    <w:semiHidden/>
    <w:unhideWhenUsed/>
    <w:qFormat/>
    <w:rsid w:val="001350B9"/>
    <w:pPr>
      <w:keepLines w:val="0"/>
      <w:widowControl w:val="0"/>
      <w:spacing w:before="240" w:after="60"/>
      <w:outlineLvl w:val="9"/>
    </w:pPr>
    <w:rPr>
      <w:rFonts w:ascii="Cambria" w:hAnsi="Cambria"/>
      <w:sz w:val="32"/>
      <w:u w:val="none"/>
    </w:rPr>
  </w:style>
  <w:style w:type="character" w:styleId="EndnoteReference">
    <w:name w:val="endnote reference"/>
    <w:rsid w:val="002C0F39"/>
    <w:rPr>
      <w:vertAlign w:val="superscript"/>
    </w:rPr>
  </w:style>
  <w:style w:type="paragraph" w:customStyle="1" w:styleId="MediumList2-Accent21">
    <w:name w:val="Medium List 2 - Accent 21"/>
    <w:hidden/>
    <w:uiPriority w:val="71"/>
    <w:rsid w:val="00B562D2"/>
    <w:rPr>
      <w:sz w:val="26"/>
      <w:szCs w:val="24"/>
    </w:rPr>
  </w:style>
  <w:style w:type="paragraph" w:customStyle="1" w:styleId="Bibliography2">
    <w:name w:val="Bibliography2"/>
    <w:basedOn w:val="Normal"/>
    <w:next w:val="Normal"/>
    <w:uiPriority w:val="37"/>
    <w:semiHidden/>
    <w:unhideWhenUsed/>
    <w:rsid w:val="00BD6274"/>
  </w:style>
  <w:style w:type="paragraph" w:customStyle="1" w:styleId="LightShading-Accent21">
    <w:name w:val="Light Shading - Accent 21"/>
    <w:basedOn w:val="Normal"/>
    <w:next w:val="Normal"/>
    <w:link w:val="LightShading-Accent2Char1"/>
    <w:uiPriority w:val="30"/>
    <w:qFormat/>
    <w:rsid w:val="00BD6274"/>
    <w:pPr>
      <w:pBdr>
        <w:bottom w:val="single" w:sz="4" w:space="4" w:color="4F81BD"/>
      </w:pBdr>
      <w:spacing w:before="200" w:after="280"/>
      <w:ind w:left="936" w:right="936"/>
    </w:pPr>
    <w:rPr>
      <w:b/>
      <w:bCs/>
      <w:i/>
      <w:iCs/>
      <w:color w:val="4F81BD"/>
    </w:rPr>
  </w:style>
  <w:style w:type="character" w:customStyle="1" w:styleId="LightShading-Accent2Char1">
    <w:name w:val="Light Shading - Accent 2 Char1"/>
    <w:link w:val="LightShading-Accent21"/>
    <w:uiPriority w:val="30"/>
    <w:rsid w:val="00BD6274"/>
    <w:rPr>
      <w:b/>
      <w:bCs/>
      <w:i/>
      <w:iCs/>
      <w:color w:val="4F81BD"/>
      <w:sz w:val="26"/>
      <w:szCs w:val="24"/>
    </w:rPr>
  </w:style>
  <w:style w:type="paragraph" w:customStyle="1" w:styleId="ColorfulList-Accent11">
    <w:name w:val="Colorful List - Accent 11"/>
    <w:basedOn w:val="Normal"/>
    <w:uiPriority w:val="34"/>
    <w:qFormat/>
    <w:rsid w:val="00BD6274"/>
    <w:pPr>
      <w:ind w:left="720"/>
    </w:pPr>
  </w:style>
  <w:style w:type="paragraph" w:customStyle="1" w:styleId="MediumGrid21">
    <w:name w:val="Medium Grid 21"/>
    <w:uiPriority w:val="1"/>
    <w:qFormat/>
    <w:rsid w:val="00BD6274"/>
    <w:pPr>
      <w:widowControl w:val="0"/>
      <w:autoSpaceDE w:val="0"/>
      <w:autoSpaceDN w:val="0"/>
      <w:adjustRightInd w:val="0"/>
    </w:pPr>
    <w:rPr>
      <w:sz w:val="26"/>
      <w:szCs w:val="24"/>
    </w:rPr>
  </w:style>
  <w:style w:type="paragraph" w:customStyle="1" w:styleId="ColorfulGrid-Accent11">
    <w:name w:val="Colorful Grid - Accent 11"/>
    <w:basedOn w:val="Normal"/>
    <w:next w:val="Normal"/>
    <w:link w:val="ColorfulGrid-Accent1Char1"/>
    <w:uiPriority w:val="29"/>
    <w:qFormat/>
    <w:rsid w:val="00BD6274"/>
    <w:rPr>
      <w:i/>
      <w:iCs/>
      <w:color w:val="000000"/>
    </w:rPr>
  </w:style>
  <w:style w:type="character" w:customStyle="1" w:styleId="ColorfulGrid-Accent1Char1">
    <w:name w:val="Colorful Grid - Accent 1 Char1"/>
    <w:link w:val="ColorfulGrid-Accent11"/>
    <w:uiPriority w:val="29"/>
    <w:rsid w:val="00BD6274"/>
    <w:rPr>
      <w:i/>
      <w:iCs/>
      <w:color w:val="000000"/>
      <w:sz w:val="26"/>
      <w:szCs w:val="24"/>
    </w:rPr>
  </w:style>
  <w:style w:type="paragraph" w:customStyle="1" w:styleId="TOCHeading2">
    <w:name w:val="TOC Heading2"/>
    <w:basedOn w:val="Heading1"/>
    <w:next w:val="Normal"/>
    <w:uiPriority w:val="39"/>
    <w:semiHidden/>
    <w:unhideWhenUsed/>
    <w:qFormat/>
    <w:rsid w:val="00BD6274"/>
    <w:pPr>
      <w:keepLines w:val="0"/>
      <w:widowControl w:val="0"/>
      <w:spacing w:before="240" w:after="60"/>
      <w:outlineLvl w:val="9"/>
    </w:pPr>
    <w:rPr>
      <w:rFonts w:ascii="Cambria" w:hAnsi="Cambria"/>
      <w:sz w:val="32"/>
      <w:u w:val="none"/>
    </w:rPr>
  </w:style>
  <w:style w:type="paragraph" w:customStyle="1" w:styleId="Default">
    <w:name w:val="Default"/>
    <w:rsid w:val="00A004C5"/>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8233EF"/>
  </w:style>
  <w:style w:type="paragraph" w:styleId="IntenseQuote">
    <w:name w:val="Intense Quote"/>
    <w:basedOn w:val="Normal"/>
    <w:next w:val="Normal"/>
    <w:link w:val="IntenseQuoteChar"/>
    <w:uiPriority w:val="30"/>
    <w:qFormat/>
    <w:rsid w:val="008233E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233EF"/>
    <w:rPr>
      <w:b/>
      <w:bCs/>
      <w:i/>
      <w:iCs/>
      <w:color w:val="4F81BD"/>
      <w:sz w:val="26"/>
      <w:szCs w:val="24"/>
    </w:rPr>
  </w:style>
  <w:style w:type="paragraph" w:styleId="ListParagraph">
    <w:name w:val="List Paragraph"/>
    <w:basedOn w:val="Normal"/>
    <w:uiPriority w:val="34"/>
    <w:qFormat/>
    <w:rsid w:val="008233EF"/>
    <w:pPr>
      <w:ind w:left="720"/>
    </w:pPr>
  </w:style>
  <w:style w:type="paragraph" w:styleId="NoSpacing">
    <w:name w:val="No Spacing"/>
    <w:uiPriority w:val="1"/>
    <w:qFormat/>
    <w:rsid w:val="008233EF"/>
    <w:pPr>
      <w:widowControl w:val="0"/>
      <w:autoSpaceDE w:val="0"/>
      <w:autoSpaceDN w:val="0"/>
      <w:adjustRightInd w:val="0"/>
    </w:pPr>
    <w:rPr>
      <w:sz w:val="26"/>
      <w:szCs w:val="24"/>
    </w:rPr>
  </w:style>
  <w:style w:type="paragraph" w:styleId="Quote">
    <w:name w:val="Quote"/>
    <w:basedOn w:val="Normal"/>
    <w:next w:val="Normal"/>
    <w:link w:val="QuoteChar"/>
    <w:uiPriority w:val="29"/>
    <w:qFormat/>
    <w:rsid w:val="008233EF"/>
    <w:rPr>
      <w:i/>
      <w:iCs/>
      <w:color w:val="000000"/>
    </w:rPr>
  </w:style>
  <w:style w:type="character" w:customStyle="1" w:styleId="QuoteChar">
    <w:name w:val="Quote Char"/>
    <w:link w:val="Quote"/>
    <w:uiPriority w:val="29"/>
    <w:rsid w:val="008233EF"/>
    <w:rPr>
      <w:i/>
      <w:iCs/>
      <w:color w:val="000000"/>
      <w:sz w:val="26"/>
      <w:szCs w:val="24"/>
    </w:rPr>
  </w:style>
  <w:style w:type="paragraph" w:styleId="TOCHeading">
    <w:name w:val="TOC Heading"/>
    <w:basedOn w:val="Heading1"/>
    <w:next w:val="Normal"/>
    <w:uiPriority w:val="39"/>
    <w:semiHidden/>
    <w:unhideWhenUsed/>
    <w:qFormat/>
    <w:rsid w:val="008233EF"/>
    <w:pPr>
      <w:keepLines w:val="0"/>
      <w:widowControl w:val="0"/>
      <w:spacing w:before="240" w:after="60"/>
      <w:outlineLvl w:val="9"/>
    </w:pPr>
    <w:rPr>
      <w:rFonts w:ascii="Cambria" w:hAnsi="Cambria"/>
      <w:sz w:val="32"/>
      <w:u w:val="none"/>
    </w:rPr>
  </w:style>
  <w:style w:type="character" w:customStyle="1" w:styleId="a0">
    <w:basedOn w:val="DefaultParagraphFont"/>
    <w:rsid w:val="00FA7CA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0414">
      <w:bodyDiv w:val="1"/>
      <w:marLeft w:val="0"/>
      <w:marRight w:val="0"/>
      <w:marTop w:val="0"/>
      <w:marBottom w:val="0"/>
      <w:divBdr>
        <w:top w:val="none" w:sz="0" w:space="0" w:color="auto"/>
        <w:left w:val="none" w:sz="0" w:space="0" w:color="auto"/>
        <w:bottom w:val="none" w:sz="0" w:space="0" w:color="auto"/>
        <w:right w:val="none" w:sz="0" w:space="0" w:color="auto"/>
      </w:divBdr>
    </w:div>
    <w:div w:id="561840905">
      <w:bodyDiv w:val="1"/>
      <w:marLeft w:val="0"/>
      <w:marRight w:val="0"/>
      <w:marTop w:val="0"/>
      <w:marBottom w:val="0"/>
      <w:divBdr>
        <w:top w:val="none" w:sz="0" w:space="0" w:color="auto"/>
        <w:left w:val="none" w:sz="0" w:space="0" w:color="auto"/>
        <w:bottom w:val="none" w:sz="0" w:space="0" w:color="auto"/>
        <w:right w:val="none" w:sz="0" w:space="0" w:color="auto"/>
      </w:divBdr>
    </w:div>
    <w:div w:id="718629079">
      <w:bodyDiv w:val="1"/>
      <w:marLeft w:val="0"/>
      <w:marRight w:val="0"/>
      <w:marTop w:val="0"/>
      <w:marBottom w:val="0"/>
      <w:divBdr>
        <w:top w:val="none" w:sz="0" w:space="0" w:color="auto"/>
        <w:left w:val="none" w:sz="0" w:space="0" w:color="auto"/>
        <w:bottom w:val="none" w:sz="0" w:space="0" w:color="auto"/>
        <w:right w:val="none" w:sz="0" w:space="0" w:color="auto"/>
      </w:divBdr>
      <w:divsChild>
        <w:div w:id="1018770950">
          <w:marLeft w:val="0"/>
          <w:marRight w:val="0"/>
          <w:marTop w:val="0"/>
          <w:marBottom w:val="0"/>
          <w:divBdr>
            <w:top w:val="none" w:sz="0" w:space="0" w:color="auto"/>
            <w:left w:val="none" w:sz="0" w:space="0" w:color="auto"/>
            <w:bottom w:val="none" w:sz="0" w:space="0" w:color="auto"/>
            <w:right w:val="none" w:sz="0" w:space="0" w:color="auto"/>
          </w:divBdr>
        </w:div>
        <w:div w:id="1309825872">
          <w:marLeft w:val="0"/>
          <w:marRight w:val="0"/>
          <w:marTop w:val="0"/>
          <w:marBottom w:val="0"/>
          <w:divBdr>
            <w:top w:val="none" w:sz="0" w:space="0" w:color="auto"/>
            <w:left w:val="none" w:sz="0" w:space="0" w:color="auto"/>
            <w:bottom w:val="none" w:sz="0" w:space="0" w:color="auto"/>
            <w:right w:val="none" w:sz="0" w:space="0" w:color="auto"/>
          </w:divBdr>
        </w:div>
      </w:divsChild>
    </w:div>
    <w:div w:id="1453399449">
      <w:bodyDiv w:val="1"/>
      <w:marLeft w:val="0"/>
      <w:marRight w:val="0"/>
      <w:marTop w:val="0"/>
      <w:marBottom w:val="0"/>
      <w:divBdr>
        <w:top w:val="none" w:sz="0" w:space="0" w:color="auto"/>
        <w:left w:val="none" w:sz="0" w:space="0" w:color="auto"/>
        <w:bottom w:val="none" w:sz="0" w:space="0" w:color="auto"/>
        <w:right w:val="none" w:sz="0" w:space="0" w:color="auto"/>
      </w:divBdr>
    </w:div>
    <w:div w:id="18793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files/ORD-Signatory-Status-Version-3%20(updated%2011-16-2011).pdf" TargetMode="External"/><Relationship Id="rId1" Type="http://schemas.openxmlformats.org/officeDocument/2006/relationships/hyperlink" Target="http://www.merriam-web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4F7B-DEEA-4496-A93B-1D51AC55C2E1}">
  <ds:schemaRefs>
    <ds:schemaRef ds:uri="http://schemas.microsoft.com/office/2006/metadata/properties"/>
  </ds:schemaRefs>
</ds:datastoreItem>
</file>

<file path=customXml/itemProps2.xml><?xml version="1.0" encoding="utf-8"?>
<ds:datastoreItem xmlns:ds="http://schemas.openxmlformats.org/officeDocument/2006/customXml" ds:itemID="{BFFA0AD4-D700-41A1-924E-42A60AA0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2A3277-08B0-4202-B883-1319FF582EEE}">
  <ds:schemaRefs>
    <ds:schemaRef ds:uri="http://schemas.microsoft.com/sharepoint/v3/contenttype/forms"/>
  </ds:schemaRefs>
</ds:datastoreItem>
</file>

<file path=customXml/itemProps4.xml><?xml version="1.0" encoding="utf-8"?>
<ds:datastoreItem xmlns:ds="http://schemas.openxmlformats.org/officeDocument/2006/customXml" ds:itemID="{1AA07345-32F5-418E-B290-7D4D8150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10405</Words>
  <Characters>59315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69581</CharactersWithSpaces>
  <SharedDoc>false</SharedDoc>
  <HyperlinkBase/>
  <HLinks>
    <vt:vector size="42" baseType="variant">
      <vt:variant>
        <vt:i4>1703986</vt:i4>
      </vt:variant>
      <vt:variant>
        <vt:i4>38</vt:i4>
      </vt:variant>
      <vt:variant>
        <vt:i4>0</vt:i4>
      </vt:variant>
      <vt:variant>
        <vt:i4>5</vt:i4>
      </vt:variant>
      <vt:variant>
        <vt:lpwstr/>
      </vt:variant>
      <vt:variant>
        <vt:lpwstr>_Toc358812828</vt:lpwstr>
      </vt:variant>
      <vt:variant>
        <vt:i4>1703986</vt:i4>
      </vt:variant>
      <vt:variant>
        <vt:i4>32</vt:i4>
      </vt:variant>
      <vt:variant>
        <vt:i4>0</vt:i4>
      </vt:variant>
      <vt:variant>
        <vt:i4>5</vt:i4>
      </vt:variant>
      <vt:variant>
        <vt:lpwstr/>
      </vt:variant>
      <vt:variant>
        <vt:lpwstr>_Toc358812827</vt:lpwstr>
      </vt:variant>
      <vt:variant>
        <vt:i4>1703986</vt:i4>
      </vt:variant>
      <vt:variant>
        <vt:i4>26</vt:i4>
      </vt:variant>
      <vt:variant>
        <vt:i4>0</vt:i4>
      </vt:variant>
      <vt:variant>
        <vt:i4>5</vt:i4>
      </vt:variant>
      <vt:variant>
        <vt:lpwstr/>
      </vt:variant>
      <vt:variant>
        <vt:lpwstr>_Toc358812826</vt:lpwstr>
      </vt:variant>
      <vt:variant>
        <vt:i4>1703986</vt:i4>
      </vt:variant>
      <vt:variant>
        <vt:i4>20</vt:i4>
      </vt:variant>
      <vt:variant>
        <vt:i4>0</vt:i4>
      </vt:variant>
      <vt:variant>
        <vt:i4>5</vt:i4>
      </vt:variant>
      <vt:variant>
        <vt:lpwstr/>
      </vt:variant>
      <vt:variant>
        <vt:lpwstr>_Toc358812825</vt:lpwstr>
      </vt:variant>
      <vt:variant>
        <vt:i4>1703986</vt:i4>
      </vt:variant>
      <vt:variant>
        <vt:i4>14</vt:i4>
      </vt:variant>
      <vt:variant>
        <vt:i4>0</vt:i4>
      </vt:variant>
      <vt:variant>
        <vt:i4>5</vt:i4>
      </vt:variant>
      <vt:variant>
        <vt:lpwstr/>
      </vt:variant>
      <vt:variant>
        <vt:lpwstr>_Toc358812824</vt:lpwstr>
      </vt:variant>
      <vt:variant>
        <vt:i4>1703986</vt:i4>
      </vt:variant>
      <vt:variant>
        <vt:i4>8</vt:i4>
      </vt:variant>
      <vt:variant>
        <vt:i4>0</vt:i4>
      </vt:variant>
      <vt:variant>
        <vt:i4>5</vt:i4>
      </vt:variant>
      <vt:variant>
        <vt:lpwstr/>
      </vt:variant>
      <vt:variant>
        <vt:lpwstr>_Toc358812823</vt:lpwstr>
      </vt:variant>
      <vt:variant>
        <vt:i4>1703986</vt:i4>
      </vt:variant>
      <vt:variant>
        <vt:i4>2</vt:i4>
      </vt:variant>
      <vt:variant>
        <vt:i4>0</vt:i4>
      </vt:variant>
      <vt:variant>
        <vt:i4>5</vt:i4>
      </vt:variant>
      <vt:variant>
        <vt:lpwstr/>
      </vt:variant>
      <vt:variant>
        <vt:lpwstr>_Toc358812822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2015-11-19T17:08:00Z</dcterms:created>
  <dcterms:modified xsi:type="dcterms:W3CDTF">2015-11-19T17:08:00Z</dcterms:modified>
  <dc:identifier/>
  <cp:version/>
</cp:coreProperties>
</file>