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54F86" w14:textId="77777777" w:rsidR="001E19E1" w:rsidRDefault="00272ADC">
      <w:pPr>
        <w:jc w:val="center"/>
      </w:pPr>
      <w:r>
        <w:t>185 FERC ¶ 61,064</w:t>
      </w:r>
    </w:p>
    <w:p w14:paraId="2796FECD" w14:textId="77777777" w:rsidR="00F665C7" w:rsidRPr="00395600" w:rsidRDefault="00F665C7" w:rsidP="00922940">
      <w:pPr>
        <w:jc w:val="center"/>
      </w:pPr>
      <w:r w:rsidRPr="00395600">
        <w:t>DEPARTMENT OF ENERGY</w:t>
      </w:r>
    </w:p>
    <w:p w14:paraId="66B9C893" w14:textId="77777777" w:rsidR="00F665C7" w:rsidRPr="00395600" w:rsidRDefault="00F665C7" w:rsidP="00922940">
      <w:pPr>
        <w:jc w:val="center"/>
      </w:pPr>
      <w:r w:rsidRPr="00395600">
        <w:t>FEDERAL ENERGY REGULATORY COMMISSION</w:t>
      </w:r>
    </w:p>
    <w:p w14:paraId="0050A1E6" w14:textId="77777777" w:rsidR="00F665C7" w:rsidRPr="00395600" w:rsidRDefault="00F665C7" w:rsidP="00922940">
      <w:pPr>
        <w:jc w:val="center"/>
      </w:pPr>
    </w:p>
    <w:p w14:paraId="305F96A6" w14:textId="5BDD7C5D" w:rsidR="00F665C7" w:rsidRPr="00395600" w:rsidRDefault="00F665C7" w:rsidP="00922940">
      <w:pPr>
        <w:jc w:val="center"/>
      </w:pPr>
      <w:r w:rsidRPr="00395600">
        <w:t xml:space="preserve">18 CFR Part </w:t>
      </w:r>
      <w:r w:rsidR="0043135D">
        <w:t>40</w:t>
      </w:r>
    </w:p>
    <w:p w14:paraId="5E232A95" w14:textId="77777777" w:rsidR="00F665C7" w:rsidRPr="00395600" w:rsidRDefault="00F665C7" w:rsidP="00922940">
      <w:pPr>
        <w:jc w:val="center"/>
      </w:pPr>
    </w:p>
    <w:p w14:paraId="06257AE9" w14:textId="3D385861" w:rsidR="00F665C7" w:rsidRDefault="00F665C7" w:rsidP="00922940">
      <w:pPr>
        <w:jc w:val="center"/>
      </w:pPr>
      <w:r w:rsidRPr="00395600">
        <w:t>[</w:t>
      </w:r>
      <w:r>
        <w:t>Docket No</w:t>
      </w:r>
      <w:r w:rsidR="005111CA">
        <w:t>.</w:t>
      </w:r>
      <w:r>
        <w:t xml:space="preserve"> RM19-17-001</w:t>
      </w:r>
      <w:r w:rsidRPr="00395600">
        <w:t>; Order No.</w:t>
      </w:r>
      <w:r>
        <w:t xml:space="preserve"> </w:t>
      </w:r>
      <w:r w:rsidR="0043135D">
        <w:t>902</w:t>
      </w:r>
      <w:r w:rsidRPr="00395600">
        <w:t>]</w:t>
      </w:r>
    </w:p>
    <w:p w14:paraId="66E8FBE2" w14:textId="77777777" w:rsidR="00F665C7" w:rsidRDefault="00F665C7" w:rsidP="00922940">
      <w:pPr>
        <w:jc w:val="center"/>
      </w:pPr>
    </w:p>
    <w:p w14:paraId="7F4FE90B" w14:textId="748DF0C1" w:rsidR="00F665C7" w:rsidRDefault="00F665C7" w:rsidP="00922940">
      <w:pPr>
        <w:jc w:val="center"/>
      </w:pPr>
      <w:r w:rsidRPr="00F665C7">
        <w:t>Electric Reliability Organization Proposal to Retire Requirements in Reliability Standards Under the NERC Standards Efficiency Review</w:t>
      </w:r>
    </w:p>
    <w:p w14:paraId="37AC540A" w14:textId="77777777" w:rsidR="00F665C7" w:rsidRPr="00395600" w:rsidRDefault="00F665C7" w:rsidP="00922940">
      <w:pPr>
        <w:jc w:val="center"/>
      </w:pPr>
    </w:p>
    <w:p w14:paraId="2E24EDE3" w14:textId="77777777" w:rsidR="00F665C7" w:rsidRPr="00395600" w:rsidRDefault="00F665C7" w:rsidP="00922940">
      <w:pPr>
        <w:spacing w:after="260"/>
      </w:pPr>
      <w:r w:rsidRPr="00AD5134">
        <w:rPr>
          <w:b/>
          <w:bCs/>
        </w:rPr>
        <w:t>AGENCY</w:t>
      </w:r>
      <w:r w:rsidRPr="00395600">
        <w:t>:  Federal Energy Regulatory Commission.</w:t>
      </w:r>
    </w:p>
    <w:p w14:paraId="59C6ED69" w14:textId="77777777" w:rsidR="00F665C7" w:rsidRPr="00395600" w:rsidRDefault="00F665C7" w:rsidP="00922940">
      <w:pPr>
        <w:spacing w:after="260"/>
      </w:pPr>
      <w:r w:rsidRPr="00AD5134">
        <w:rPr>
          <w:b/>
          <w:bCs/>
        </w:rPr>
        <w:t>ACTION</w:t>
      </w:r>
      <w:r w:rsidRPr="00395600">
        <w:t xml:space="preserve">:  Final </w:t>
      </w:r>
      <w:r>
        <w:t>r</w:t>
      </w:r>
      <w:r w:rsidRPr="00395600">
        <w:t>ule</w:t>
      </w:r>
    </w:p>
    <w:p w14:paraId="3F8ECE14" w14:textId="0E700AE3" w:rsidR="00F665C7" w:rsidRPr="00395600" w:rsidRDefault="00F665C7" w:rsidP="00922940">
      <w:pPr>
        <w:spacing w:line="480" w:lineRule="auto"/>
      </w:pPr>
      <w:r w:rsidRPr="00AD5134">
        <w:rPr>
          <w:b/>
          <w:bCs/>
        </w:rPr>
        <w:t>SUMMARY</w:t>
      </w:r>
      <w:r w:rsidRPr="00395600">
        <w:t xml:space="preserve">:  </w:t>
      </w:r>
      <w:r w:rsidRPr="00F665C7">
        <w:t xml:space="preserve">The Federal Energy Regulatory Commission (Commission) approves </w:t>
      </w:r>
      <w:r w:rsidR="00DB0DBC">
        <w:br/>
      </w:r>
      <w:r w:rsidRPr="00F665C7">
        <w:t xml:space="preserve">the retirement of </w:t>
      </w:r>
      <w:r w:rsidR="00AE5654">
        <w:t xml:space="preserve">six </w:t>
      </w:r>
      <w:r w:rsidRPr="00F665C7">
        <w:t>Reliability Standard</w:t>
      </w:r>
      <w:r w:rsidR="00AE5654">
        <w:t>s</w:t>
      </w:r>
      <w:r w:rsidRPr="00F665C7">
        <w:t xml:space="preserve"> </w:t>
      </w:r>
      <w:r w:rsidR="00030A96">
        <w:t xml:space="preserve">and their </w:t>
      </w:r>
      <w:r w:rsidRPr="00F665C7">
        <w:t xml:space="preserve">requirements </w:t>
      </w:r>
      <w:r w:rsidR="000078BC">
        <w:t>proposed</w:t>
      </w:r>
      <w:r w:rsidRPr="00F665C7">
        <w:t xml:space="preserve"> by the North American Electric Reliability Corporation, the Commission-certified Electric Reliability Organization. </w:t>
      </w:r>
    </w:p>
    <w:p w14:paraId="6484B58C" w14:textId="13A0F71D" w:rsidR="00F665C7" w:rsidRPr="00395600" w:rsidRDefault="00F665C7" w:rsidP="00922940">
      <w:pPr>
        <w:spacing w:line="480" w:lineRule="auto"/>
      </w:pPr>
      <w:r w:rsidRPr="00591753">
        <w:rPr>
          <w:b/>
          <w:bCs/>
        </w:rPr>
        <w:t>DATE</w:t>
      </w:r>
      <w:r>
        <w:rPr>
          <w:b/>
          <w:bCs/>
        </w:rPr>
        <w:t>S</w:t>
      </w:r>
      <w:r w:rsidRPr="00395600">
        <w:t xml:space="preserve">: </w:t>
      </w:r>
      <w:r w:rsidR="00DA6300">
        <w:t xml:space="preserve">This rule will become effective </w:t>
      </w:r>
      <w:r w:rsidR="001B6F0B" w:rsidRPr="001B6F0B">
        <w:rPr>
          <w:bCs/>
        </w:rPr>
        <w:t>February 1, 2024.</w:t>
      </w:r>
    </w:p>
    <w:p w14:paraId="6F158AAB" w14:textId="62892972" w:rsidR="00F665C7" w:rsidRPr="00395600" w:rsidRDefault="00F665C7" w:rsidP="00922940">
      <w:r w:rsidRPr="00AD5134">
        <w:rPr>
          <w:b/>
          <w:bCs/>
        </w:rPr>
        <w:t>FOR FURTHER INFORMATION CONTACT</w:t>
      </w:r>
      <w:r w:rsidRPr="00395600">
        <w:t>:</w:t>
      </w:r>
    </w:p>
    <w:p w14:paraId="0E3B3360" w14:textId="77777777" w:rsidR="00F665C7" w:rsidRDefault="00F665C7" w:rsidP="00922940">
      <w:r>
        <w:t xml:space="preserve">Michael Gandolfo (Technical Information) </w:t>
      </w:r>
    </w:p>
    <w:p w14:paraId="6792C835" w14:textId="77777777" w:rsidR="00F665C7" w:rsidRDefault="00F665C7" w:rsidP="00922940">
      <w:r>
        <w:t>Office of Electric Reliability</w:t>
      </w:r>
    </w:p>
    <w:p w14:paraId="73D48147" w14:textId="77777777" w:rsidR="00F665C7" w:rsidRDefault="00F665C7" w:rsidP="00922940">
      <w:r>
        <w:t xml:space="preserve">Federal Energy Regulatory Commission </w:t>
      </w:r>
    </w:p>
    <w:p w14:paraId="0939C694" w14:textId="77777777" w:rsidR="00F665C7" w:rsidRDefault="00F665C7" w:rsidP="00922940">
      <w:r>
        <w:t xml:space="preserve">888 First Street, NE </w:t>
      </w:r>
    </w:p>
    <w:p w14:paraId="41C6C54F" w14:textId="77777777" w:rsidR="00F665C7" w:rsidRDefault="00F665C7" w:rsidP="00922940">
      <w:r>
        <w:t xml:space="preserve">Washington, DC 20426 </w:t>
      </w:r>
    </w:p>
    <w:p w14:paraId="05A29639" w14:textId="77777777" w:rsidR="00F665C7" w:rsidRDefault="00F665C7" w:rsidP="00922940">
      <w:r>
        <w:t xml:space="preserve">Telephone: (202) 502-6817 </w:t>
      </w:r>
    </w:p>
    <w:p w14:paraId="7728F6F8" w14:textId="77777777" w:rsidR="00F665C7" w:rsidRDefault="00F665C7" w:rsidP="00922940"/>
    <w:p w14:paraId="44352A4A" w14:textId="77777777" w:rsidR="00F665C7" w:rsidRDefault="00F665C7" w:rsidP="00922940">
      <w:r>
        <w:t xml:space="preserve">Mark Bennett (Legal Information) </w:t>
      </w:r>
    </w:p>
    <w:p w14:paraId="23BC3A92" w14:textId="77777777" w:rsidR="00F665C7" w:rsidRDefault="00F665C7" w:rsidP="00922940">
      <w:r>
        <w:t xml:space="preserve">Office of the General Counsel </w:t>
      </w:r>
    </w:p>
    <w:p w14:paraId="685FF84A" w14:textId="77777777" w:rsidR="00F665C7" w:rsidRDefault="00F665C7" w:rsidP="00922940">
      <w:r>
        <w:t xml:space="preserve">Federal Energy Regulatory Commission </w:t>
      </w:r>
    </w:p>
    <w:p w14:paraId="59C94664" w14:textId="77777777" w:rsidR="00F665C7" w:rsidRDefault="00F665C7" w:rsidP="00922940">
      <w:r>
        <w:t xml:space="preserve">888 First Street, NE </w:t>
      </w:r>
    </w:p>
    <w:p w14:paraId="052AC23D" w14:textId="77777777" w:rsidR="002B3E54" w:rsidRDefault="00F665C7" w:rsidP="00922940">
      <w:r>
        <w:t xml:space="preserve">Washington, DC 20426 </w:t>
      </w:r>
    </w:p>
    <w:p w14:paraId="6FB724E5" w14:textId="6DD7A6E6" w:rsidR="00F665C7" w:rsidRDefault="00F665C7" w:rsidP="00922940">
      <w:r>
        <w:t>Telephone: (202) 502-8524</w:t>
      </w:r>
    </w:p>
    <w:p w14:paraId="1F8945BD" w14:textId="77777777" w:rsidR="002B3E54" w:rsidRDefault="002B3E54" w:rsidP="00922940">
      <w:pPr>
        <w:rPr>
          <w:b/>
          <w:bCs/>
        </w:rPr>
      </w:pPr>
    </w:p>
    <w:p w14:paraId="600F5E20" w14:textId="5665EEDC" w:rsidR="00F665C7" w:rsidRPr="00395600" w:rsidRDefault="00F665C7" w:rsidP="00922940">
      <w:pPr>
        <w:sectPr w:rsidR="00F665C7" w:rsidRPr="00395600" w:rsidSect="00F665C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fmt="lowerRoman" w:start="1"/>
          <w:cols w:space="720"/>
          <w:titlePg/>
          <w:docGrid w:linePitch="360"/>
        </w:sectPr>
      </w:pPr>
      <w:r w:rsidRPr="00AD5134">
        <w:rPr>
          <w:b/>
          <w:bCs/>
        </w:rPr>
        <w:t>SUPPLEMENTARY INFORMATION</w:t>
      </w:r>
      <w:r w:rsidRPr="00395600">
        <w:t>:</w:t>
      </w:r>
    </w:p>
    <w:p w14:paraId="5F5E9864" w14:textId="77777777" w:rsidR="00272ADC" w:rsidRDefault="00272ADC" w:rsidP="00272ADC">
      <w:pPr>
        <w:jc w:val="center"/>
      </w:pPr>
      <w:r>
        <w:lastRenderedPageBreak/>
        <w:t>185 FERC ¶ 61,064</w:t>
      </w:r>
    </w:p>
    <w:p w14:paraId="489AD20F" w14:textId="78E77CB6" w:rsidR="00F665C7" w:rsidRPr="00395600" w:rsidRDefault="00F665C7" w:rsidP="00922940">
      <w:pPr>
        <w:jc w:val="center"/>
      </w:pPr>
      <w:r w:rsidRPr="00395600">
        <w:t>UNITED STATES OF AMERICA</w:t>
      </w:r>
    </w:p>
    <w:p w14:paraId="76795A85" w14:textId="77777777" w:rsidR="00F665C7" w:rsidRPr="00395600" w:rsidRDefault="00F665C7" w:rsidP="00922940">
      <w:pPr>
        <w:jc w:val="center"/>
      </w:pPr>
      <w:r w:rsidRPr="00395600">
        <w:t>FEDERAL ENERGY REGULATORY COMMISSION</w:t>
      </w:r>
    </w:p>
    <w:p w14:paraId="28928EB0" w14:textId="01F906A2" w:rsidR="00F665C7" w:rsidRDefault="00F665C7" w:rsidP="00922940"/>
    <w:p w14:paraId="4980373D" w14:textId="77777777" w:rsidR="00FB7254" w:rsidRPr="00395600" w:rsidRDefault="00FB7254" w:rsidP="00922940"/>
    <w:p w14:paraId="1978BED8" w14:textId="4746444C" w:rsidR="00F665C7" w:rsidRPr="00A03EFF" w:rsidRDefault="00A03EFF" w:rsidP="00A03EFF">
      <w:pPr>
        <w:widowControl/>
      </w:pPr>
      <w:r w:rsidRPr="00A03EFF">
        <w:t>Before Commissioners:  Willie L. Phillips, Acting Chairman;</w:t>
      </w:r>
    </w:p>
    <w:p w14:paraId="6DB70059" w14:textId="1979764C" w:rsidR="00A03EFF" w:rsidRPr="00A03EFF" w:rsidRDefault="00A03EFF" w:rsidP="00A03EFF">
      <w:pPr>
        <w:widowControl/>
      </w:pPr>
      <w:r w:rsidRPr="00A03EFF">
        <w:t xml:space="preserve">                                        James P. Danly, Allison Clements,</w:t>
      </w:r>
    </w:p>
    <w:p w14:paraId="63BC1155" w14:textId="40F1CDE9" w:rsidR="00A03EFF" w:rsidRPr="00395600" w:rsidRDefault="00A03EFF" w:rsidP="00A03EFF">
      <w:pPr>
        <w:widowControl/>
      </w:pPr>
      <w:r w:rsidRPr="00A03EFF">
        <w:t xml:space="preserve">                                        and Mark C. Christie.</w:t>
      </w:r>
    </w:p>
    <w:p w14:paraId="483E3431" w14:textId="56D3F674" w:rsidR="00F665C7" w:rsidRDefault="00F665C7" w:rsidP="0092294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928"/>
        <w:gridCol w:w="1812"/>
        <w:gridCol w:w="1620"/>
      </w:tblGrid>
      <w:tr w:rsidR="00F665C7" w:rsidRPr="00395600" w14:paraId="00C56362" w14:textId="77777777" w:rsidTr="00545094">
        <w:tc>
          <w:tcPr>
            <w:tcW w:w="5928" w:type="dxa"/>
            <w:shd w:val="clear" w:color="auto" w:fill="auto"/>
          </w:tcPr>
          <w:p w14:paraId="15651FD5" w14:textId="0A8F328D" w:rsidR="00F665C7" w:rsidRPr="00395600" w:rsidRDefault="00F665C7" w:rsidP="00922940">
            <w:pPr>
              <w:widowControl/>
              <w:autoSpaceDE/>
              <w:autoSpaceDN/>
              <w:adjustRightInd/>
              <w:rPr>
                <w:rFonts w:cstheme="minorBidi"/>
                <w:szCs w:val="22"/>
              </w:rPr>
            </w:pPr>
            <w:r w:rsidRPr="00F665C7">
              <w:rPr>
                <w:rFonts w:cstheme="minorBidi"/>
                <w:szCs w:val="22"/>
              </w:rPr>
              <w:t>Electric Reliability Organization Proposal to Retire Requirements in Reliability Standards Under the NERC Standards Efficiency Review</w:t>
            </w:r>
          </w:p>
        </w:tc>
        <w:tc>
          <w:tcPr>
            <w:tcW w:w="1812" w:type="dxa"/>
            <w:shd w:val="clear" w:color="auto" w:fill="auto"/>
          </w:tcPr>
          <w:p w14:paraId="6382F4A9" w14:textId="65CDFB5D" w:rsidR="00F665C7" w:rsidRPr="00395600" w:rsidRDefault="00545094" w:rsidP="00545094">
            <w:pPr>
              <w:widowControl/>
              <w:autoSpaceDE/>
              <w:autoSpaceDN/>
              <w:adjustRightInd/>
              <w:ind w:left="90" w:hanging="90"/>
              <w:rPr>
                <w:rFonts w:cstheme="minorBidi"/>
                <w:szCs w:val="22"/>
              </w:rPr>
            </w:pPr>
            <w:r>
              <w:rPr>
                <w:rFonts w:cstheme="minorBidi"/>
                <w:szCs w:val="22"/>
              </w:rPr>
              <w:t xml:space="preserve">      </w:t>
            </w:r>
            <w:r w:rsidR="00F665C7">
              <w:rPr>
                <w:rFonts w:cstheme="minorBidi"/>
                <w:szCs w:val="22"/>
              </w:rPr>
              <w:t>Docket No.</w:t>
            </w:r>
            <w:r>
              <w:rPr>
                <w:rFonts w:cstheme="minorBidi"/>
                <w:szCs w:val="22"/>
              </w:rPr>
              <w:t xml:space="preserve">  </w:t>
            </w:r>
          </w:p>
        </w:tc>
        <w:tc>
          <w:tcPr>
            <w:tcW w:w="1620" w:type="dxa"/>
            <w:shd w:val="clear" w:color="auto" w:fill="auto"/>
          </w:tcPr>
          <w:p w14:paraId="31F0DFC5" w14:textId="0D7A0BD4" w:rsidR="00F665C7" w:rsidRPr="00395600" w:rsidRDefault="00545094" w:rsidP="00545094">
            <w:pPr>
              <w:widowControl/>
              <w:autoSpaceDE/>
              <w:autoSpaceDN/>
              <w:adjustRightInd/>
              <w:ind w:left="-105" w:hanging="180"/>
              <w:rPr>
                <w:rFonts w:cstheme="minorBidi"/>
                <w:szCs w:val="22"/>
              </w:rPr>
            </w:pPr>
            <w:r>
              <w:rPr>
                <w:rFonts w:cstheme="minorBidi"/>
                <w:szCs w:val="22"/>
              </w:rPr>
              <w:t xml:space="preserve">   </w:t>
            </w:r>
            <w:r w:rsidR="00F665C7">
              <w:rPr>
                <w:rFonts w:cstheme="minorBidi"/>
                <w:szCs w:val="22"/>
              </w:rPr>
              <w:t>RM19-17-00</w:t>
            </w:r>
            <w:r w:rsidR="00AB02A0">
              <w:rPr>
                <w:rFonts w:cstheme="minorBidi"/>
                <w:szCs w:val="22"/>
              </w:rPr>
              <w:t>1</w:t>
            </w:r>
          </w:p>
        </w:tc>
      </w:tr>
    </w:tbl>
    <w:p w14:paraId="2F825FC6" w14:textId="263075E4" w:rsidR="00F665C7" w:rsidRDefault="00F665C7" w:rsidP="00922940"/>
    <w:p w14:paraId="358185C5" w14:textId="1F776AFF" w:rsidR="00F665C7" w:rsidRDefault="00F665C7" w:rsidP="00922940">
      <w:pPr>
        <w:jc w:val="center"/>
      </w:pPr>
      <w:r w:rsidRPr="00395600">
        <w:t>ORDER NO.</w:t>
      </w:r>
      <w:r w:rsidR="00A03EFF">
        <w:t xml:space="preserve"> 902</w:t>
      </w:r>
      <w:r>
        <w:t xml:space="preserve">   </w:t>
      </w:r>
    </w:p>
    <w:p w14:paraId="44F5A996" w14:textId="7FB92B66" w:rsidR="00F665C7" w:rsidRDefault="00F665C7" w:rsidP="00922940">
      <w:pPr>
        <w:jc w:val="center"/>
      </w:pPr>
    </w:p>
    <w:p w14:paraId="1F77C339" w14:textId="77777777" w:rsidR="00F665C7" w:rsidRDefault="00F665C7" w:rsidP="00922940">
      <w:pPr>
        <w:jc w:val="center"/>
      </w:pPr>
      <w:r w:rsidRPr="00395600">
        <w:t>FINAL RULE</w:t>
      </w:r>
    </w:p>
    <w:p w14:paraId="5089327B" w14:textId="37B71059" w:rsidR="00F665C7" w:rsidRDefault="00F665C7" w:rsidP="00922940">
      <w:pPr>
        <w:jc w:val="center"/>
      </w:pPr>
    </w:p>
    <w:p w14:paraId="3A626B2E" w14:textId="3E4CD1A0" w:rsidR="00F665C7" w:rsidRDefault="00A03EFF" w:rsidP="00A03EFF">
      <w:pPr>
        <w:widowControl/>
        <w:jc w:val="center"/>
      </w:pPr>
      <w:r w:rsidRPr="00A03EFF">
        <w:t>(Issued October 26, 2023)</w:t>
      </w:r>
    </w:p>
    <w:p w14:paraId="48400F8A" w14:textId="77777777" w:rsidR="00FB7254" w:rsidRPr="00A03EFF" w:rsidRDefault="00FB7254" w:rsidP="00A03EFF">
      <w:pPr>
        <w:widowControl/>
      </w:pPr>
    </w:p>
    <w:p w14:paraId="7CC064CC" w14:textId="1DDBC158" w:rsidR="006C4D54" w:rsidRDefault="006C4D54" w:rsidP="008A4DBD">
      <w:pPr>
        <w:pStyle w:val="FERCparanumber"/>
        <w:numPr>
          <w:ilvl w:val="0"/>
          <w:numId w:val="16"/>
        </w:numPr>
      </w:pPr>
      <w:bookmarkStart w:id="0" w:name="_Start_TOC"/>
      <w:bookmarkEnd w:id="0"/>
      <w:r w:rsidRPr="006C4D54">
        <w:t>Pursuant to section 215(d)(2) of the Federal Power Act (FPA),</w:t>
      </w:r>
      <w:r>
        <w:rPr>
          <w:rStyle w:val="FootnoteReference"/>
        </w:rPr>
        <w:footnoteReference w:id="2"/>
      </w:r>
      <w:r w:rsidRPr="006C4D54">
        <w:t xml:space="preserve"> the Commission approves </w:t>
      </w:r>
      <w:r w:rsidR="00580885" w:rsidRPr="006C4D54">
        <w:t xml:space="preserve">the North American Electric </w:t>
      </w:r>
      <w:r w:rsidR="00580885" w:rsidRPr="00F667B1">
        <w:t>Reliability</w:t>
      </w:r>
      <w:r w:rsidR="00580885" w:rsidRPr="006C4D54">
        <w:t xml:space="preserve"> Corporation</w:t>
      </w:r>
      <w:r w:rsidR="00580885">
        <w:t>’s</w:t>
      </w:r>
      <w:r w:rsidR="00580885" w:rsidRPr="006C4D54">
        <w:t xml:space="preserve"> (NERC)</w:t>
      </w:r>
      <w:r w:rsidR="00580885">
        <w:t xml:space="preserve"> request to retire </w:t>
      </w:r>
      <w:r w:rsidR="00133805">
        <w:t>six</w:t>
      </w:r>
      <w:r w:rsidRPr="006C4D54">
        <w:t xml:space="preserve"> Reliability Standard</w:t>
      </w:r>
      <w:r w:rsidR="00C375AD">
        <w:t>s</w:t>
      </w:r>
      <w:r w:rsidRPr="006C4D54">
        <w:t xml:space="preserve"> </w:t>
      </w:r>
      <w:r w:rsidR="00EC4A0B">
        <w:t>with a</w:t>
      </w:r>
      <w:r w:rsidR="001E35CB">
        <w:t xml:space="preserve"> </w:t>
      </w:r>
      <w:r w:rsidR="001E35CB" w:rsidRPr="008A4DBD">
        <w:t>combined</w:t>
      </w:r>
      <w:r w:rsidR="00EC4A0B">
        <w:t xml:space="preserve"> total of 56 </w:t>
      </w:r>
      <w:r w:rsidRPr="006C4D54">
        <w:t xml:space="preserve">requirements. </w:t>
      </w:r>
      <w:r w:rsidR="000153F6">
        <w:t xml:space="preserve"> </w:t>
      </w:r>
      <w:r w:rsidRPr="006C4D54">
        <w:t xml:space="preserve">For the reasons discussed below, we determine that the retirement of </w:t>
      </w:r>
      <w:r w:rsidR="00267189">
        <w:t>six</w:t>
      </w:r>
      <w:r w:rsidRPr="006C4D54">
        <w:t xml:space="preserve"> Reliability Standards</w:t>
      </w:r>
      <w:r w:rsidR="000078BC">
        <w:t xml:space="preserve"> (the MOD A Reliability Standards)</w:t>
      </w:r>
      <w:r w:rsidR="000078BC">
        <w:rPr>
          <w:rStyle w:val="FootnoteReference"/>
        </w:rPr>
        <w:footnoteReference w:id="3"/>
      </w:r>
      <w:r w:rsidRPr="006C4D54">
        <w:t xml:space="preserve"> </w:t>
      </w:r>
      <w:r w:rsidR="006A5C26">
        <w:t xml:space="preserve">in their entirety </w:t>
      </w:r>
      <w:r w:rsidRPr="006C4D54">
        <w:t>is just, reasonable, not unduly discriminatory or preferential, and in the public interest.</w:t>
      </w:r>
      <w:r w:rsidR="00407B5F">
        <w:t xml:space="preserve">  </w:t>
      </w:r>
    </w:p>
    <w:p w14:paraId="08FB9CC5" w14:textId="39E0B65A" w:rsidR="00F665C7" w:rsidRDefault="00F665C7" w:rsidP="00F665C7">
      <w:pPr>
        <w:pStyle w:val="Heading1"/>
        <w:spacing w:after="0" w:line="480" w:lineRule="auto"/>
      </w:pPr>
      <w:r w:rsidRPr="00395600">
        <w:lastRenderedPageBreak/>
        <w:t>Background</w:t>
      </w:r>
    </w:p>
    <w:p w14:paraId="140F33FF" w14:textId="77777777" w:rsidR="00AC4543" w:rsidRDefault="00AC4543" w:rsidP="00AC4543">
      <w:pPr>
        <w:pStyle w:val="Heading2"/>
      </w:pPr>
      <w:bookmarkStart w:id="1" w:name="_bmk3"/>
      <w:r w:rsidRPr="006208DA">
        <w:t>S</w:t>
      </w:r>
      <w:bookmarkEnd w:id="1"/>
      <w:r w:rsidRPr="006208DA">
        <w:t>ection 215 of the FPA and the Mandatory Reliability Standards</w:t>
      </w:r>
    </w:p>
    <w:p w14:paraId="264A75E9" w14:textId="77777777" w:rsidR="00AC4543" w:rsidRPr="009E173D" w:rsidRDefault="00AC4543" w:rsidP="008A4DBD">
      <w:pPr>
        <w:pStyle w:val="FERCparanumber"/>
      </w:pPr>
      <w:bookmarkStart w:id="2" w:name="_Ref106204808"/>
      <w:r w:rsidRPr="009E173D">
        <w:t>Section 215 of the FPA provides that the Commission may certify an ERO, the purpose of which is to develop mandatory and enforceable Reliability Standards, subject to Commission review and approval.</w:t>
      </w:r>
      <w:r w:rsidRPr="009E173D">
        <w:rPr>
          <w:rStyle w:val="FootnoteReference"/>
        </w:rPr>
        <w:footnoteReference w:id="4"/>
      </w:r>
      <w:r w:rsidRPr="009E173D">
        <w:t xml:space="preserve">  Reliability Standards may be enforced by the ERO, subject to Commission oversight, or by the Commission independently.</w:t>
      </w:r>
      <w:r w:rsidRPr="009E173D">
        <w:rPr>
          <w:rStyle w:val="FootnoteReference"/>
        </w:rPr>
        <w:footnoteReference w:id="5"/>
      </w:r>
      <w:r w:rsidRPr="009E173D">
        <w:t xml:space="preserve">  Pursuant to section 215 of the FPA, the Commission established a process to select and certify an ERO,</w:t>
      </w:r>
      <w:r w:rsidRPr="009E173D">
        <w:rPr>
          <w:rStyle w:val="FootnoteReference"/>
        </w:rPr>
        <w:footnoteReference w:id="6"/>
      </w:r>
      <w:r w:rsidRPr="009E173D">
        <w:t xml:space="preserve"> and subsequently certified NERC.</w:t>
      </w:r>
      <w:r w:rsidRPr="009E173D">
        <w:rPr>
          <w:rStyle w:val="FootnoteReference"/>
        </w:rPr>
        <w:footnoteReference w:id="7"/>
      </w:r>
      <w:bookmarkEnd w:id="2"/>
    </w:p>
    <w:p w14:paraId="0B42CF29" w14:textId="1556EE48" w:rsidR="00C05306" w:rsidRDefault="005111CA" w:rsidP="003260A4">
      <w:pPr>
        <w:pStyle w:val="Heading2"/>
      </w:pPr>
      <w:r>
        <w:t>NERC Petition</w:t>
      </w:r>
    </w:p>
    <w:p w14:paraId="486BB01F" w14:textId="77777777" w:rsidR="00FB7254" w:rsidRDefault="00E46D7B" w:rsidP="008A4DBD">
      <w:pPr>
        <w:pStyle w:val="FERCparanumber"/>
      </w:pPr>
      <w:r w:rsidRPr="00E46D7B">
        <w:t>On June 7, 2019,</w:t>
      </w:r>
      <w:r>
        <w:t xml:space="preserve"> NERC submitted </w:t>
      </w:r>
      <w:r w:rsidR="000078BC">
        <w:t xml:space="preserve">a petition proposing, among other things, the retirement of </w:t>
      </w:r>
      <w:r w:rsidR="00E80E20" w:rsidRPr="00E80E20">
        <w:t>the MOD A Reliability Standards</w:t>
      </w:r>
      <w:r w:rsidR="00E80E20">
        <w:t xml:space="preserve">, </w:t>
      </w:r>
      <w:r>
        <w:t>in their entirety without replacement</w:t>
      </w:r>
      <w:r w:rsidR="003E24BF">
        <w:t xml:space="preserve"> (NERC Petition)</w:t>
      </w:r>
      <w:r>
        <w:t>.</w:t>
      </w:r>
      <w:r w:rsidR="004B12CA">
        <w:t xml:space="preserve">  </w:t>
      </w:r>
      <w:r w:rsidR="004B12CA" w:rsidRPr="004B12CA">
        <w:t xml:space="preserve">NERC </w:t>
      </w:r>
      <w:r w:rsidR="00BD16D7">
        <w:t>explained</w:t>
      </w:r>
      <w:r w:rsidR="00BD16D7" w:rsidRPr="00BD16D7">
        <w:t xml:space="preserve"> that these requirements are administrative in nature or relate expressly to commercial or business practices and </w:t>
      </w:r>
      <w:r w:rsidR="00FD5597">
        <w:t>provide little or no reliability</w:t>
      </w:r>
    </w:p>
    <w:p w14:paraId="3891D54C" w14:textId="77777777" w:rsidR="00FB7254" w:rsidRDefault="00FB7254">
      <w:pPr>
        <w:widowControl/>
        <w:spacing w:after="160" w:line="259" w:lineRule="auto"/>
      </w:pPr>
      <w:r>
        <w:br w:type="page"/>
      </w:r>
    </w:p>
    <w:p w14:paraId="510B6F52" w14:textId="4DB092AF" w:rsidR="005111CA" w:rsidRPr="005111CA" w:rsidRDefault="00FD5597" w:rsidP="00FB7254">
      <w:pPr>
        <w:pStyle w:val="FERCparanumber"/>
        <w:numPr>
          <w:ilvl w:val="0"/>
          <w:numId w:val="0"/>
        </w:numPr>
      </w:pPr>
      <w:r>
        <w:lastRenderedPageBreak/>
        <w:t>benefit</w:t>
      </w:r>
      <w:r w:rsidR="004B12CA">
        <w:t>.</w:t>
      </w:r>
      <w:r w:rsidR="00BD16D7">
        <w:rPr>
          <w:rStyle w:val="FootnoteReference"/>
        </w:rPr>
        <w:footnoteReference w:id="8"/>
      </w:r>
      <w:r w:rsidR="004B12CA">
        <w:t xml:space="preserve">  </w:t>
      </w:r>
      <w:r w:rsidR="000078BC" w:rsidRPr="000078BC">
        <w:t xml:space="preserve">NERC explained that the MOD A Reliability Standards were submitted in response to Commission’s directives in Order No. 890 </w:t>
      </w:r>
      <w:r w:rsidR="00BD16D7">
        <w:t xml:space="preserve">and </w:t>
      </w:r>
      <w:r w:rsidR="00BD16D7" w:rsidRPr="000078BC">
        <w:t xml:space="preserve">Order No. 693 </w:t>
      </w:r>
      <w:r w:rsidR="000078BC" w:rsidRPr="000078BC">
        <w:t xml:space="preserve">to develop Reliability Standards “to provide for consistency and transparency in the methodologies used by transmission providers to calculate </w:t>
      </w:r>
      <w:bookmarkStart w:id="4" w:name="_Hlk146259269"/>
      <w:r w:rsidR="000078BC">
        <w:t>[</w:t>
      </w:r>
      <w:r w:rsidR="000078BC" w:rsidRPr="000078BC">
        <w:t>Available Transfer Capability</w:t>
      </w:r>
      <w:r w:rsidR="000078BC">
        <w:t>]</w:t>
      </w:r>
      <w:bookmarkEnd w:id="4"/>
      <w:r w:rsidR="000078BC" w:rsidRPr="000078BC">
        <w:t>.”</w:t>
      </w:r>
      <w:r w:rsidR="000078BC" w:rsidRPr="000078BC">
        <w:rPr>
          <w:b/>
          <w:vertAlign w:val="superscript"/>
        </w:rPr>
        <w:footnoteReference w:id="9"/>
      </w:r>
      <w:r w:rsidR="000078BC">
        <w:t xml:space="preserve">  NERC clarified</w:t>
      </w:r>
      <w:r w:rsidR="004B12CA">
        <w:t xml:space="preserve"> that </w:t>
      </w:r>
      <w:r w:rsidR="0084643D" w:rsidRPr="0084643D">
        <w:t xml:space="preserve">“[Available Transfer Capability] and [Available </w:t>
      </w:r>
      <w:proofErr w:type="spellStart"/>
      <w:r w:rsidR="0084643D" w:rsidRPr="0084643D">
        <w:t>Flowgate</w:t>
      </w:r>
      <w:proofErr w:type="spellEnd"/>
      <w:r w:rsidR="0084643D" w:rsidRPr="0084643D">
        <w:t xml:space="preserve"> Methodology], as well as e-Tags, are commercially-focused elements facilitating interchange and balancing of interchange,” and that system operators maintain reliability by monitoring Real-time flows based on System Operating Limits and Interconnection Reliability Operating Limits.</w:t>
      </w:r>
      <w:r w:rsidR="0084643D">
        <w:rPr>
          <w:rStyle w:val="FootnoteReference"/>
        </w:rPr>
        <w:footnoteReference w:id="10"/>
      </w:r>
      <w:r w:rsidR="0084643D">
        <w:t xml:space="preserve">  </w:t>
      </w:r>
    </w:p>
    <w:p w14:paraId="4CD6BDF2" w14:textId="51419B6C" w:rsidR="00700B18" w:rsidRDefault="00700B18" w:rsidP="003260A4">
      <w:pPr>
        <w:pStyle w:val="Heading2"/>
      </w:pPr>
      <w:r>
        <w:lastRenderedPageBreak/>
        <w:t>Notice of Proposed Rulemaking</w:t>
      </w:r>
    </w:p>
    <w:p w14:paraId="5CF46975" w14:textId="0064D05F" w:rsidR="00700B18" w:rsidRDefault="00CB24F7" w:rsidP="008A4DBD">
      <w:pPr>
        <w:pStyle w:val="FERCparanumber"/>
      </w:pPr>
      <w:r w:rsidRPr="00CB24F7">
        <w:t>On January 23, 2020, the Commission issued a NOPR proposing to approve the retirement of 74 of the 77 Reliability Standard requirements requested by NERC.</w:t>
      </w:r>
      <w:r w:rsidR="00FE1A76">
        <w:rPr>
          <w:rStyle w:val="FootnoteReference"/>
        </w:rPr>
        <w:footnoteReference w:id="11"/>
      </w:r>
      <w:r w:rsidR="000078BC">
        <w:t xml:space="preserve">  In the NOPR, the Commission proposed</w:t>
      </w:r>
      <w:r w:rsidR="000078BC" w:rsidRPr="000078BC">
        <w:t xml:space="preserve">, </w:t>
      </w:r>
      <w:r w:rsidR="000078BC" w:rsidRPr="000078BC">
        <w:rPr>
          <w:i/>
          <w:iCs/>
        </w:rPr>
        <w:t>inter alia</w:t>
      </w:r>
      <w:r w:rsidR="000078BC" w:rsidRPr="000078BC">
        <w:t xml:space="preserve">, to approve the </w:t>
      </w:r>
      <w:r w:rsidR="00597BC0">
        <w:t xml:space="preserve">retirement of the </w:t>
      </w:r>
      <w:r w:rsidR="000078BC" w:rsidRPr="000078BC">
        <w:t>MOD A Reliability Standards, but noted that, if approved, the Commission intend</w:t>
      </w:r>
      <w:r w:rsidR="000078BC">
        <w:t>ed</w:t>
      </w:r>
      <w:r w:rsidR="000078BC" w:rsidRPr="000078BC">
        <w:t xml:space="preserve"> to coordinate the effective dates for the retirement of the MOD A Reliability Standards with successor North American Energy Standards Board (NAESB) business practice standards.</w:t>
      </w:r>
      <w:r w:rsidR="000078BC" w:rsidRPr="000078BC">
        <w:rPr>
          <w:b/>
          <w:vertAlign w:val="superscript"/>
        </w:rPr>
        <w:footnoteReference w:id="12"/>
      </w:r>
      <w:r w:rsidR="00597BC0" w:rsidRPr="00597BC0">
        <w:t xml:space="preserve"> </w:t>
      </w:r>
      <w:r w:rsidR="00597BC0">
        <w:t xml:space="preserve"> </w:t>
      </w:r>
      <w:r w:rsidR="00597BC0" w:rsidRPr="000078BC">
        <w:t>The Commission explained that equivalent NAESB business practice standards</w:t>
      </w:r>
      <w:r w:rsidR="00597BC0" w:rsidRPr="00597BC0">
        <w:t xml:space="preserve"> </w:t>
      </w:r>
      <w:r w:rsidR="00597BC0">
        <w:t xml:space="preserve">are expected to replace </w:t>
      </w:r>
      <w:r w:rsidR="00597BC0" w:rsidRPr="000078BC">
        <w:t>the MOD A Reliability Standards proposed for retirement.</w:t>
      </w:r>
      <w:r w:rsidR="00597BC0" w:rsidRPr="000078BC">
        <w:rPr>
          <w:b/>
          <w:vertAlign w:val="superscript"/>
        </w:rPr>
        <w:footnoteReference w:id="13"/>
      </w:r>
    </w:p>
    <w:p w14:paraId="68AE361A" w14:textId="0CB11ED8" w:rsidR="000078BC" w:rsidRPr="000078BC" w:rsidRDefault="000078BC" w:rsidP="008A4DBD">
      <w:pPr>
        <w:pStyle w:val="FERCparanumber"/>
      </w:pPr>
      <w:r>
        <w:t>T</w:t>
      </w:r>
      <w:r w:rsidRPr="000078BC">
        <w:t xml:space="preserve">he Commission </w:t>
      </w:r>
      <w:r w:rsidR="0088570C">
        <w:t>noted</w:t>
      </w:r>
      <w:r w:rsidRPr="000078BC">
        <w:t xml:space="preserve"> that NERC’s proposed retirements “are largely consistent with the Commission-approved bases for retiring Reliability Standard requirements articulated in prior proceedings.”</w:t>
      </w:r>
      <w:r w:rsidRPr="000078BC">
        <w:rPr>
          <w:b/>
          <w:vertAlign w:val="superscript"/>
        </w:rPr>
        <w:footnoteReference w:id="14"/>
      </w:r>
      <w:r w:rsidRPr="000078BC">
        <w:t xml:space="preserve">  In proposing to approve NERC’s request, the Commission stated that NERC “provided an adequate basis to conclude that the requirements proposed for retirement:</w:t>
      </w:r>
      <w:r w:rsidR="00FB7254">
        <w:t xml:space="preserve"> </w:t>
      </w:r>
      <w:r w:rsidRPr="000078BC">
        <w:t xml:space="preserve"> (1) provide little or no reliability benefit; </w:t>
      </w:r>
      <w:r w:rsidR="00FB7254">
        <w:br/>
      </w:r>
      <w:r w:rsidRPr="000078BC">
        <w:lastRenderedPageBreak/>
        <w:t>(2) are administrative in nature or relate expressly to commercial or business practices; or (3) are redundant with other Reliability Standards.”</w:t>
      </w:r>
      <w:r w:rsidRPr="000078BC">
        <w:rPr>
          <w:b/>
          <w:vertAlign w:val="superscript"/>
        </w:rPr>
        <w:footnoteReference w:id="15"/>
      </w:r>
      <w:r w:rsidRPr="000078BC">
        <w:t xml:space="preserve">  Further, the Commission acknowledged NERC’s assertion that retiring the MOD A Reliability Standards is justified because, being primarily administrative or related to commercial or business practices, they “no longer serve a reliability purpose.”</w:t>
      </w:r>
      <w:r w:rsidRPr="000078BC">
        <w:rPr>
          <w:b/>
          <w:vertAlign w:val="superscript"/>
        </w:rPr>
        <w:footnoteReference w:id="16"/>
      </w:r>
      <w:r w:rsidR="00597BC0">
        <w:t xml:space="preserve"> </w:t>
      </w:r>
      <w:r w:rsidR="00597BC0" w:rsidRPr="00597BC0">
        <w:t xml:space="preserve"> </w:t>
      </w:r>
      <w:r w:rsidR="00597BC0" w:rsidRPr="000078BC">
        <w:t xml:space="preserve">Specifically, the Commission noted NERC’s assertion that the MOD A Reliability Standards contain “commercially-focused elements facilitating interchange and balancing of interchange,” </w:t>
      </w:r>
      <w:bookmarkStart w:id="5" w:name="_Hlk149203819"/>
      <w:r w:rsidR="00597BC0" w:rsidRPr="000078BC">
        <w:t>and system operators maintain reliability by monitoring Real-time flows based on System Operating Limits and Interconnection Reliability Operating Limits</w:t>
      </w:r>
      <w:bookmarkEnd w:id="5"/>
      <w:r w:rsidR="00597BC0" w:rsidRPr="000078BC">
        <w:t>.</w:t>
      </w:r>
      <w:r w:rsidR="00597BC0" w:rsidRPr="000078BC">
        <w:rPr>
          <w:b/>
          <w:vertAlign w:val="superscript"/>
        </w:rPr>
        <w:footnoteReference w:id="17"/>
      </w:r>
      <w:r w:rsidR="00597BC0" w:rsidRPr="000078BC">
        <w:t xml:space="preserve">  </w:t>
      </w:r>
    </w:p>
    <w:p w14:paraId="155421CD" w14:textId="2C89DD6E" w:rsidR="00E9700D" w:rsidRDefault="00E9700D" w:rsidP="00E9700D">
      <w:pPr>
        <w:pStyle w:val="Heading2"/>
      </w:pPr>
      <w:r>
        <w:t>NOPR Comments</w:t>
      </w:r>
    </w:p>
    <w:p w14:paraId="6F5136E3" w14:textId="242CDFE9" w:rsidR="000078BC" w:rsidRPr="00700B18" w:rsidRDefault="000078BC" w:rsidP="008A4DBD">
      <w:pPr>
        <w:pStyle w:val="FERCparanumber"/>
      </w:pPr>
      <w:r>
        <w:t>The Commission received five sets of comments—two of which were specific to the proposed retirement of the MOD A Reliability Standards.</w:t>
      </w:r>
      <w:r>
        <w:rPr>
          <w:rStyle w:val="FootnoteReference"/>
        </w:rPr>
        <w:footnoteReference w:id="18"/>
      </w:r>
      <w:r w:rsidR="00E9700D">
        <w:t xml:space="preserve">  </w:t>
      </w:r>
      <w:r w:rsidR="0088570C">
        <w:t>Neither of the two</w:t>
      </w:r>
      <w:r w:rsidR="00E9700D" w:rsidRPr="000078BC">
        <w:t xml:space="preserve"> comments the Commission received in response to NERC’s proposed retirement of the MOD A Reliability Standards opposed NERC’s proposal. </w:t>
      </w:r>
      <w:r w:rsidR="0088570C">
        <w:t xml:space="preserve"> </w:t>
      </w:r>
      <w:r w:rsidR="00E9700D" w:rsidRPr="000078BC">
        <w:t>In its comments, Bonneville state</w:t>
      </w:r>
      <w:r w:rsidR="0088570C">
        <w:t>s</w:t>
      </w:r>
      <w:r w:rsidR="00E9700D" w:rsidRPr="000078BC">
        <w:t xml:space="preserve"> that it appreciates the Commission’s recognition of the relationship between the MOD A retirements and the publication of Business Practice Standards by NAESB to </w:t>
      </w:r>
      <w:r w:rsidR="00E9700D" w:rsidRPr="000078BC">
        <w:lastRenderedPageBreak/>
        <w:t>replace the commercial aspects of the MOD requirements.</w:t>
      </w:r>
      <w:r w:rsidR="00E9700D" w:rsidRPr="000078BC">
        <w:rPr>
          <w:b/>
          <w:vertAlign w:val="superscript"/>
        </w:rPr>
        <w:footnoteReference w:id="19"/>
      </w:r>
      <w:r w:rsidR="00E9700D" w:rsidRPr="000078BC">
        <w:t xml:space="preserve">  Further, Bonneville believes “it will be important to continue the efforts to avoid commercial requirements in the NERC Reliability Standards and, likewise, avoid reliability requirements in NAESB Business Practice Standards.”</w:t>
      </w:r>
      <w:r w:rsidR="00E9700D" w:rsidRPr="000078BC">
        <w:rPr>
          <w:b/>
          <w:vertAlign w:val="superscript"/>
        </w:rPr>
        <w:footnoteReference w:id="20"/>
      </w:r>
      <w:r w:rsidR="00E9700D" w:rsidRPr="000078BC">
        <w:t xml:space="preserve">  </w:t>
      </w:r>
      <w:r w:rsidR="0088570C">
        <w:t xml:space="preserve">Similarly, </w:t>
      </w:r>
      <w:r w:rsidR="00E9700D" w:rsidRPr="000078BC">
        <w:t xml:space="preserve">WAPA expressed its support for the direction of the industry and the work performed by the Standards Efficiency Review project.  More specifically, </w:t>
      </w:r>
      <w:r w:rsidR="0088570C">
        <w:t>WAPA</w:t>
      </w:r>
      <w:r w:rsidR="00E9700D" w:rsidRPr="000078BC">
        <w:t xml:space="preserve"> agreed with NERC’s assertion that </w:t>
      </w:r>
      <w:r w:rsidR="0088570C" w:rsidRPr="0088570C">
        <w:t>Available Transfer Capability</w:t>
      </w:r>
      <w:r w:rsidR="0088570C">
        <w:t>/</w:t>
      </w:r>
      <w:r w:rsidR="0088570C" w:rsidRPr="0088570C">
        <w:t xml:space="preserve">Available </w:t>
      </w:r>
      <w:proofErr w:type="spellStart"/>
      <w:r w:rsidR="0088570C" w:rsidRPr="0088570C">
        <w:t>Flowgate</w:t>
      </w:r>
      <w:proofErr w:type="spellEnd"/>
      <w:r w:rsidR="0088570C" w:rsidRPr="0088570C">
        <w:t xml:space="preserve"> Capability</w:t>
      </w:r>
      <w:r w:rsidR="00E9700D" w:rsidRPr="000078BC">
        <w:t>, along with e-Tags, “are commercially-focused elements facilitating interchange and balancing of interchange.”</w:t>
      </w:r>
      <w:r w:rsidR="00E9700D" w:rsidRPr="000078BC">
        <w:rPr>
          <w:b/>
          <w:vertAlign w:val="superscript"/>
        </w:rPr>
        <w:footnoteReference w:id="21"/>
      </w:r>
      <w:r w:rsidR="00E9700D" w:rsidRPr="000078BC">
        <w:t xml:space="preserve">  </w:t>
      </w:r>
      <w:r w:rsidR="00163377">
        <w:t xml:space="preserve">WAPA </w:t>
      </w:r>
      <w:r w:rsidR="00DF4D45">
        <w:t>also asked the Commission to ensure</w:t>
      </w:r>
      <w:r w:rsidR="00377EA3" w:rsidRPr="00377EA3">
        <w:t xml:space="preserve"> that “appropriate measures are in place to ensure stakeholder[s] can provide input into the development of the new business practices.”</w:t>
      </w:r>
      <w:r w:rsidR="00377EA3" w:rsidRPr="00377EA3">
        <w:rPr>
          <w:b/>
          <w:vertAlign w:val="superscript"/>
        </w:rPr>
        <w:footnoteReference w:id="22"/>
      </w:r>
      <w:r w:rsidR="00377EA3" w:rsidRPr="00377EA3">
        <w:t xml:space="preserve">  </w:t>
      </w:r>
    </w:p>
    <w:p w14:paraId="5D89DBBA" w14:textId="4E4F21F6" w:rsidR="003260A4" w:rsidRPr="003260A4" w:rsidRDefault="00492ABF" w:rsidP="003260A4">
      <w:pPr>
        <w:pStyle w:val="Heading2"/>
      </w:pPr>
      <w:r>
        <w:t xml:space="preserve">Order No. 873 and the </w:t>
      </w:r>
      <w:r w:rsidR="004469BB" w:rsidRPr="004469BB">
        <w:t xml:space="preserve">Prior Retirements of </w:t>
      </w:r>
      <w:r>
        <w:t xml:space="preserve">Other </w:t>
      </w:r>
      <w:r w:rsidR="004469BB" w:rsidRPr="004469BB">
        <w:t>Reliability Standard Requirements</w:t>
      </w:r>
    </w:p>
    <w:p w14:paraId="37B9F1A2" w14:textId="2A0A93D0" w:rsidR="00F665C7" w:rsidRDefault="00E74B11" w:rsidP="008A4DBD">
      <w:pPr>
        <w:pStyle w:val="FERCparanumber"/>
      </w:pPr>
      <w:r>
        <w:t xml:space="preserve">On September 17, 2020, the </w:t>
      </w:r>
      <w:r w:rsidR="001E77C7">
        <w:t>Commission issued Order No. 873,</w:t>
      </w:r>
      <w:r w:rsidR="00762740">
        <w:rPr>
          <w:rStyle w:val="FootnoteReference"/>
        </w:rPr>
        <w:footnoteReference w:id="23"/>
      </w:r>
      <w:r w:rsidR="001E77C7">
        <w:t xml:space="preserve"> approving the retirement of 18 Reliability Standard requirements</w:t>
      </w:r>
      <w:r w:rsidR="00D51CF6">
        <w:t>,</w:t>
      </w:r>
      <w:r w:rsidR="0022369F">
        <w:rPr>
          <w:rStyle w:val="FootnoteReference"/>
        </w:rPr>
        <w:footnoteReference w:id="24"/>
      </w:r>
      <w:r w:rsidR="00D51CF6">
        <w:t xml:space="preserve"> </w:t>
      </w:r>
      <w:r w:rsidR="00C02624">
        <w:t>remanding two requirements</w:t>
      </w:r>
      <w:r w:rsidR="008B3AF3" w:rsidRPr="008B3AF3">
        <w:t xml:space="preserve"> for further consideration by NERC</w:t>
      </w:r>
      <w:r w:rsidR="00C02624">
        <w:t>,</w:t>
      </w:r>
      <w:r w:rsidR="001E77C7">
        <w:t xml:space="preserve"> and taking no action on the proposed retirement of </w:t>
      </w:r>
      <w:bookmarkStart w:id="6" w:name="_Hlk146102408"/>
      <w:r w:rsidR="00F67887" w:rsidRPr="00F67887">
        <w:t xml:space="preserve">the </w:t>
      </w:r>
      <w:r w:rsidR="00F67887" w:rsidRPr="00F67887">
        <w:lastRenderedPageBreak/>
        <w:t>MOD A Reliability Standards</w:t>
      </w:r>
      <w:r w:rsidR="00F67887">
        <w:t>.</w:t>
      </w:r>
      <w:bookmarkEnd w:id="6"/>
      <w:r w:rsidR="00365AA0">
        <w:rPr>
          <w:rStyle w:val="FootnoteReference"/>
        </w:rPr>
        <w:footnoteReference w:id="25"/>
      </w:r>
      <w:r w:rsidR="00F75B8C">
        <w:t xml:space="preserve">  </w:t>
      </w:r>
      <w:r w:rsidR="00F75B8C" w:rsidRPr="00F75B8C">
        <w:t xml:space="preserve">In </w:t>
      </w:r>
      <w:r w:rsidR="00DD23FB" w:rsidRPr="00DD23FB">
        <w:t>Order No. 873</w:t>
      </w:r>
      <w:r w:rsidR="00F75B8C" w:rsidRPr="00F75B8C">
        <w:t xml:space="preserve">, the Commission confirmed the approach proposed in the NOPR and provided developments since then, noting that on March 30, 2020, NAESB submitted Version </w:t>
      </w:r>
      <w:r w:rsidR="004079F7" w:rsidRPr="004079F7">
        <w:t>003.3</w:t>
      </w:r>
      <w:r w:rsidR="00F75B8C" w:rsidRPr="00F75B8C">
        <w:t xml:space="preserve"> of the Standards for Business Practices and Communication Protocols for Public Utilities, including the Modeling business practices intended to replace the MOD A Reliability Standards upon their retirement</w:t>
      </w:r>
      <w:r w:rsidR="005453EA">
        <w:t>, for which the Commission had issued a NOPR</w:t>
      </w:r>
      <w:r w:rsidR="00F75B8C" w:rsidRPr="00F75B8C">
        <w:t>.</w:t>
      </w:r>
      <w:r w:rsidR="00F75B8C" w:rsidRPr="00F75B8C">
        <w:rPr>
          <w:b/>
          <w:vertAlign w:val="superscript"/>
        </w:rPr>
        <w:footnoteReference w:id="26"/>
      </w:r>
      <w:r w:rsidR="00F75B8C" w:rsidRPr="00F75B8C">
        <w:t xml:space="preserve"> </w:t>
      </w:r>
      <w:r w:rsidR="00F75B8C">
        <w:t xml:space="preserve"> </w:t>
      </w:r>
      <w:r w:rsidR="00F75B8C" w:rsidRPr="00F75B8C">
        <w:t>The Commission concluded that “[i]n light of these developments, this final rule does not address the retirement of MOD A Reliability Standards.  The Commission will determine the appropriate action regarding the proposed retirement of the MOD A Reliability Standards at a later time.”</w:t>
      </w:r>
      <w:r w:rsidR="00F75B8C" w:rsidRPr="00F75B8C">
        <w:rPr>
          <w:b/>
          <w:vertAlign w:val="superscript"/>
        </w:rPr>
        <w:footnoteReference w:id="27"/>
      </w:r>
      <w:r w:rsidR="00F75B8C" w:rsidRPr="00F75B8C">
        <w:t xml:space="preserve">  </w:t>
      </w:r>
    </w:p>
    <w:p w14:paraId="0A56C890" w14:textId="18E3A1C2" w:rsidR="00F75B8C" w:rsidRPr="00F75B8C" w:rsidRDefault="00F75B8C" w:rsidP="00F75B8C">
      <w:pPr>
        <w:pStyle w:val="Heading2"/>
      </w:pPr>
      <w:r w:rsidRPr="00F75B8C">
        <w:t>NAESB Standards for Business Practices and Communications Protocols for Public Utilities</w:t>
      </w:r>
    </w:p>
    <w:p w14:paraId="2E06AB27" w14:textId="762E98F5" w:rsidR="00F75B8C" w:rsidRPr="00395600" w:rsidRDefault="00F75B8C" w:rsidP="008A4DBD">
      <w:pPr>
        <w:pStyle w:val="FERCparanumber"/>
      </w:pPr>
      <w:r w:rsidRPr="00F75B8C">
        <w:t>In Order No. 676-J, the Commission revised its regulations to incorporate by reference</w:t>
      </w:r>
      <w:r w:rsidR="00034B35">
        <w:t>,</w:t>
      </w:r>
      <w:r w:rsidR="00034B35" w:rsidRPr="00034B35">
        <w:t xml:space="preserve"> as mandatory enforceable requirements, </w:t>
      </w:r>
      <w:r w:rsidR="00034B35" w:rsidRPr="00F75B8C">
        <w:t>the current version of NAESB’s Standards for Business Practices and Communication Protocols for Public Utilities adopted by the Wholesale Electric Quadrant (WEQ) of NAESB</w:t>
      </w:r>
      <w:r w:rsidR="00034B35">
        <w:t>,</w:t>
      </w:r>
      <w:r w:rsidR="00034B35" w:rsidRPr="00034B35">
        <w:t xml:space="preserve"> Version </w:t>
      </w:r>
      <w:r w:rsidR="004079F7" w:rsidRPr="004079F7">
        <w:t>003.3</w:t>
      </w:r>
      <w:r w:rsidR="00034B35" w:rsidRPr="00034B35">
        <w:t xml:space="preserve"> of the NAESB WEQ Business Practice Standards (WEQ Version </w:t>
      </w:r>
      <w:r w:rsidR="004079F7" w:rsidRPr="004079F7">
        <w:t>003.3</w:t>
      </w:r>
      <w:r w:rsidR="00034B35" w:rsidRPr="00034B35">
        <w:t xml:space="preserve"> Standards)</w:t>
      </w:r>
      <w:r w:rsidRPr="00F75B8C">
        <w:t>.</w:t>
      </w:r>
      <w:r w:rsidR="00FE2DAD">
        <w:rPr>
          <w:rStyle w:val="FootnoteReference"/>
        </w:rPr>
        <w:footnoteReference w:id="28"/>
      </w:r>
      <w:r w:rsidRPr="00F75B8C">
        <w:t xml:space="preserve">  </w:t>
      </w:r>
      <w:r w:rsidR="00192F71">
        <w:t xml:space="preserve">Among </w:t>
      </w:r>
      <w:r w:rsidR="00192F71">
        <w:lastRenderedPageBreak/>
        <w:t>other things, t</w:t>
      </w:r>
      <w:r w:rsidRPr="00F75B8C">
        <w:t xml:space="preserve">he WEQ Version </w:t>
      </w:r>
      <w:r w:rsidR="004079F7" w:rsidRPr="004079F7">
        <w:t>003.3</w:t>
      </w:r>
      <w:r w:rsidRPr="00F75B8C">
        <w:t xml:space="preserve"> Standards address the technical issues affecting Available Transfer Capability and Available </w:t>
      </w:r>
      <w:proofErr w:type="spellStart"/>
      <w:r w:rsidRPr="00F75B8C">
        <w:t>Flowgate</w:t>
      </w:r>
      <w:proofErr w:type="spellEnd"/>
      <w:r w:rsidRPr="00F75B8C">
        <w:t xml:space="preserve"> Capability calculation for wholesale transmission services, with the addition of certain revisions and corrections. </w:t>
      </w:r>
      <w:r w:rsidR="00034B35">
        <w:t xml:space="preserve"> </w:t>
      </w:r>
      <w:r w:rsidRPr="00F75B8C">
        <w:t xml:space="preserve">The Commission also revised its regulations to provide that transmission providers must avoid unduly discriminatory and preferential treatment in the calculation of </w:t>
      </w:r>
      <w:r w:rsidR="00E14F51" w:rsidRPr="00E14F51">
        <w:t>Available Transfer Capability</w:t>
      </w:r>
      <w:r w:rsidRPr="00F75B8C">
        <w:t>.</w:t>
      </w:r>
      <w:r w:rsidR="00E14F51">
        <w:rPr>
          <w:rStyle w:val="FootnoteReference"/>
        </w:rPr>
        <w:footnoteReference w:id="29"/>
      </w:r>
    </w:p>
    <w:p w14:paraId="288EFBAC" w14:textId="50199B85" w:rsidR="00F000D4" w:rsidRPr="00395600" w:rsidRDefault="00667EA6" w:rsidP="008A4DBD">
      <w:pPr>
        <w:pStyle w:val="FERCparanumber"/>
      </w:pPr>
      <w:r w:rsidRPr="00667EA6">
        <w:t xml:space="preserve">The first compliance filing concerned the cybersecurity and </w:t>
      </w:r>
      <w:r w:rsidR="001C2212" w:rsidRPr="001C2212">
        <w:t>Parallel Flow Visualization</w:t>
      </w:r>
      <w:r w:rsidRPr="00667EA6">
        <w:t xml:space="preserve"> standards included in Version 003.3.  The Commission directed utilities to make the second compliance filing reflecting the remainder of the revisions in Version 003.3 12 months after implementation of the WEQ Version 003.2 Standards, or no earlier than October 27, 2022, with an implementation date no earlier than three months following compliance filings submission (no earlier than January 27, 2023), resulting in a 15-month implementation period.</w:t>
      </w:r>
      <w:r w:rsidRPr="00667EA6">
        <w:rPr>
          <w:b/>
          <w:vertAlign w:val="superscript"/>
        </w:rPr>
        <w:footnoteReference w:id="30"/>
      </w:r>
    </w:p>
    <w:p w14:paraId="737792F0" w14:textId="441B4D5D" w:rsidR="00F665C7" w:rsidRPr="00395600" w:rsidRDefault="00E9700D" w:rsidP="00F665C7">
      <w:pPr>
        <w:pStyle w:val="Heading1"/>
        <w:spacing w:after="0" w:line="480" w:lineRule="auto"/>
      </w:pPr>
      <w:r>
        <w:t>Commission Determination</w:t>
      </w:r>
    </w:p>
    <w:p w14:paraId="252C8F59" w14:textId="0E951B4F" w:rsidR="000078BC" w:rsidRDefault="00F75B8C" w:rsidP="008A4DBD">
      <w:pPr>
        <w:pStyle w:val="FERCparanumber"/>
      </w:pPr>
      <w:r w:rsidRPr="00F75B8C">
        <w:t>Pursuant to section 215(d)(2) of the FPA,</w:t>
      </w:r>
      <w:r w:rsidRPr="00F75B8C">
        <w:rPr>
          <w:b/>
          <w:vertAlign w:val="superscript"/>
        </w:rPr>
        <w:footnoteReference w:id="31"/>
      </w:r>
      <w:r w:rsidRPr="00F75B8C">
        <w:t xml:space="preserve"> the Commission approves the</w:t>
      </w:r>
      <w:r w:rsidR="00E9700D">
        <w:t xml:space="preserve"> </w:t>
      </w:r>
      <w:r w:rsidRPr="00F75B8C">
        <w:t>proposed retirement of</w:t>
      </w:r>
      <w:r w:rsidR="00E9700D">
        <w:t xml:space="preserve"> the MOD A Reliability Standards</w:t>
      </w:r>
      <w:r w:rsidRPr="00F75B8C">
        <w:t xml:space="preserve">, to be coordinated with the </w:t>
      </w:r>
      <w:r w:rsidRPr="00F75B8C">
        <w:lastRenderedPageBreak/>
        <w:t xml:space="preserve">effective date </w:t>
      </w:r>
      <w:r w:rsidR="009F081A">
        <w:t>of the tariff records accepted in the</w:t>
      </w:r>
      <w:r w:rsidR="00C84722">
        <w:t xml:space="preserve"> orders on the second</w:t>
      </w:r>
      <w:r w:rsidR="001E1A63">
        <w:t xml:space="preserve"> set</w:t>
      </w:r>
      <w:r w:rsidR="00C84722">
        <w:t xml:space="preserve"> of</w:t>
      </w:r>
      <w:r w:rsidR="009F081A">
        <w:t xml:space="preserve"> </w:t>
      </w:r>
      <w:r w:rsidRPr="00F75B8C">
        <w:t xml:space="preserve">Order No. 676-J compliance </w:t>
      </w:r>
      <w:r w:rsidR="00C84722">
        <w:t>filings</w:t>
      </w:r>
      <w:r w:rsidR="00EA67C5">
        <w:t>, February 1, 2024</w:t>
      </w:r>
      <w:r w:rsidRPr="00F75B8C">
        <w:t>.</w:t>
      </w:r>
      <w:r w:rsidR="00E9700D">
        <w:rPr>
          <w:rStyle w:val="FootnoteReference"/>
        </w:rPr>
        <w:footnoteReference w:id="32"/>
      </w:r>
      <w:r w:rsidRPr="00F75B8C">
        <w:t xml:space="preserve">  As explained herein, we are satisfied with NERC’s justification for these retirements.  In particular, </w:t>
      </w:r>
      <w:r w:rsidR="00B741E1">
        <w:t xml:space="preserve">we note </w:t>
      </w:r>
      <w:r w:rsidR="00423BEE">
        <w:t xml:space="preserve">NERC’s </w:t>
      </w:r>
      <w:r w:rsidR="00B741E1">
        <w:t>explanation</w:t>
      </w:r>
      <w:r w:rsidR="00423BEE" w:rsidRPr="00F75B8C">
        <w:t xml:space="preserve"> </w:t>
      </w:r>
      <w:r w:rsidRPr="00F75B8C">
        <w:t xml:space="preserve">that </w:t>
      </w:r>
      <w:r w:rsidR="00423BEE">
        <w:t xml:space="preserve">the MOD A Reliability Standards are no longer necessary because </w:t>
      </w:r>
      <w:r w:rsidR="00DD6E87" w:rsidRPr="00DD6E87">
        <w:t>Available Transfer Capability</w:t>
      </w:r>
      <w:r w:rsidR="00DD6E87">
        <w:t xml:space="preserve">, </w:t>
      </w:r>
      <w:r w:rsidR="00DD6E87" w:rsidRPr="00DD6E87">
        <w:t xml:space="preserve">Available </w:t>
      </w:r>
      <w:proofErr w:type="spellStart"/>
      <w:r w:rsidR="00DD6E87" w:rsidRPr="00DD6E87">
        <w:t>Flowgate</w:t>
      </w:r>
      <w:proofErr w:type="spellEnd"/>
      <w:r w:rsidR="00DD6E87" w:rsidRPr="00DD6E87">
        <w:t xml:space="preserve"> Capability, </w:t>
      </w:r>
      <w:r w:rsidR="00DD6E87">
        <w:t>and</w:t>
      </w:r>
      <w:r w:rsidR="00DD6E87" w:rsidRPr="00DD6E87">
        <w:t xml:space="preserve"> e-Tags</w:t>
      </w:r>
      <w:r w:rsidR="00B741E1" w:rsidRPr="00B741E1">
        <w:t xml:space="preserve"> </w:t>
      </w:r>
      <w:r w:rsidR="00B741E1" w:rsidRPr="00F75B8C">
        <w:t xml:space="preserve">fundamentally </w:t>
      </w:r>
      <w:r w:rsidR="00B741E1">
        <w:t xml:space="preserve">pertain to </w:t>
      </w:r>
      <w:r w:rsidR="00B741E1" w:rsidRPr="00F75B8C">
        <w:t>commercial and business operations</w:t>
      </w:r>
      <w:r w:rsidRPr="00F75B8C">
        <w:t xml:space="preserve">, </w:t>
      </w:r>
      <w:r w:rsidR="00B741E1">
        <w:t>and that</w:t>
      </w:r>
      <w:r w:rsidRPr="00F75B8C">
        <w:t xml:space="preserve"> system operator</w:t>
      </w:r>
      <w:r w:rsidR="00B741E1">
        <w:t>s</w:t>
      </w:r>
      <w:r w:rsidRPr="00F75B8C">
        <w:t xml:space="preserve"> </w:t>
      </w:r>
      <w:r w:rsidR="00B741E1" w:rsidRPr="00B741E1">
        <w:t>maintain reliability by monitoring Real-time flows based on System Operating Limits and Interconnection Reliability Operating Limits</w:t>
      </w:r>
      <w:r w:rsidRPr="00F75B8C">
        <w:t>.  We are further persuaded that retiring the MOD A Reliability Standards will not result in a reliability gap.</w:t>
      </w:r>
    </w:p>
    <w:p w14:paraId="1E91306D" w14:textId="125BAC62" w:rsidR="0088570C" w:rsidRPr="000078BC" w:rsidRDefault="0065092C" w:rsidP="008A4DBD">
      <w:pPr>
        <w:pStyle w:val="FERCparanumber"/>
      </w:pPr>
      <w:r>
        <w:t xml:space="preserve">Regarding </w:t>
      </w:r>
      <w:r w:rsidR="0088570C" w:rsidRPr="000078BC">
        <w:t>WAPA</w:t>
      </w:r>
      <w:r w:rsidR="00DD6E87">
        <w:t>’s comments</w:t>
      </w:r>
      <w:r w:rsidR="0088570C" w:rsidRPr="000078BC">
        <w:t xml:space="preserve"> focused on the importance of ensuring </w:t>
      </w:r>
      <w:r w:rsidR="00DB19A2">
        <w:t xml:space="preserve">stakeholders’ ability to </w:t>
      </w:r>
      <w:r w:rsidR="0088570C" w:rsidRPr="000078BC">
        <w:t>provide input</w:t>
      </w:r>
      <w:r w:rsidR="00163377">
        <w:t>.</w:t>
      </w:r>
      <w:r w:rsidR="0088570C" w:rsidRPr="000078BC">
        <w:rPr>
          <w:b/>
          <w:vertAlign w:val="superscript"/>
        </w:rPr>
        <w:footnoteReference w:id="33"/>
      </w:r>
      <w:r w:rsidR="0088570C" w:rsidRPr="000078BC">
        <w:t xml:space="preserve"> </w:t>
      </w:r>
      <w:r w:rsidR="0088570C">
        <w:t xml:space="preserve"> </w:t>
      </w:r>
      <w:r w:rsidR="009F081A">
        <w:t xml:space="preserve">Order No. </w:t>
      </w:r>
      <w:r w:rsidR="009F081A" w:rsidRPr="009F081A">
        <w:t>676-J</w:t>
      </w:r>
      <w:r w:rsidR="0088570C" w:rsidRPr="000078BC">
        <w:t xml:space="preserve"> explained that </w:t>
      </w:r>
      <w:r w:rsidR="0028233F">
        <w:t>NAESB has</w:t>
      </w:r>
      <w:r w:rsidR="0088570C" w:rsidRPr="000078BC">
        <w:t xml:space="preserve"> procedures to ensure that </w:t>
      </w:r>
      <w:r w:rsidR="0028233F">
        <w:t>interested</w:t>
      </w:r>
      <w:r w:rsidR="000C1190">
        <w:t xml:space="preserve"> persons have </w:t>
      </w:r>
      <w:r w:rsidR="0088570C" w:rsidRPr="000078BC">
        <w:t xml:space="preserve">input into </w:t>
      </w:r>
      <w:r w:rsidR="00BE0395">
        <w:t xml:space="preserve">NAESB’s </w:t>
      </w:r>
      <w:r w:rsidR="000C1190">
        <w:t>standard development regardless of the</w:t>
      </w:r>
      <w:r w:rsidR="00BE0395">
        <w:t xml:space="preserve"> interested persons</w:t>
      </w:r>
      <w:r w:rsidR="00D134E9">
        <w:t>’</w:t>
      </w:r>
      <w:r w:rsidR="000C1190">
        <w:t xml:space="preserve"> NAESB</w:t>
      </w:r>
      <w:r w:rsidR="00FC7372">
        <w:t xml:space="preserve"> membership and that</w:t>
      </w:r>
      <w:r w:rsidR="0088570C" w:rsidRPr="000078BC">
        <w:t xml:space="preserve"> </w:t>
      </w:r>
      <w:r w:rsidR="000C1190">
        <w:t>“</w:t>
      </w:r>
      <w:r w:rsidR="0088570C" w:rsidRPr="000078BC">
        <w:t>each standard NAESB adopts must be supported by a consensus of the relevant industry segments.  Standards that fail to gain consensus support are not adopted.”</w:t>
      </w:r>
      <w:r w:rsidR="0088570C" w:rsidRPr="000078BC">
        <w:rPr>
          <w:b/>
          <w:vertAlign w:val="superscript"/>
        </w:rPr>
        <w:footnoteReference w:id="34"/>
      </w:r>
      <w:r w:rsidR="00CA2000">
        <w:t xml:space="preserve">  Therefore, we believe WAPA’s concerns were fully addressed.</w:t>
      </w:r>
    </w:p>
    <w:p w14:paraId="1DE4EEF5" w14:textId="77777777" w:rsidR="00F665C7" w:rsidRDefault="00F665C7" w:rsidP="00F665C7">
      <w:pPr>
        <w:pStyle w:val="Heading1"/>
        <w:spacing w:after="0" w:line="480" w:lineRule="auto"/>
      </w:pPr>
      <w:r w:rsidRPr="00395600">
        <w:lastRenderedPageBreak/>
        <w:t>Information Collection Statement</w:t>
      </w:r>
    </w:p>
    <w:p w14:paraId="59F0658D" w14:textId="61F0E392" w:rsidR="00215A6E" w:rsidRPr="001C6326" w:rsidRDefault="00215A6E" w:rsidP="008A4DBD">
      <w:pPr>
        <w:pStyle w:val="FERCparanumber"/>
      </w:pPr>
      <w:r w:rsidRPr="001C6326">
        <w:t xml:space="preserve">The information collection requirements contained in this </w:t>
      </w:r>
      <w:r w:rsidR="00F37D10">
        <w:t>f</w:t>
      </w:r>
      <w:r w:rsidRPr="001C6326">
        <w:t xml:space="preserve">inal </w:t>
      </w:r>
      <w:r w:rsidR="00F37D10">
        <w:t>r</w:t>
      </w:r>
      <w:r w:rsidRPr="001C6326">
        <w:t>ule are subject to review by the Office of Management and Budget (OMB) under section 3507(d) of the Paperwork Reduction Act of 1995.</w:t>
      </w:r>
      <w:r w:rsidRPr="001C6326">
        <w:rPr>
          <w:b/>
          <w:vertAlign w:val="superscript"/>
        </w:rPr>
        <w:footnoteReference w:id="35"/>
      </w:r>
      <w:r w:rsidRPr="001C6326">
        <w:t xml:space="preserve">  OMB’s regulations require approval of certain information collection requirements imposed by agency rules.</w:t>
      </w:r>
      <w:r w:rsidRPr="001C6326">
        <w:rPr>
          <w:b/>
          <w:vertAlign w:val="superscript"/>
        </w:rPr>
        <w:footnoteReference w:id="36"/>
      </w:r>
      <w:r w:rsidRPr="001C6326">
        <w:t xml:space="preserve">  Upon approval of a collection of information, OMB will assign an OMB control number and expiration date.  Comments on the collection of information are due within 60 days of the date this order is published in the </w:t>
      </w:r>
      <w:r w:rsidRPr="001C6326">
        <w:rPr>
          <w:i/>
          <w:iCs/>
        </w:rPr>
        <w:t>Federal Register</w:t>
      </w:r>
      <w:r w:rsidRPr="001C6326">
        <w:t>.  Respondents subject to the filing requirements of this rule will not be penalized for failing to respond to these collections of information unless the collections of information display a valid OMB control number.  The Commission solicits comments on the Commission’s need for this information, whether the information will have practical utility, the accuracy of the burden estimates, ways to enhance the quality, utility, and clarity of the information to be collected or retained, and any suggested methods for minimizing respondents’ burden, including the use of automated information techniques.</w:t>
      </w:r>
    </w:p>
    <w:p w14:paraId="7674B739" w14:textId="73F2E06B" w:rsidR="00215A6E" w:rsidRDefault="00215A6E" w:rsidP="008A4DBD">
      <w:pPr>
        <w:pStyle w:val="FERCparanumber"/>
      </w:pPr>
      <w:r>
        <w:t>These MOD Standards are currently located in the FERC-725A (</w:t>
      </w:r>
      <w:r w:rsidRPr="001C6326">
        <w:t xml:space="preserve">OMB Control </w:t>
      </w:r>
      <w:r w:rsidRPr="001C6326">
        <w:br/>
        <w:t xml:space="preserve">No. </w:t>
      </w:r>
      <w:r w:rsidRPr="008212DA">
        <w:t>1902-02</w:t>
      </w:r>
      <w:r>
        <w:t>44</w:t>
      </w:r>
      <w:r w:rsidRPr="001C6326">
        <w:t>) collection.  The collection is currently approved by OMB and contains Reliability Standards</w:t>
      </w:r>
      <w:r>
        <w:t xml:space="preserve"> </w:t>
      </w:r>
      <w:r w:rsidRPr="00BE5BB2">
        <w:t>MOD-0001-1a, MOD-004-1, MOD-008-1, MOD-028-2, MOD-029-2a and MOD-030-3</w:t>
      </w:r>
      <w:r>
        <w:t xml:space="preserve"> (</w:t>
      </w:r>
      <w:r w:rsidRPr="000B7FA9">
        <w:t>the MOD A Reliability Standards</w:t>
      </w:r>
      <w:r>
        <w:t xml:space="preserve">), along with other Reliability </w:t>
      </w:r>
      <w:r>
        <w:lastRenderedPageBreak/>
        <w:t>Standards</w:t>
      </w:r>
      <w:r w:rsidRPr="001C6326">
        <w:t>.  In Docket No.</w:t>
      </w:r>
      <w:r>
        <w:t xml:space="preserve"> RM19-17-001</w:t>
      </w:r>
      <w:r w:rsidRPr="001C6326">
        <w:t xml:space="preserve">, the Commission </w:t>
      </w:r>
      <w:r w:rsidR="009E3C81">
        <w:t>approves the retirement of</w:t>
      </w:r>
      <w:r w:rsidRPr="001C6326">
        <w:t xml:space="preserve"> the</w:t>
      </w:r>
      <w:r>
        <w:t>se</w:t>
      </w:r>
      <w:r w:rsidRPr="001C6326">
        <w:t xml:space="preserve"> </w:t>
      </w:r>
      <w:r>
        <w:t xml:space="preserve">six </w:t>
      </w:r>
      <w:r w:rsidRPr="001C6326">
        <w:t>current OMB</w:t>
      </w:r>
      <w:r w:rsidR="009E3C81">
        <w:t>-</w:t>
      </w:r>
      <w:r w:rsidRPr="001C6326">
        <w:t xml:space="preserve">approved </w:t>
      </w:r>
      <w:r>
        <w:t xml:space="preserve">MOD </w:t>
      </w:r>
      <w:r w:rsidRPr="001C6326">
        <w:t>Reliability Standard</w:t>
      </w:r>
      <w:r>
        <w:t xml:space="preserve">s and their associated requirements.  The retirements will be </w:t>
      </w:r>
      <w:r w:rsidRPr="00240B5F">
        <w:t>coordinate</w:t>
      </w:r>
      <w:r>
        <w:t>d</w:t>
      </w:r>
      <w:r w:rsidRPr="00240B5F">
        <w:t xml:space="preserve"> </w:t>
      </w:r>
      <w:r>
        <w:t xml:space="preserve">with </w:t>
      </w:r>
      <w:r w:rsidRPr="00240B5F">
        <w:t>the effective dates for the successor NAESB business practice standards</w:t>
      </w:r>
      <w:r>
        <w:t xml:space="preserve">, which mirror the retired responsibilities from the MOD-A </w:t>
      </w:r>
      <w:r w:rsidR="009E3C81" w:rsidRPr="00AE257D">
        <w:t>Reliability</w:t>
      </w:r>
      <w:r w:rsidR="009E3C81">
        <w:t xml:space="preserve"> S</w:t>
      </w:r>
      <w:r>
        <w:t>tandards.</w:t>
      </w:r>
    </w:p>
    <w:p w14:paraId="59631738" w14:textId="31CDB853" w:rsidR="00215A6E" w:rsidRDefault="00365000" w:rsidP="008A4DBD">
      <w:pPr>
        <w:pStyle w:val="FERCparanumber"/>
      </w:pPr>
      <w:r>
        <w:t xml:space="preserve">Reliability Standards </w:t>
      </w:r>
      <w:r w:rsidR="00215A6E" w:rsidRPr="009E184A">
        <w:t>MOD-</w:t>
      </w:r>
      <w:r w:rsidR="00215A6E">
        <w:t>001</w:t>
      </w:r>
      <w:r w:rsidR="00215A6E" w:rsidRPr="009E184A">
        <w:t>-</w:t>
      </w:r>
      <w:r w:rsidR="00215A6E">
        <w:t>1a</w:t>
      </w:r>
      <w:r w:rsidR="00215A6E" w:rsidRPr="009E184A">
        <w:t>, MOD-0</w:t>
      </w:r>
      <w:r w:rsidR="00215A6E">
        <w:t>04</w:t>
      </w:r>
      <w:r w:rsidR="00215A6E" w:rsidRPr="009E184A">
        <w:t>-1, MOD-0</w:t>
      </w:r>
      <w:r w:rsidR="00215A6E">
        <w:t>08</w:t>
      </w:r>
      <w:r w:rsidR="00215A6E" w:rsidRPr="009E184A">
        <w:t>-1, MOD-0</w:t>
      </w:r>
      <w:r w:rsidR="00215A6E">
        <w:t>28</w:t>
      </w:r>
      <w:r w:rsidR="00215A6E" w:rsidRPr="009E184A">
        <w:t>-</w:t>
      </w:r>
      <w:r w:rsidR="00215A6E">
        <w:t>2</w:t>
      </w:r>
      <w:r w:rsidR="00215A6E" w:rsidRPr="009E184A">
        <w:t>, MOD-0</w:t>
      </w:r>
      <w:r w:rsidR="00215A6E">
        <w:t>29</w:t>
      </w:r>
      <w:r w:rsidR="00215A6E" w:rsidRPr="009E184A">
        <w:t>-</w:t>
      </w:r>
      <w:r w:rsidR="00215A6E">
        <w:t>2a</w:t>
      </w:r>
      <w:r>
        <w:t>,</w:t>
      </w:r>
      <w:r w:rsidR="00215A6E" w:rsidRPr="009E184A">
        <w:t xml:space="preserve"> and MOD-03</w:t>
      </w:r>
      <w:r w:rsidR="00215A6E">
        <w:t>0</w:t>
      </w:r>
      <w:r w:rsidR="00215A6E" w:rsidRPr="009E184A">
        <w:t>-</w:t>
      </w:r>
      <w:r w:rsidR="00215A6E">
        <w:t>3</w:t>
      </w:r>
      <w:r w:rsidR="00215A6E" w:rsidRPr="009E184A">
        <w:t xml:space="preserve"> </w:t>
      </w:r>
      <w:r w:rsidR="00215A6E" w:rsidRPr="008212DA">
        <w:t>are all currently approved within the FERC-725</w:t>
      </w:r>
      <w:r w:rsidR="00215A6E">
        <w:t>A</w:t>
      </w:r>
      <w:r w:rsidR="00215A6E" w:rsidRPr="008212DA">
        <w:t xml:space="preserve"> information collection.  </w:t>
      </w:r>
      <w:r w:rsidR="00215A6E" w:rsidRPr="007F2A90">
        <w:t xml:space="preserve">The number of respondents below is based on an estimate of the NERC compliance registry for </w:t>
      </w:r>
      <w:r w:rsidR="00215A6E">
        <w:t xml:space="preserve">transmission service providers (TSP), transmission operators (TOP), transmission planners (TP), resource planners (RP), </w:t>
      </w:r>
      <w:r w:rsidR="00650221">
        <w:t xml:space="preserve">and </w:t>
      </w:r>
      <w:r w:rsidR="00215A6E" w:rsidRPr="007F2A90">
        <w:t>balancing authorities</w:t>
      </w:r>
      <w:r w:rsidR="00215A6E">
        <w:t xml:space="preserve"> (BA)</w:t>
      </w:r>
      <w:r w:rsidR="00215A6E" w:rsidRPr="007F2A90">
        <w:t>.</w:t>
      </w:r>
      <w:r w:rsidR="00215A6E">
        <w:rPr>
          <w:rStyle w:val="FootnoteReference"/>
        </w:rPr>
        <w:footnoteReference w:id="37"/>
      </w:r>
      <w:r w:rsidR="00215A6E" w:rsidRPr="007F2A90">
        <w:t xml:space="preserve"> </w:t>
      </w:r>
      <w:r w:rsidR="00215A6E">
        <w:t xml:space="preserve"> As these entities still have obligation to other NERC Reliability Standards when updating the </w:t>
      </w:r>
      <w:r w:rsidR="00650221" w:rsidRPr="008212DA">
        <w:t>FERC-</w:t>
      </w:r>
      <w:r w:rsidR="00215A6E">
        <w:t>725A for this collection the number respondents shall remain the same and only the man-hours will be reduced.</w:t>
      </w:r>
      <w:r w:rsidR="00215A6E" w:rsidRPr="007F2A90">
        <w:t xml:space="preserve"> </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1440"/>
        <w:gridCol w:w="1260"/>
        <w:gridCol w:w="1350"/>
        <w:gridCol w:w="1260"/>
        <w:gridCol w:w="2880"/>
      </w:tblGrid>
      <w:tr w:rsidR="00215A6E" w:rsidRPr="00A23612" w14:paraId="77759045" w14:textId="77777777" w:rsidTr="000B018C">
        <w:trPr>
          <w:cantSplit/>
          <w:trHeight w:val="299"/>
          <w:jc w:val="center"/>
        </w:trPr>
        <w:tc>
          <w:tcPr>
            <w:tcW w:w="10075" w:type="dxa"/>
            <w:gridSpan w:val="6"/>
            <w:tcBorders>
              <w:top w:val="single" w:sz="4" w:space="0" w:color="auto"/>
              <w:left w:val="single" w:sz="4" w:space="0" w:color="auto"/>
              <w:bottom w:val="single" w:sz="4" w:space="0" w:color="auto"/>
              <w:right w:val="single" w:sz="4" w:space="0" w:color="auto"/>
            </w:tcBorders>
            <w:shd w:val="pct10" w:color="auto" w:fill="auto"/>
            <w:vAlign w:val="bottom"/>
          </w:tcPr>
          <w:tbl>
            <w:tblPr>
              <w:tblW w:w="10080" w:type="dxa"/>
              <w:jc w:val="center"/>
              <w:tblLayout w:type="fixed"/>
              <w:tblCellMar>
                <w:left w:w="0" w:type="dxa"/>
                <w:right w:w="0" w:type="dxa"/>
              </w:tblCellMar>
              <w:tblLook w:val="04A0" w:firstRow="1" w:lastRow="0" w:firstColumn="1" w:lastColumn="0" w:noHBand="0" w:noVBand="1"/>
            </w:tblPr>
            <w:tblGrid>
              <w:gridCol w:w="1889"/>
              <w:gridCol w:w="1440"/>
              <w:gridCol w:w="1260"/>
              <w:gridCol w:w="1290"/>
              <w:gridCol w:w="1351"/>
              <w:gridCol w:w="2850"/>
            </w:tblGrid>
            <w:tr w:rsidR="00215A6E" w:rsidRPr="00CF2461" w14:paraId="5A55D465" w14:textId="77777777" w:rsidTr="000B018C">
              <w:trPr>
                <w:cantSplit/>
                <w:trHeight w:val="583"/>
                <w:jc w:val="center"/>
              </w:trPr>
              <w:tc>
                <w:tcPr>
                  <w:tcW w:w="10070" w:type="dxa"/>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AB5DB81" w14:textId="77777777" w:rsidR="00215A6E" w:rsidRPr="00CF2461" w:rsidRDefault="00215A6E" w:rsidP="000B018C">
                  <w:pPr>
                    <w:spacing w:line="252" w:lineRule="auto"/>
                    <w:ind w:left="-351"/>
                    <w:jc w:val="center"/>
                    <w:rPr>
                      <w:b/>
                      <w:bCs/>
                      <w:sz w:val="20"/>
                      <w:szCs w:val="20"/>
                    </w:rPr>
                  </w:pPr>
                  <w:r w:rsidRPr="00CF2461">
                    <w:rPr>
                      <w:b/>
                      <w:bCs/>
                      <w:sz w:val="20"/>
                      <w:szCs w:val="20"/>
                    </w:rPr>
                    <w:t xml:space="preserve">MOD-001-1a - Available Transmission System Capability </w:t>
                  </w:r>
                </w:p>
                <w:p w14:paraId="4DB2AAF8" w14:textId="77777777" w:rsidR="00215A6E" w:rsidRPr="00CF2461" w:rsidRDefault="00215A6E" w:rsidP="000B018C">
                  <w:pPr>
                    <w:jc w:val="center"/>
                    <w:rPr>
                      <w:b/>
                      <w:bCs/>
                      <w:sz w:val="20"/>
                      <w:szCs w:val="20"/>
                    </w:rPr>
                  </w:pPr>
                  <w:r w:rsidRPr="00CF2461">
                    <w:rPr>
                      <w:b/>
                      <w:bCs/>
                      <w:sz w:val="20"/>
                      <w:szCs w:val="20"/>
                    </w:rPr>
                    <w:t>Retirement (Burden Reduction)</w:t>
                  </w:r>
                </w:p>
              </w:tc>
            </w:tr>
            <w:tr w:rsidR="00215A6E" w:rsidRPr="00CF2461" w14:paraId="34D10D1C" w14:textId="77777777" w:rsidTr="000B018C">
              <w:trPr>
                <w:cantSplit/>
                <w:trHeight w:val="744"/>
                <w:jc w:val="center"/>
              </w:trPr>
              <w:tc>
                <w:tcPr>
                  <w:tcW w:w="1889"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hideMark/>
                </w:tcPr>
                <w:p w14:paraId="29C1FA8A" w14:textId="77777777" w:rsidR="00215A6E" w:rsidRPr="00CF2461" w:rsidRDefault="00215A6E" w:rsidP="000B018C">
                  <w:pPr>
                    <w:spacing w:line="252" w:lineRule="auto"/>
                    <w:jc w:val="center"/>
                    <w:rPr>
                      <w:b/>
                      <w:bCs/>
                      <w:sz w:val="20"/>
                      <w:szCs w:val="20"/>
                    </w:rPr>
                  </w:pPr>
                  <w:r w:rsidRPr="00CF2461">
                    <w:rPr>
                      <w:b/>
                      <w:bCs/>
                      <w:color w:val="000000"/>
                      <w:sz w:val="20"/>
                      <w:szCs w:val="20"/>
                    </w:rPr>
                    <w:t xml:space="preserve">Applicable Entity (Respondent) </w:t>
                  </w:r>
                </w:p>
              </w:tc>
              <w:tc>
                <w:tcPr>
                  <w:tcW w:w="144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11B53D6D" w14:textId="77777777" w:rsidR="00215A6E" w:rsidRPr="00CF2461" w:rsidRDefault="00215A6E" w:rsidP="000B018C">
                  <w:pPr>
                    <w:spacing w:line="252" w:lineRule="auto"/>
                    <w:jc w:val="center"/>
                    <w:rPr>
                      <w:b/>
                      <w:bCs/>
                      <w:sz w:val="20"/>
                      <w:szCs w:val="20"/>
                    </w:rPr>
                  </w:pPr>
                  <w:r w:rsidRPr="00CF2461">
                    <w:rPr>
                      <w:rFonts w:eastAsia="Calibri"/>
                      <w:b/>
                      <w:sz w:val="20"/>
                      <w:szCs w:val="20"/>
                    </w:rPr>
                    <w:t>Number of Respondents</w:t>
                  </w:r>
                  <w:r w:rsidRPr="00CF2461">
                    <w:rPr>
                      <w:b/>
                      <w:bCs/>
                      <w:color w:val="000000"/>
                      <w:sz w:val="20"/>
                      <w:szCs w:val="20"/>
                    </w:rPr>
                    <w:t xml:space="preserve"> (1)</w:t>
                  </w:r>
                </w:p>
              </w:tc>
              <w:tc>
                <w:tcPr>
                  <w:tcW w:w="126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71024866" w14:textId="77777777" w:rsidR="00215A6E" w:rsidRPr="00CF2461" w:rsidRDefault="00215A6E" w:rsidP="000B018C">
                  <w:pPr>
                    <w:jc w:val="center"/>
                    <w:rPr>
                      <w:rFonts w:eastAsia="Calibri"/>
                      <w:b/>
                      <w:sz w:val="20"/>
                      <w:szCs w:val="20"/>
                    </w:rPr>
                  </w:pPr>
                  <w:r w:rsidRPr="00CF2461">
                    <w:rPr>
                      <w:rFonts w:eastAsia="Calibri"/>
                      <w:b/>
                      <w:sz w:val="20"/>
                      <w:szCs w:val="20"/>
                    </w:rPr>
                    <w:t>Annual Number of Responses per Respondent</w:t>
                  </w:r>
                </w:p>
                <w:p w14:paraId="7FA06E08" w14:textId="77777777" w:rsidR="00215A6E" w:rsidRPr="00CF2461" w:rsidRDefault="00215A6E" w:rsidP="000B018C">
                  <w:pPr>
                    <w:spacing w:line="252" w:lineRule="auto"/>
                    <w:jc w:val="center"/>
                    <w:rPr>
                      <w:b/>
                      <w:bCs/>
                      <w:sz w:val="20"/>
                      <w:szCs w:val="20"/>
                    </w:rPr>
                  </w:pPr>
                  <w:r w:rsidRPr="00CF2461">
                    <w:rPr>
                      <w:b/>
                      <w:bCs/>
                      <w:color w:val="000000"/>
                      <w:sz w:val="20"/>
                      <w:szCs w:val="20"/>
                    </w:rPr>
                    <w:t>(2)</w:t>
                  </w:r>
                </w:p>
              </w:tc>
              <w:tc>
                <w:tcPr>
                  <w:tcW w:w="129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bottom"/>
                  <w:hideMark/>
                </w:tcPr>
                <w:p w14:paraId="48AA2836" w14:textId="77777777" w:rsidR="00215A6E" w:rsidRPr="00CF2461" w:rsidRDefault="00215A6E" w:rsidP="000B018C">
                  <w:pPr>
                    <w:spacing w:line="252" w:lineRule="auto"/>
                    <w:jc w:val="center"/>
                    <w:rPr>
                      <w:b/>
                      <w:bCs/>
                      <w:sz w:val="20"/>
                      <w:szCs w:val="20"/>
                    </w:rPr>
                  </w:pPr>
                  <w:r w:rsidRPr="00CF2461">
                    <w:rPr>
                      <w:b/>
                      <w:bCs/>
                      <w:color w:val="000000"/>
                      <w:sz w:val="20"/>
                      <w:szCs w:val="20"/>
                    </w:rPr>
                    <w:t>Annual Number of Responses</w:t>
                  </w:r>
                </w:p>
                <w:p w14:paraId="42D56A79" w14:textId="77777777" w:rsidR="00215A6E" w:rsidRPr="00CF2461" w:rsidRDefault="00215A6E" w:rsidP="000B018C">
                  <w:pPr>
                    <w:spacing w:line="252" w:lineRule="auto"/>
                    <w:jc w:val="center"/>
                    <w:rPr>
                      <w:b/>
                      <w:bCs/>
                      <w:sz w:val="20"/>
                      <w:szCs w:val="20"/>
                    </w:rPr>
                  </w:pPr>
                  <w:r w:rsidRPr="00CF2461">
                    <w:rPr>
                      <w:b/>
                      <w:bCs/>
                      <w:color w:val="000000"/>
                      <w:sz w:val="20"/>
                      <w:szCs w:val="20"/>
                    </w:rPr>
                    <w:t>(1)*(2)=(3)</w:t>
                  </w:r>
                </w:p>
              </w:tc>
              <w:tc>
                <w:tcPr>
                  <w:tcW w:w="1351"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bottom"/>
                  <w:hideMark/>
                </w:tcPr>
                <w:p w14:paraId="1062690B" w14:textId="77777777" w:rsidR="00215A6E" w:rsidRPr="00CF2461" w:rsidRDefault="00215A6E" w:rsidP="000B018C">
                  <w:pPr>
                    <w:spacing w:line="252" w:lineRule="auto"/>
                    <w:jc w:val="center"/>
                    <w:rPr>
                      <w:b/>
                      <w:bCs/>
                      <w:sz w:val="20"/>
                      <w:szCs w:val="20"/>
                    </w:rPr>
                  </w:pPr>
                  <w:r w:rsidRPr="00CF2461">
                    <w:rPr>
                      <w:b/>
                      <w:bCs/>
                      <w:color w:val="000000"/>
                      <w:sz w:val="20"/>
                      <w:szCs w:val="20"/>
                    </w:rPr>
                    <w:t xml:space="preserve">Average Burden Hrs. and Cost Per Response </w:t>
                  </w:r>
                </w:p>
                <w:p w14:paraId="2A64909B" w14:textId="77777777" w:rsidR="00215A6E" w:rsidRPr="00CF2461" w:rsidRDefault="00215A6E" w:rsidP="000B018C">
                  <w:pPr>
                    <w:spacing w:line="252" w:lineRule="auto"/>
                    <w:jc w:val="center"/>
                    <w:rPr>
                      <w:b/>
                      <w:bCs/>
                      <w:sz w:val="20"/>
                      <w:szCs w:val="20"/>
                    </w:rPr>
                  </w:pPr>
                  <w:r w:rsidRPr="00CF2461">
                    <w:rPr>
                      <w:b/>
                      <w:bCs/>
                      <w:color w:val="000000"/>
                      <w:sz w:val="20"/>
                      <w:szCs w:val="20"/>
                    </w:rPr>
                    <w:t>(4)</w:t>
                  </w:r>
                  <w:r w:rsidRPr="00CF2461">
                    <w:rPr>
                      <w:rStyle w:val="FootnoteReference"/>
                      <w:bCs/>
                      <w:color w:val="000000"/>
                      <w:sz w:val="20"/>
                      <w:szCs w:val="20"/>
                    </w:rPr>
                    <w:footnoteReference w:id="38"/>
                  </w:r>
                </w:p>
              </w:tc>
              <w:tc>
                <w:tcPr>
                  <w:tcW w:w="285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bottom"/>
                  <w:hideMark/>
                </w:tcPr>
                <w:p w14:paraId="6F0C5A54" w14:textId="77777777" w:rsidR="00215A6E" w:rsidRPr="00CF2461" w:rsidRDefault="00215A6E" w:rsidP="000B018C">
                  <w:pPr>
                    <w:spacing w:line="252" w:lineRule="auto"/>
                    <w:jc w:val="center"/>
                    <w:rPr>
                      <w:b/>
                      <w:bCs/>
                      <w:sz w:val="20"/>
                      <w:szCs w:val="20"/>
                    </w:rPr>
                  </w:pPr>
                  <w:r w:rsidRPr="00CF2461">
                    <w:rPr>
                      <w:b/>
                      <w:bCs/>
                      <w:color w:val="000000"/>
                      <w:sz w:val="20"/>
                      <w:szCs w:val="20"/>
                    </w:rPr>
                    <w:t>Total Annual Burden Hours and Cost Reduction (rounded)</w:t>
                  </w:r>
                </w:p>
                <w:p w14:paraId="47F2486B" w14:textId="77777777" w:rsidR="00215A6E" w:rsidRPr="00CF2461" w:rsidRDefault="00215A6E" w:rsidP="000B018C">
                  <w:pPr>
                    <w:spacing w:line="252" w:lineRule="auto"/>
                    <w:jc w:val="center"/>
                    <w:rPr>
                      <w:b/>
                      <w:bCs/>
                      <w:sz w:val="20"/>
                      <w:szCs w:val="20"/>
                    </w:rPr>
                  </w:pPr>
                  <w:r w:rsidRPr="00CF2461">
                    <w:rPr>
                      <w:b/>
                      <w:bCs/>
                      <w:color w:val="000000"/>
                      <w:sz w:val="20"/>
                      <w:szCs w:val="20"/>
                    </w:rPr>
                    <w:t>(3)*(4)=(5)</w:t>
                  </w:r>
                </w:p>
              </w:tc>
            </w:tr>
          </w:tbl>
          <w:p w14:paraId="52F0B5A6" w14:textId="77777777" w:rsidR="00215A6E" w:rsidRPr="00C058D5" w:rsidRDefault="00215A6E" w:rsidP="000B018C">
            <w:pPr>
              <w:spacing w:line="256" w:lineRule="auto"/>
              <w:rPr>
                <w:rFonts w:eastAsia="Calibri"/>
                <w:b/>
                <w:bCs/>
                <w:iCs/>
                <w:sz w:val="22"/>
              </w:rPr>
            </w:pPr>
          </w:p>
        </w:tc>
      </w:tr>
      <w:tr w:rsidR="00215A6E" w:rsidRPr="00A23612" w14:paraId="70283317" w14:textId="77777777" w:rsidTr="000B018C">
        <w:trPr>
          <w:cantSplit/>
          <w:trHeight w:val="299"/>
          <w:jc w:val="center"/>
        </w:trPr>
        <w:tc>
          <w:tcPr>
            <w:tcW w:w="10075" w:type="dxa"/>
            <w:gridSpan w:val="6"/>
            <w:tcBorders>
              <w:top w:val="single" w:sz="4" w:space="0" w:color="auto"/>
              <w:left w:val="single" w:sz="4" w:space="0" w:color="auto"/>
              <w:bottom w:val="single" w:sz="4" w:space="0" w:color="auto"/>
              <w:right w:val="single" w:sz="4" w:space="0" w:color="auto"/>
            </w:tcBorders>
            <w:shd w:val="pct10" w:color="auto" w:fill="auto"/>
            <w:vAlign w:val="bottom"/>
            <w:hideMark/>
          </w:tcPr>
          <w:p w14:paraId="742CA7A4" w14:textId="77777777" w:rsidR="00215A6E" w:rsidRPr="00C058D5" w:rsidRDefault="00215A6E" w:rsidP="000B018C">
            <w:pPr>
              <w:spacing w:line="256" w:lineRule="auto"/>
              <w:jc w:val="center"/>
              <w:rPr>
                <w:rFonts w:eastAsia="Calibri"/>
                <w:sz w:val="22"/>
              </w:rPr>
            </w:pPr>
            <w:r w:rsidRPr="00C058D5">
              <w:rPr>
                <w:rFonts w:eastAsia="Calibri"/>
                <w:b/>
                <w:bCs/>
                <w:iCs/>
                <w:sz w:val="22"/>
              </w:rPr>
              <w:lastRenderedPageBreak/>
              <w:t>FERC-725</w:t>
            </w:r>
            <w:r>
              <w:rPr>
                <w:rFonts w:eastAsia="Calibri"/>
                <w:b/>
                <w:bCs/>
                <w:iCs/>
                <w:sz w:val="22"/>
              </w:rPr>
              <w:t>A</w:t>
            </w:r>
            <w:r w:rsidRPr="00C058D5">
              <w:rPr>
                <w:rFonts w:eastAsia="Calibri"/>
                <w:b/>
                <w:bCs/>
                <w:iCs/>
                <w:sz w:val="22"/>
              </w:rPr>
              <w:t>, OMB Control No. 1902-</w:t>
            </w:r>
            <w:r>
              <w:rPr>
                <w:rFonts w:eastAsia="Calibri"/>
                <w:b/>
                <w:sz w:val="20"/>
                <w:szCs w:val="20"/>
              </w:rPr>
              <w:t>0244</w:t>
            </w:r>
          </w:p>
        </w:tc>
      </w:tr>
      <w:tr w:rsidR="00215A6E" w:rsidRPr="00A23612" w14:paraId="25A3E324" w14:textId="77777777" w:rsidTr="000B018C">
        <w:trPr>
          <w:cantSplit/>
          <w:trHeight w:val="299"/>
          <w:jc w:val="center"/>
        </w:trPr>
        <w:tc>
          <w:tcPr>
            <w:tcW w:w="1885" w:type="dxa"/>
            <w:tcBorders>
              <w:top w:val="single" w:sz="4" w:space="0" w:color="auto"/>
              <w:left w:val="single" w:sz="4" w:space="0" w:color="auto"/>
              <w:bottom w:val="single" w:sz="4" w:space="0" w:color="auto"/>
              <w:right w:val="single" w:sz="4" w:space="0" w:color="auto"/>
            </w:tcBorders>
            <w:vAlign w:val="bottom"/>
            <w:hideMark/>
          </w:tcPr>
          <w:p w14:paraId="513CE494" w14:textId="77777777" w:rsidR="00215A6E" w:rsidRPr="00A23612" w:rsidRDefault="00215A6E" w:rsidP="000B018C">
            <w:pPr>
              <w:spacing w:line="256" w:lineRule="auto"/>
              <w:rPr>
                <w:rFonts w:eastAsia="Calibri"/>
                <w:bCs/>
                <w:sz w:val="22"/>
              </w:rPr>
            </w:pPr>
            <w:r w:rsidRPr="00665140">
              <w:rPr>
                <w:rFonts w:eastAsia="Calibri"/>
                <w:b/>
                <w:bCs/>
                <w:sz w:val="20"/>
                <w:szCs w:val="20"/>
              </w:rPr>
              <w:t>TSP – Retired</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819D8E9" w14:textId="77777777" w:rsidR="00215A6E" w:rsidRPr="00A23612" w:rsidRDefault="00215A6E" w:rsidP="000B018C">
            <w:pPr>
              <w:spacing w:line="256" w:lineRule="auto"/>
              <w:jc w:val="center"/>
              <w:rPr>
                <w:rFonts w:eastAsia="Calibri"/>
                <w:sz w:val="22"/>
              </w:rPr>
            </w:pPr>
            <w:r>
              <w:rPr>
                <w:rFonts w:eastAsia="Calibri"/>
                <w:sz w:val="22"/>
              </w:rPr>
              <w:t>71</w:t>
            </w:r>
          </w:p>
        </w:tc>
        <w:tc>
          <w:tcPr>
            <w:tcW w:w="1260" w:type="dxa"/>
            <w:tcBorders>
              <w:top w:val="single" w:sz="4" w:space="0" w:color="auto"/>
              <w:left w:val="single" w:sz="4" w:space="0" w:color="auto"/>
              <w:bottom w:val="single" w:sz="4" w:space="0" w:color="auto"/>
              <w:right w:val="single" w:sz="4" w:space="0" w:color="auto"/>
            </w:tcBorders>
            <w:vAlign w:val="bottom"/>
            <w:hideMark/>
          </w:tcPr>
          <w:p w14:paraId="02A31FA4" w14:textId="77777777" w:rsidR="00215A6E" w:rsidRPr="00A23612" w:rsidRDefault="00215A6E" w:rsidP="000B018C">
            <w:pPr>
              <w:spacing w:line="256" w:lineRule="auto"/>
              <w:jc w:val="center"/>
              <w:rPr>
                <w:rFonts w:eastAsia="Calibri"/>
                <w:sz w:val="22"/>
              </w:rPr>
            </w:pPr>
            <w:r w:rsidRPr="00A23612">
              <w:rPr>
                <w:rFonts w:eastAsia="Calibri"/>
                <w:sz w:val="22"/>
              </w:rPr>
              <w:t>1</w:t>
            </w:r>
          </w:p>
        </w:tc>
        <w:tc>
          <w:tcPr>
            <w:tcW w:w="1350" w:type="dxa"/>
            <w:tcBorders>
              <w:top w:val="single" w:sz="4" w:space="0" w:color="auto"/>
              <w:left w:val="single" w:sz="4" w:space="0" w:color="auto"/>
              <w:bottom w:val="single" w:sz="4" w:space="0" w:color="auto"/>
              <w:right w:val="single" w:sz="4" w:space="0" w:color="auto"/>
            </w:tcBorders>
            <w:vAlign w:val="bottom"/>
            <w:hideMark/>
          </w:tcPr>
          <w:p w14:paraId="47018482" w14:textId="77777777" w:rsidR="00215A6E" w:rsidRPr="00A23612" w:rsidRDefault="00215A6E" w:rsidP="000B018C">
            <w:pPr>
              <w:spacing w:line="256" w:lineRule="auto"/>
              <w:jc w:val="center"/>
              <w:rPr>
                <w:rFonts w:eastAsia="Calibri"/>
                <w:sz w:val="22"/>
              </w:rPr>
            </w:pPr>
            <w:r>
              <w:rPr>
                <w:rFonts w:eastAsia="Calibri"/>
                <w:sz w:val="22"/>
              </w:rPr>
              <w:t>71</w:t>
            </w:r>
          </w:p>
        </w:tc>
        <w:tc>
          <w:tcPr>
            <w:tcW w:w="1260" w:type="dxa"/>
            <w:tcBorders>
              <w:top w:val="single" w:sz="4" w:space="0" w:color="auto"/>
              <w:left w:val="single" w:sz="4" w:space="0" w:color="auto"/>
              <w:bottom w:val="single" w:sz="4" w:space="0" w:color="auto"/>
              <w:right w:val="single" w:sz="4" w:space="0" w:color="auto"/>
            </w:tcBorders>
            <w:vAlign w:val="bottom"/>
            <w:hideMark/>
          </w:tcPr>
          <w:p w14:paraId="20455655" w14:textId="77777777" w:rsidR="00215A6E" w:rsidRPr="00C71475" w:rsidRDefault="00215A6E" w:rsidP="000B018C">
            <w:pPr>
              <w:spacing w:line="276" w:lineRule="auto"/>
              <w:jc w:val="right"/>
              <w:rPr>
                <w:rFonts w:eastAsia="Calibri"/>
                <w:sz w:val="20"/>
                <w:szCs w:val="20"/>
              </w:rPr>
            </w:pPr>
            <w:r>
              <w:rPr>
                <w:rFonts w:eastAsia="Calibri"/>
                <w:sz w:val="20"/>
                <w:szCs w:val="20"/>
              </w:rPr>
              <w:t xml:space="preserve">120 </w:t>
            </w:r>
            <w:r w:rsidRPr="00C71475">
              <w:rPr>
                <w:rFonts w:eastAsia="Calibri"/>
                <w:sz w:val="20"/>
                <w:szCs w:val="20"/>
              </w:rPr>
              <w:t>hrs.;</w:t>
            </w:r>
          </w:p>
          <w:p w14:paraId="1F0DC2F6" w14:textId="77777777" w:rsidR="00215A6E" w:rsidRPr="00A23612" w:rsidRDefault="00215A6E" w:rsidP="000B018C">
            <w:pPr>
              <w:spacing w:line="256" w:lineRule="auto"/>
              <w:jc w:val="right"/>
              <w:rPr>
                <w:rFonts w:eastAsia="Calibri"/>
                <w:sz w:val="22"/>
              </w:rPr>
            </w:pPr>
            <w:r w:rsidRPr="00C71475">
              <w:rPr>
                <w:rFonts w:eastAsia="Calibri"/>
                <w:sz w:val="20"/>
                <w:szCs w:val="20"/>
              </w:rPr>
              <w:t xml:space="preserve"> $</w:t>
            </w:r>
            <w:r>
              <w:rPr>
                <w:rFonts w:eastAsia="Calibri"/>
                <w:sz w:val="20"/>
                <w:szCs w:val="20"/>
              </w:rPr>
              <w:t>8,144.40</w:t>
            </w:r>
          </w:p>
        </w:tc>
        <w:tc>
          <w:tcPr>
            <w:tcW w:w="2880" w:type="dxa"/>
            <w:tcBorders>
              <w:top w:val="single" w:sz="4" w:space="0" w:color="auto"/>
              <w:left w:val="single" w:sz="4" w:space="0" w:color="auto"/>
              <w:bottom w:val="single" w:sz="4" w:space="0" w:color="auto"/>
              <w:right w:val="single" w:sz="4" w:space="0" w:color="auto"/>
            </w:tcBorders>
            <w:vAlign w:val="bottom"/>
            <w:hideMark/>
          </w:tcPr>
          <w:p w14:paraId="6DFD272A" w14:textId="77777777" w:rsidR="00215A6E" w:rsidRPr="00C71475" w:rsidRDefault="00215A6E" w:rsidP="000B018C">
            <w:pPr>
              <w:spacing w:line="276" w:lineRule="auto"/>
              <w:jc w:val="right"/>
              <w:rPr>
                <w:rFonts w:eastAsia="Calibri"/>
                <w:sz w:val="20"/>
                <w:szCs w:val="20"/>
              </w:rPr>
            </w:pPr>
            <w:r>
              <w:rPr>
                <w:rFonts w:eastAsia="Calibri"/>
                <w:sz w:val="20"/>
                <w:szCs w:val="20"/>
              </w:rPr>
              <w:t xml:space="preserve">8520 </w:t>
            </w:r>
            <w:r w:rsidRPr="00C71475">
              <w:rPr>
                <w:rFonts w:eastAsia="Calibri"/>
                <w:sz w:val="20"/>
                <w:szCs w:val="20"/>
              </w:rPr>
              <w:t>hrs.;</w:t>
            </w:r>
          </w:p>
          <w:p w14:paraId="23D46142" w14:textId="77777777" w:rsidR="00215A6E" w:rsidRPr="00A23612" w:rsidRDefault="00215A6E" w:rsidP="000B018C">
            <w:pPr>
              <w:spacing w:line="256" w:lineRule="auto"/>
              <w:jc w:val="right"/>
              <w:rPr>
                <w:rFonts w:eastAsia="Calibri"/>
                <w:sz w:val="22"/>
              </w:rPr>
            </w:pPr>
            <w:r w:rsidRPr="00C71475">
              <w:rPr>
                <w:rFonts w:eastAsia="Calibri"/>
                <w:sz w:val="20"/>
                <w:szCs w:val="20"/>
              </w:rPr>
              <w:t xml:space="preserve"> $</w:t>
            </w:r>
            <w:r>
              <w:rPr>
                <w:rFonts w:eastAsia="Calibri"/>
                <w:sz w:val="20"/>
                <w:szCs w:val="20"/>
              </w:rPr>
              <w:t>578,252.4</w:t>
            </w:r>
          </w:p>
        </w:tc>
      </w:tr>
      <w:tr w:rsidR="00215A6E" w:rsidRPr="00A23612" w14:paraId="7D9BD33B" w14:textId="77777777" w:rsidTr="000B018C">
        <w:trPr>
          <w:cantSplit/>
          <w:trHeight w:val="299"/>
          <w:jc w:val="center"/>
        </w:trPr>
        <w:tc>
          <w:tcPr>
            <w:tcW w:w="1885" w:type="dxa"/>
            <w:tcBorders>
              <w:top w:val="single" w:sz="4" w:space="0" w:color="auto"/>
              <w:left w:val="single" w:sz="4" w:space="0" w:color="auto"/>
              <w:bottom w:val="single" w:sz="4" w:space="0" w:color="auto"/>
              <w:right w:val="single" w:sz="4" w:space="0" w:color="auto"/>
            </w:tcBorders>
            <w:vAlign w:val="bottom"/>
            <w:hideMark/>
          </w:tcPr>
          <w:p w14:paraId="1B4D9E78" w14:textId="77777777" w:rsidR="00215A6E" w:rsidRPr="00A23612" w:rsidRDefault="00215A6E" w:rsidP="000B018C">
            <w:pPr>
              <w:spacing w:line="256" w:lineRule="auto"/>
              <w:rPr>
                <w:rFonts w:eastAsia="Calibri"/>
                <w:bCs/>
                <w:sz w:val="22"/>
              </w:rPr>
            </w:pPr>
            <w:r w:rsidRPr="00265AF8">
              <w:rPr>
                <w:rFonts w:eastAsia="Calibri"/>
                <w:b/>
                <w:bCs/>
                <w:sz w:val="20"/>
                <w:szCs w:val="20"/>
              </w:rPr>
              <w:t xml:space="preserve">TOP </w:t>
            </w:r>
            <w:r>
              <w:rPr>
                <w:rFonts w:eastAsia="Calibri"/>
                <w:b/>
                <w:bCs/>
                <w:sz w:val="20"/>
                <w:szCs w:val="20"/>
              </w:rPr>
              <w:t>–</w:t>
            </w:r>
            <w:r w:rsidRPr="00265AF8">
              <w:rPr>
                <w:rFonts w:eastAsia="Calibri"/>
                <w:b/>
                <w:bCs/>
                <w:sz w:val="20"/>
                <w:szCs w:val="20"/>
              </w:rPr>
              <w:t xml:space="preserve"> Retired</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BC51287" w14:textId="77777777" w:rsidR="00215A6E" w:rsidRPr="00A23612" w:rsidRDefault="00215A6E" w:rsidP="000B018C">
            <w:pPr>
              <w:spacing w:line="256" w:lineRule="auto"/>
              <w:jc w:val="center"/>
              <w:rPr>
                <w:rFonts w:eastAsia="Calibri"/>
                <w:sz w:val="22"/>
              </w:rPr>
            </w:pPr>
            <w:r>
              <w:rPr>
                <w:rFonts w:eastAsia="Calibri"/>
                <w:sz w:val="22"/>
              </w:rPr>
              <w:t>165</w:t>
            </w:r>
          </w:p>
        </w:tc>
        <w:tc>
          <w:tcPr>
            <w:tcW w:w="1260" w:type="dxa"/>
            <w:tcBorders>
              <w:top w:val="single" w:sz="4" w:space="0" w:color="auto"/>
              <w:left w:val="single" w:sz="4" w:space="0" w:color="auto"/>
              <w:bottom w:val="single" w:sz="4" w:space="0" w:color="auto"/>
              <w:right w:val="single" w:sz="4" w:space="0" w:color="auto"/>
            </w:tcBorders>
            <w:vAlign w:val="bottom"/>
            <w:hideMark/>
          </w:tcPr>
          <w:p w14:paraId="2264699C" w14:textId="77777777" w:rsidR="00215A6E" w:rsidRPr="00A23612" w:rsidRDefault="00215A6E" w:rsidP="000B018C">
            <w:pPr>
              <w:spacing w:line="256" w:lineRule="auto"/>
              <w:jc w:val="center"/>
              <w:rPr>
                <w:rFonts w:eastAsia="Calibri"/>
                <w:sz w:val="22"/>
              </w:rPr>
            </w:pPr>
            <w:r w:rsidRPr="00A23612">
              <w:rPr>
                <w:rFonts w:eastAsia="Calibri"/>
                <w:sz w:val="22"/>
              </w:rPr>
              <w:t>1</w:t>
            </w:r>
          </w:p>
        </w:tc>
        <w:tc>
          <w:tcPr>
            <w:tcW w:w="1350" w:type="dxa"/>
            <w:tcBorders>
              <w:top w:val="single" w:sz="4" w:space="0" w:color="auto"/>
              <w:left w:val="single" w:sz="4" w:space="0" w:color="auto"/>
              <w:bottom w:val="single" w:sz="4" w:space="0" w:color="auto"/>
              <w:right w:val="single" w:sz="4" w:space="0" w:color="auto"/>
            </w:tcBorders>
            <w:vAlign w:val="bottom"/>
            <w:hideMark/>
          </w:tcPr>
          <w:p w14:paraId="013451BA" w14:textId="77777777" w:rsidR="00215A6E" w:rsidRPr="00A23612" w:rsidRDefault="00215A6E" w:rsidP="000B018C">
            <w:pPr>
              <w:spacing w:line="256" w:lineRule="auto"/>
              <w:jc w:val="center"/>
              <w:rPr>
                <w:rFonts w:eastAsia="Calibri"/>
                <w:sz w:val="22"/>
              </w:rPr>
            </w:pPr>
            <w:r>
              <w:rPr>
                <w:rFonts w:eastAsia="Calibri"/>
                <w:sz w:val="22"/>
              </w:rPr>
              <w:t>165</w:t>
            </w:r>
          </w:p>
        </w:tc>
        <w:tc>
          <w:tcPr>
            <w:tcW w:w="1260" w:type="dxa"/>
            <w:tcBorders>
              <w:top w:val="single" w:sz="4" w:space="0" w:color="auto"/>
              <w:left w:val="single" w:sz="4" w:space="0" w:color="auto"/>
              <w:bottom w:val="single" w:sz="4" w:space="0" w:color="auto"/>
              <w:right w:val="single" w:sz="4" w:space="0" w:color="auto"/>
            </w:tcBorders>
            <w:vAlign w:val="bottom"/>
            <w:hideMark/>
          </w:tcPr>
          <w:p w14:paraId="4F300E0F" w14:textId="77777777" w:rsidR="00215A6E" w:rsidRPr="00C71475" w:rsidRDefault="00215A6E" w:rsidP="000B018C">
            <w:pPr>
              <w:spacing w:line="276" w:lineRule="auto"/>
              <w:jc w:val="right"/>
              <w:rPr>
                <w:rFonts w:eastAsia="Calibri"/>
                <w:sz w:val="20"/>
                <w:szCs w:val="20"/>
              </w:rPr>
            </w:pPr>
            <w:r>
              <w:rPr>
                <w:rFonts w:eastAsia="Calibri"/>
                <w:sz w:val="20"/>
                <w:szCs w:val="20"/>
              </w:rPr>
              <w:t xml:space="preserve">120 </w:t>
            </w:r>
            <w:r w:rsidRPr="00C71475">
              <w:rPr>
                <w:rFonts w:eastAsia="Calibri"/>
                <w:sz w:val="20"/>
                <w:szCs w:val="20"/>
              </w:rPr>
              <w:t>hrs.;</w:t>
            </w:r>
          </w:p>
          <w:p w14:paraId="019825DA" w14:textId="77777777" w:rsidR="00215A6E" w:rsidRPr="00A23612" w:rsidRDefault="00215A6E" w:rsidP="000B018C">
            <w:pPr>
              <w:spacing w:line="256" w:lineRule="auto"/>
              <w:jc w:val="right"/>
              <w:rPr>
                <w:rFonts w:eastAsia="Calibri"/>
                <w:sz w:val="22"/>
              </w:rPr>
            </w:pPr>
            <w:r w:rsidRPr="00C71475">
              <w:rPr>
                <w:rFonts w:eastAsia="Calibri"/>
                <w:sz w:val="20"/>
                <w:szCs w:val="20"/>
              </w:rPr>
              <w:t xml:space="preserve"> $</w:t>
            </w:r>
            <w:r>
              <w:rPr>
                <w:rFonts w:eastAsia="Calibri"/>
                <w:sz w:val="20"/>
                <w:szCs w:val="20"/>
              </w:rPr>
              <w:t>8,144.40</w:t>
            </w:r>
          </w:p>
        </w:tc>
        <w:tc>
          <w:tcPr>
            <w:tcW w:w="2880" w:type="dxa"/>
            <w:tcBorders>
              <w:top w:val="single" w:sz="4" w:space="0" w:color="auto"/>
              <w:left w:val="single" w:sz="4" w:space="0" w:color="auto"/>
              <w:bottom w:val="single" w:sz="4" w:space="0" w:color="auto"/>
              <w:right w:val="single" w:sz="4" w:space="0" w:color="auto"/>
            </w:tcBorders>
            <w:vAlign w:val="bottom"/>
            <w:hideMark/>
          </w:tcPr>
          <w:p w14:paraId="44F0D750" w14:textId="77777777" w:rsidR="00215A6E" w:rsidRPr="00C71475" w:rsidRDefault="00215A6E" w:rsidP="000B018C">
            <w:pPr>
              <w:spacing w:line="276" w:lineRule="auto"/>
              <w:jc w:val="right"/>
              <w:rPr>
                <w:rFonts w:eastAsia="Calibri"/>
                <w:sz w:val="20"/>
                <w:szCs w:val="20"/>
              </w:rPr>
            </w:pPr>
            <w:r>
              <w:rPr>
                <w:rFonts w:eastAsia="Calibri"/>
                <w:sz w:val="20"/>
                <w:szCs w:val="20"/>
              </w:rPr>
              <w:t xml:space="preserve">19,800 </w:t>
            </w:r>
            <w:r w:rsidRPr="00C71475">
              <w:rPr>
                <w:rFonts w:eastAsia="Calibri"/>
                <w:sz w:val="20"/>
                <w:szCs w:val="20"/>
              </w:rPr>
              <w:t>hrs.;</w:t>
            </w:r>
          </w:p>
          <w:p w14:paraId="6680FDF7" w14:textId="77777777" w:rsidR="00215A6E" w:rsidRPr="00A23612" w:rsidRDefault="00215A6E" w:rsidP="000B018C">
            <w:pPr>
              <w:spacing w:line="256" w:lineRule="auto"/>
              <w:jc w:val="right"/>
              <w:rPr>
                <w:rFonts w:eastAsia="Calibri"/>
                <w:sz w:val="22"/>
              </w:rPr>
            </w:pPr>
            <w:r w:rsidRPr="00C71475">
              <w:rPr>
                <w:rFonts w:eastAsia="Calibri"/>
                <w:sz w:val="20"/>
                <w:szCs w:val="20"/>
              </w:rPr>
              <w:t xml:space="preserve"> $</w:t>
            </w:r>
            <w:r>
              <w:rPr>
                <w:rFonts w:eastAsia="Calibri"/>
                <w:sz w:val="20"/>
                <w:szCs w:val="20"/>
              </w:rPr>
              <w:t>1,343,826</w:t>
            </w:r>
          </w:p>
        </w:tc>
      </w:tr>
      <w:tr w:rsidR="00215A6E" w:rsidRPr="00A23612" w14:paraId="23B84A3C" w14:textId="77777777" w:rsidTr="000B018C">
        <w:trPr>
          <w:cantSplit/>
          <w:trHeight w:val="299"/>
          <w:jc w:val="center"/>
        </w:trPr>
        <w:tc>
          <w:tcPr>
            <w:tcW w:w="1885" w:type="dxa"/>
            <w:tcBorders>
              <w:top w:val="single" w:sz="4" w:space="0" w:color="auto"/>
              <w:left w:val="single" w:sz="4" w:space="0" w:color="auto"/>
              <w:bottom w:val="single" w:sz="4" w:space="0" w:color="auto"/>
              <w:right w:val="single" w:sz="4" w:space="0" w:color="auto"/>
            </w:tcBorders>
            <w:hideMark/>
          </w:tcPr>
          <w:p w14:paraId="5E036ADA" w14:textId="77777777" w:rsidR="00215A6E" w:rsidRPr="00CF2461" w:rsidRDefault="00215A6E" w:rsidP="000B018C">
            <w:pPr>
              <w:spacing w:line="256" w:lineRule="auto"/>
              <w:rPr>
                <w:rFonts w:eastAsia="Calibri"/>
                <w:b/>
                <w:bCs/>
                <w:sz w:val="20"/>
                <w:szCs w:val="20"/>
              </w:rPr>
            </w:pPr>
            <w:r w:rsidRPr="00CF2461">
              <w:rPr>
                <w:rFonts w:eastAsia="Calibri"/>
                <w:b/>
                <w:bCs/>
                <w:sz w:val="20"/>
                <w:szCs w:val="20"/>
              </w:rPr>
              <w:t>FERC-725A for MOD-001-1a Total Retired</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14:paraId="4427271B" w14:textId="77777777" w:rsidR="00215A6E" w:rsidRPr="00A23612" w:rsidRDefault="00215A6E" w:rsidP="000B018C">
            <w:pPr>
              <w:spacing w:line="256" w:lineRule="auto"/>
              <w:jc w:val="right"/>
              <w:rPr>
                <w:rFonts w:eastAsia="Calibri"/>
                <w:sz w:val="22"/>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2D13FE97" w14:textId="77777777" w:rsidR="00215A6E" w:rsidRPr="00A23612" w:rsidRDefault="00215A6E" w:rsidP="000B018C">
            <w:pPr>
              <w:spacing w:line="256" w:lineRule="auto"/>
              <w:jc w:val="right"/>
              <w:rPr>
                <w:rFonts w:eastAsia="Calibri"/>
                <w:sz w:val="22"/>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1AC124" w14:textId="77777777" w:rsidR="00215A6E" w:rsidRPr="003B435C" w:rsidRDefault="00215A6E" w:rsidP="000B018C">
            <w:pPr>
              <w:spacing w:line="256" w:lineRule="auto"/>
              <w:jc w:val="right"/>
              <w:rPr>
                <w:rFonts w:eastAsia="Calibri"/>
                <w:sz w:val="22"/>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64707D8F" w14:textId="77777777" w:rsidR="00215A6E" w:rsidRPr="003B435C" w:rsidRDefault="00215A6E" w:rsidP="000B018C">
            <w:pPr>
              <w:spacing w:line="256" w:lineRule="auto"/>
              <w:jc w:val="right"/>
              <w:rPr>
                <w:rFonts w:eastAsia="Calibri"/>
                <w:sz w:val="22"/>
              </w:rPr>
            </w:pPr>
          </w:p>
        </w:tc>
        <w:tc>
          <w:tcPr>
            <w:tcW w:w="2880" w:type="dxa"/>
            <w:tcBorders>
              <w:top w:val="single" w:sz="4" w:space="0" w:color="auto"/>
              <w:left w:val="single" w:sz="4" w:space="0" w:color="auto"/>
              <w:bottom w:val="single" w:sz="4" w:space="0" w:color="auto"/>
              <w:right w:val="single" w:sz="4" w:space="0" w:color="auto"/>
            </w:tcBorders>
            <w:hideMark/>
          </w:tcPr>
          <w:p w14:paraId="4A8DBDFA" w14:textId="77777777" w:rsidR="00215A6E" w:rsidRPr="00907562" w:rsidRDefault="00215A6E" w:rsidP="000B018C">
            <w:pPr>
              <w:spacing w:line="276" w:lineRule="auto"/>
              <w:jc w:val="right"/>
              <w:rPr>
                <w:rFonts w:eastAsia="Calibri"/>
                <w:b/>
                <w:bCs/>
                <w:sz w:val="20"/>
                <w:szCs w:val="20"/>
              </w:rPr>
            </w:pPr>
            <w:r w:rsidRPr="00907562">
              <w:rPr>
                <w:rFonts w:eastAsia="Calibri"/>
                <w:b/>
                <w:bCs/>
                <w:sz w:val="20"/>
                <w:szCs w:val="20"/>
              </w:rPr>
              <w:t>28,320</w:t>
            </w:r>
            <w:r>
              <w:rPr>
                <w:rFonts w:eastAsia="Calibri"/>
                <w:b/>
                <w:bCs/>
                <w:sz w:val="20"/>
                <w:szCs w:val="20"/>
              </w:rPr>
              <w:t xml:space="preserve"> </w:t>
            </w:r>
            <w:r w:rsidRPr="00907562">
              <w:rPr>
                <w:rFonts w:eastAsia="Calibri"/>
                <w:b/>
                <w:bCs/>
                <w:sz w:val="20"/>
                <w:szCs w:val="20"/>
              </w:rPr>
              <w:t>hrs.;</w:t>
            </w:r>
          </w:p>
          <w:p w14:paraId="3ABDF04B" w14:textId="77777777" w:rsidR="00215A6E" w:rsidRPr="003B435C" w:rsidRDefault="00215A6E" w:rsidP="000B018C">
            <w:pPr>
              <w:spacing w:line="256" w:lineRule="auto"/>
              <w:jc w:val="right"/>
              <w:rPr>
                <w:rFonts w:eastAsia="Calibri"/>
                <w:sz w:val="22"/>
              </w:rPr>
            </w:pPr>
            <w:r w:rsidRPr="00907562">
              <w:rPr>
                <w:rFonts w:eastAsia="Calibri"/>
                <w:b/>
                <w:bCs/>
                <w:sz w:val="20"/>
                <w:szCs w:val="20"/>
              </w:rPr>
              <w:t xml:space="preserve"> $1,922,078.4</w:t>
            </w:r>
            <w:r>
              <w:rPr>
                <w:rFonts w:eastAsia="Calibri"/>
                <w:b/>
                <w:bCs/>
                <w:sz w:val="20"/>
                <w:szCs w:val="20"/>
              </w:rPr>
              <w:t>0</w:t>
            </w:r>
            <w:r w:rsidRPr="003B435C">
              <w:rPr>
                <w:rFonts w:eastAsia="Calibri"/>
                <w:sz w:val="22"/>
              </w:rPr>
              <w:t xml:space="preserve"> </w:t>
            </w:r>
          </w:p>
        </w:tc>
      </w:tr>
    </w:tbl>
    <w:p w14:paraId="0286671B" w14:textId="5136B933" w:rsidR="00215A6E" w:rsidRPr="008212DA" w:rsidRDefault="00215A6E" w:rsidP="00215A6E"/>
    <w:tbl>
      <w:tblPr>
        <w:tblW w:w="5390"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2"/>
        <w:gridCol w:w="1347"/>
        <w:gridCol w:w="1260"/>
        <w:gridCol w:w="1621"/>
        <w:gridCol w:w="1439"/>
        <w:gridCol w:w="2028"/>
        <w:gridCol w:w="492"/>
      </w:tblGrid>
      <w:tr w:rsidR="00215A6E" w:rsidRPr="00CF2461" w14:paraId="117D698F" w14:textId="77777777" w:rsidTr="000B018C">
        <w:trPr>
          <w:cantSplit/>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14:paraId="792E3033" w14:textId="77777777" w:rsidR="00215A6E" w:rsidRPr="00CF2461" w:rsidRDefault="00215A6E" w:rsidP="00CF2461">
            <w:pPr>
              <w:keepNext/>
              <w:spacing w:line="252" w:lineRule="auto"/>
              <w:ind w:left="-346"/>
              <w:jc w:val="center"/>
              <w:rPr>
                <w:rFonts w:eastAsia="Calibri"/>
                <w:b/>
                <w:sz w:val="20"/>
                <w:szCs w:val="20"/>
              </w:rPr>
            </w:pPr>
            <w:r w:rsidRPr="00CF2461">
              <w:rPr>
                <w:rFonts w:eastAsia="Calibri"/>
                <w:b/>
                <w:sz w:val="20"/>
                <w:szCs w:val="20"/>
              </w:rPr>
              <w:t xml:space="preserve">MOD-004-1 – Capacity Benefit Margin </w:t>
            </w:r>
          </w:p>
          <w:p w14:paraId="7BFC19F9" w14:textId="77777777" w:rsidR="00215A6E" w:rsidRPr="00CF2461" w:rsidRDefault="00215A6E" w:rsidP="00CF2461">
            <w:pPr>
              <w:keepNext/>
              <w:jc w:val="center"/>
              <w:rPr>
                <w:rFonts w:eastAsia="Calibri"/>
                <w:b/>
                <w:sz w:val="20"/>
                <w:szCs w:val="20"/>
              </w:rPr>
            </w:pPr>
            <w:r w:rsidRPr="00CF2461">
              <w:rPr>
                <w:b/>
                <w:bCs/>
                <w:sz w:val="20"/>
                <w:szCs w:val="20"/>
              </w:rPr>
              <w:t>Retirement (Burden Reduction)</w:t>
            </w:r>
            <w:r w:rsidRPr="00CF2461">
              <w:rPr>
                <w:rStyle w:val="FootnoteReference"/>
                <w:bCs/>
                <w:sz w:val="20"/>
                <w:szCs w:val="20"/>
              </w:rPr>
              <w:footnoteReference w:id="39"/>
            </w:r>
          </w:p>
        </w:tc>
      </w:tr>
      <w:tr w:rsidR="00215A6E" w:rsidRPr="00CF2461" w14:paraId="5CE4C009" w14:textId="77777777" w:rsidTr="000B018C">
        <w:trPr>
          <w:cantSplit/>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cPr>
          <w:tbl>
            <w:tblPr>
              <w:tblW w:w="11627" w:type="dxa"/>
              <w:jc w:val="center"/>
              <w:tblLayout w:type="fixed"/>
              <w:tblCellMar>
                <w:left w:w="0" w:type="dxa"/>
                <w:right w:w="0" w:type="dxa"/>
              </w:tblCellMar>
              <w:tblLook w:val="04A0" w:firstRow="1" w:lastRow="0" w:firstColumn="1" w:lastColumn="0" w:noHBand="0" w:noVBand="1"/>
            </w:tblPr>
            <w:tblGrid>
              <w:gridCol w:w="2660"/>
              <w:gridCol w:w="1350"/>
              <w:gridCol w:w="1260"/>
              <w:gridCol w:w="1579"/>
              <w:gridCol w:w="1479"/>
              <w:gridCol w:w="3299"/>
            </w:tblGrid>
            <w:tr w:rsidR="00215A6E" w:rsidRPr="00CF2461" w14:paraId="0C41662E" w14:textId="77777777" w:rsidTr="000B018C">
              <w:trPr>
                <w:cantSplit/>
                <w:trHeight w:val="744"/>
                <w:jc w:val="center"/>
              </w:trPr>
              <w:tc>
                <w:tcPr>
                  <w:tcW w:w="266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hideMark/>
                </w:tcPr>
                <w:p w14:paraId="13474F6B" w14:textId="77777777" w:rsidR="00215A6E" w:rsidRPr="00CF2461" w:rsidRDefault="00215A6E" w:rsidP="000B018C">
                  <w:pPr>
                    <w:spacing w:line="252" w:lineRule="auto"/>
                    <w:jc w:val="right"/>
                    <w:rPr>
                      <w:b/>
                      <w:bCs/>
                      <w:sz w:val="20"/>
                      <w:szCs w:val="20"/>
                    </w:rPr>
                  </w:pPr>
                  <w:r w:rsidRPr="00CF2461">
                    <w:rPr>
                      <w:b/>
                      <w:bCs/>
                      <w:color w:val="000000"/>
                      <w:sz w:val="20"/>
                      <w:szCs w:val="20"/>
                    </w:rPr>
                    <w:t xml:space="preserve">Applicable Entity (Respondent) </w:t>
                  </w:r>
                </w:p>
              </w:tc>
              <w:tc>
                <w:tcPr>
                  <w:tcW w:w="135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31BE85C0" w14:textId="77777777" w:rsidR="00215A6E" w:rsidRPr="00CF2461" w:rsidRDefault="00215A6E" w:rsidP="000B018C">
                  <w:pPr>
                    <w:spacing w:line="252" w:lineRule="auto"/>
                    <w:jc w:val="center"/>
                    <w:rPr>
                      <w:b/>
                      <w:bCs/>
                      <w:color w:val="000000"/>
                      <w:sz w:val="20"/>
                      <w:szCs w:val="20"/>
                    </w:rPr>
                  </w:pPr>
                  <w:r w:rsidRPr="00CF2461">
                    <w:rPr>
                      <w:rFonts w:eastAsia="Calibri"/>
                      <w:b/>
                      <w:sz w:val="20"/>
                      <w:szCs w:val="20"/>
                    </w:rPr>
                    <w:t>Number of Respondents</w:t>
                  </w:r>
                  <w:r w:rsidRPr="00CF2461">
                    <w:rPr>
                      <w:b/>
                      <w:bCs/>
                      <w:color w:val="000000"/>
                      <w:sz w:val="20"/>
                      <w:szCs w:val="20"/>
                    </w:rPr>
                    <w:t xml:space="preserve"> </w:t>
                  </w:r>
                </w:p>
                <w:p w14:paraId="751DF455" w14:textId="77777777" w:rsidR="00215A6E" w:rsidRPr="00CF2461" w:rsidRDefault="00215A6E" w:rsidP="000B018C">
                  <w:pPr>
                    <w:spacing w:line="252" w:lineRule="auto"/>
                    <w:jc w:val="center"/>
                    <w:rPr>
                      <w:b/>
                      <w:bCs/>
                      <w:sz w:val="20"/>
                      <w:szCs w:val="20"/>
                    </w:rPr>
                  </w:pPr>
                  <w:r w:rsidRPr="00CF2461">
                    <w:rPr>
                      <w:b/>
                      <w:bCs/>
                      <w:color w:val="000000"/>
                      <w:sz w:val="20"/>
                      <w:szCs w:val="20"/>
                    </w:rPr>
                    <w:t>(1)</w:t>
                  </w:r>
                </w:p>
              </w:tc>
              <w:tc>
                <w:tcPr>
                  <w:tcW w:w="126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19335C10" w14:textId="77777777" w:rsidR="00215A6E" w:rsidRPr="00CF2461" w:rsidRDefault="00215A6E" w:rsidP="000B018C">
                  <w:pPr>
                    <w:jc w:val="center"/>
                    <w:rPr>
                      <w:rFonts w:eastAsia="Calibri"/>
                      <w:b/>
                      <w:sz w:val="20"/>
                      <w:szCs w:val="20"/>
                    </w:rPr>
                  </w:pPr>
                  <w:r w:rsidRPr="00CF2461">
                    <w:rPr>
                      <w:rFonts w:eastAsia="Calibri"/>
                      <w:b/>
                      <w:sz w:val="20"/>
                      <w:szCs w:val="20"/>
                    </w:rPr>
                    <w:t>Annual Number of Responses per Respondent</w:t>
                  </w:r>
                </w:p>
                <w:p w14:paraId="625F9CF7" w14:textId="77777777" w:rsidR="00215A6E" w:rsidRPr="00CF2461" w:rsidRDefault="00215A6E" w:rsidP="000B018C">
                  <w:pPr>
                    <w:spacing w:line="252" w:lineRule="auto"/>
                    <w:jc w:val="center"/>
                    <w:rPr>
                      <w:b/>
                      <w:bCs/>
                      <w:sz w:val="20"/>
                      <w:szCs w:val="20"/>
                    </w:rPr>
                  </w:pPr>
                  <w:r w:rsidRPr="00CF2461">
                    <w:rPr>
                      <w:b/>
                      <w:bCs/>
                      <w:color w:val="000000"/>
                      <w:sz w:val="20"/>
                      <w:szCs w:val="20"/>
                    </w:rPr>
                    <w:t>(2)</w:t>
                  </w:r>
                </w:p>
              </w:tc>
              <w:tc>
                <w:tcPr>
                  <w:tcW w:w="1579"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bottom"/>
                  <w:hideMark/>
                </w:tcPr>
                <w:p w14:paraId="091590B1" w14:textId="77777777" w:rsidR="00215A6E" w:rsidRPr="00CF2461" w:rsidRDefault="00215A6E" w:rsidP="000B018C">
                  <w:pPr>
                    <w:spacing w:line="252" w:lineRule="auto"/>
                    <w:jc w:val="center"/>
                    <w:rPr>
                      <w:b/>
                      <w:bCs/>
                      <w:sz w:val="20"/>
                      <w:szCs w:val="20"/>
                    </w:rPr>
                  </w:pPr>
                  <w:r w:rsidRPr="00CF2461">
                    <w:rPr>
                      <w:b/>
                      <w:bCs/>
                      <w:color w:val="000000"/>
                      <w:sz w:val="20"/>
                      <w:szCs w:val="20"/>
                    </w:rPr>
                    <w:t>Annual Number of Responses</w:t>
                  </w:r>
                </w:p>
                <w:p w14:paraId="1B5C8B6D" w14:textId="77777777" w:rsidR="00215A6E" w:rsidRPr="00CF2461" w:rsidRDefault="00215A6E" w:rsidP="000B018C">
                  <w:pPr>
                    <w:spacing w:line="252" w:lineRule="auto"/>
                    <w:jc w:val="center"/>
                    <w:rPr>
                      <w:b/>
                      <w:bCs/>
                      <w:sz w:val="20"/>
                      <w:szCs w:val="20"/>
                    </w:rPr>
                  </w:pPr>
                  <w:r w:rsidRPr="00CF2461">
                    <w:rPr>
                      <w:b/>
                      <w:bCs/>
                      <w:color w:val="000000"/>
                      <w:sz w:val="20"/>
                      <w:szCs w:val="20"/>
                    </w:rPr>
                    <w:t>(1)*(2)=(3)</w:t>
                  </w:r>
                </w:p>
              </w:tc>
              <w:tc>
                <w:tcPr>
                  <w:tcW w:w="1479"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bottom"/>
                  <w:hideMark/>
                </w:tcPr>
                <w:p w14:paraId="485DA61F" w14:textId="77777777" w:rsidR="00215A6E" w:rsidRPr="00CF2461" w:rsidRDefault="00215A6E" w:rsidP="000B018C">
                  <w:pPr>
                    <w:spacing w:line="252" w:lineRule="auto"/>
                    <w:jc w:val="center"/>
                    <w:rPr>
                      <w:b/>
                      <w:bCs/>
                      <w:sz w:val="20"/>
                      <w:szCs w:val="20"/>
                    </w:rPr>
                  </w:pPr>
                  <w:r w:rsidRPr="00CF2461">
                    <w:rPr>
                      <w:b/>
                      <w:bCs/>
                      <w:color w:val="000000"/>
                      <w:sz w:val="20"/>
                      <w:szCs w:val="20"/>
                    </w:rPr>
                    <w:t xml:space="preserve">Average Burden Hrs. and Cost Per Response </w:t>
                  </w:r>
                </w:p>
                <w:p w14:paraId="4BBABEB7" w14:textId="77777777" w:rsidR="00215A6E" w:rsidRPr="00CF2461" w:rsidRDefault="00215A6E" w:rsidP="000B018C">
                  <w:pPr>
                    <w:spacing w:line="252" w:lineRule="auto"/>
                    <w:jc w:val="center"/>
                    <w:rPr>
                      <w:b/>
                      <w:bCs/>
                      <w:sz w:val="20"/>
                      <w:szCs w:val="20"/>
                    </w:rPr>
                  </w:pPr>
                  <w:r w:rsidRPr="00CF2461">
                    <w:rPr>
                      <w:b/>
                      <w:bCs/>
                      <w:color w:val="000000"/>
                      <w:sz w:val="20"/>
                      <w:szCs w:val="20"/>
                    </w:rPr>
                    <w:t>(4)</w:t>
                  </w:r>
                  <w:r w:rsidRPr="00CF2461">
                    <w:rPr>
                      <w:rStyle w:val="FootnoteReference"/>
                      <w:bCs/>
                      <w:color w:val="000000"/>
                      <w:sz w:val="20"/>
                      <w:szCs w:val="20"/>
                    </w:rPr>
                    <w:footnoteReference w:id="40"/>
                  </w:r>
                  <w:r w:rsidRPr="00CF2461">
                    <w:rPr>
                      <w:rStyle w:val="CommentReference"/>
                      <w:sz w:val="20"/>
                      <w:szCs w:val="20"/>
                    </w:rPr>
                    <w:t xml:space="preserve"> </w:t>
                  </w:r>
                </w:p>
              </w:tc>
              <w:tc>
                <w:tcPr>
                  <w:tcW w:w="3299"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bottom"/>
                  <w:hideMark/>
                </w:tcPr>
                <w:p w14:paraId="563348F2" w14:textId="77777777" w:rsidR="00215A6E" w:rsidRPr="00CF2461" w:rsidRDefault="00215A6E" w:rsidP="000B018C">
                  <w:pPr>
                    <w:spacing w:line="252" w:lineRule="auto"/>
                    <w:jc w:val="center"/>
                    <w:rPr>
                      <w:b/>
                      <w:bCs/>
                      <w:sz w:val="20"/>
                      <w:szCs w:val="20"/>
                    </w:rPr>
                  </w:pPr>
                  <w:r w:rsidRPr="00CF2461">
                    <w:rPr>
                      <w:b/>
                      <w:bCs/>
                      <w:color w:val="000000"/>
                      <w:sz w:val="20"/>
                      <w:szCs w:val="20"/>
                    </w:rPr>
                    <w:t>Total Annual Burden Hours and Cost Reduction (rounded)</w:t>
                  </w:r>
                </w:p>
                <w:p w14:paraId="08825D49" w14:textId="77777777" w:rsidR="00215A6E" w:rsidRPr="00CF2461" w:rsidRDefault="00215A6E" w:rsidP="000B018C">
                  <w:pPr>
                    <w:spacing w:line="252" w:lineRule="auto"/>
                    <w:jc w:val="center"/>
                    <w:rPr>
                      <w:b/>
                      <w:bCs/>
                      <w:sz w:val="20"/>
                      <w:szCs w:val="20"/>
                    </w:rPr>
                  </w:pPr>
                  <w:r w:rsidRPr="00CF2461">
                    <w:rPr>
                      <w:b/>
                      <w:bCs/>
                      <w:color w:val="000000"/>
                      <w:sz w:val="20"/>
                      <w:szCs w:val="20"/>
                    </w:rPr>
                    <w:t>(3)*(4)=(5)</w:t>
                  </w:r>
                </w:p>
              </w:tc>
            </w:tr>
          </w:tbl>
          <w:p w14:paraId="43F9B014" w14:textId="77777777" w:rsidR="00215A6E" w:rsidRPr="00CF2461" w:rsidRDefault="00215A6E" w:rsidP="000B018C">
            <w:pPr>
              <w:spacing w:line="252" w:lineRule="auto"/>
              <w:ind w:left="-351"/>
              <w:jc w:val="center"/>
              <w:rPr>
                <w:rFonts w:eastAsia="Calibri"/>
                <w:b/>
                <w:sz w:val="20"/>
                <w:szCs w:val="20"/>
              </w:rPr>
            </w:pPr>
          </w:p>
        </w:tc>
      </w:tr>
      <w:tr w:rsidR="00215A6E" w:rsidRPr="00CF2461" w14:paraId="3D6A9FEE" w14:textId="77777777" w:rsidTr="000B018C">
        <w:trPr>
          <w:cantSplit/>
        </w:trPr>
        <w:tc>
          <w:tcPr>
            <w:tcW w:w="939" w:type="pct"/>
            <w:tcBorders>
              <w:left w:val="single" w:sz="4" w:space="0" w:color="auto"/>
              <w:bottom w:val="single" w:sz="4" w:space="0" w:color="auto"/>
              <w:right w:val="single" w:sz="4" w:space="0" w:color="auto"/>
            </w:tcBorders>
          </w:tcPr>
          <w:p w14:paraId="4EA81221" w14:textId="77777777" w:rsidR="00215A6E" w:rsidRPr="00CF2461" w:rsidRDefault="00215A6E" w:rsidP="000B018C">
            <w:pPr>
              <w:rPr>
                <w:rFonts w:eastAsia="Calibri"/>
                <w:sz w:val="20"/>
                <w:szCs w:val="20"/>
              </w:rPr>
            </w:pPr>
            <w:r w:rsidRPr="00CF2461">
              <w:rPr>
                <w:rFonts w:eastAsia="Calibri"/>
                <w:b/>
                <w:bCs/>
                <w:sz w:val="20"/>
                <w:szCs w:val="20"/>
              </w:rPr>
              <w:t>RP - Retired</w:t>
            </w:r>
          </w:p>
        </w:tc>
        <w:tc>
          <w:tcPr>
            <w:tcW w:w="668" w:type="pct"/>
            <w:tcBorders>
              <w:top w:val="single" w:sz="4" w:space="0" w:color="auto"/>
              <w:left w:val="single" w:sz="4" w:space="0" w:color="auto"/>
              <w:bottom w:val="single" w:sz="4" w:space="0" w:color="auto"/>
              <w:right w:val="single" w:sz="4" w:space="0" w:color="auto"/>
            </w:tcBorders>
          </w:tcPr>
          <w:p w14:paraId="20CC554E" w14:textId="77777777" w:rsidR="00215A6E" w:rsidRPr="00CF2461" w:rsidRDefault="00215A6E" w:rsidP="000B018C">
            <w:pPr>
              <w:jc w:val="center"/>
              <w:rPr>
                <w:rFonts w:eastAsia="Calibri"/>
                <w:sz w:val="20"/>
                <w:szCs w:val="20"/>
              </w:rPr>
            </w:pPr>
            <w:r w:rsidRPr="00CF2461">
              <w:rPr>
                <w:rFonts w:eastAsia="Calibri"/>
                <w:sz w:val="20"/>
                <w:szCs w:val="20"/>
              </w:rPr>
              <w:t>159</w:t>
            </w:r>
          </w:p>
        </w:tc>
        <w:tc>
          <w:tcPr>
            <w:tcW w:w="625" w:type="pct"/>
            <w:tcBorders>
              <w:top w:val="single" w:sz="4" w:space="0" w:color="auto"/>
              <w:left w:val="single" w:sz="4" w:space="0" w:color="auto"/>
              <w:bottom w:val="single" w:sz="4" w:space="0" w:color="auto"/>
              <w:right w:val="single" w:sz="4" w:space="0" w:color="auto"/>
            </w:tcBorders>
          </w:tcPr>
          <w:p w14:paraId="59F15897" w14:textId="77777777" w:rsidR="00215A6E" w:rsidRPr="00CF2461" w:rsidRDefault="00215A6E" w:rsidP="000B018C">
            <w:pPr>
              <w:jc w:val="center"/>
              <w:rPr>
                <w:rFonts w:eastAsia="Calibri"/>
                <w:sz w:val="20"/>
                <w:szCs w:val="20"/>
              </w:rPr>
            </w:pPr>
            <w:r w:rsidRPr="00CF2461">
              <w:rPr>
                <w:rFonts w:eastAsia="Calibri"/>
                <w:sz w:val="20"/>
                <w:szCs w:val="20"/>
              </w:rPr>
              <w:t>1</w:t>
            </w:r>
          </w:p>
        </w:tc>
        <w:tc>
          <w:tcPr>
            <w:tcW w:w="804" w:type="pct"/>
            <w:tcBorders>
              <w:top w:val="single" w:sz="4" w:space="0" w:color="auto"/>
              <w:left w:val="single" w:sz="4" w:space="0" w:color="auto"/>
              <w:bottom w:val="single" w:sz="4" w:space="0" w:color="auto"/>
              <w:right w:val="single" w:sz="4" w:space="0" w:color="auto"/>
            </w:tcBorders>
          </w:tcPr>
          <w:p w14:paraId="1AE08F18" w14:textId="77777777" w:rsidR="00215A6E" w:rsidRPr="00CF2461" w:rsidRDefault="00215A6E" w:rsidP="000B018C">
            <w:pPr>
              <w:jc w:val="center"/>
              <w:rPr>
                <w:rFonts w:eastAsia="Calibri"/>
                <w:sz w:val="20"/>
                <w:szCs w:val="20"/>
              </w:rPr>
            </w:pPr>
            <w:r w:rsidRPr="00CF2461">
              <w:rPr>
                <w:rFonts w:eastAsia="Calibri"/>
                <w:sz w:val="20"/>
                <w:szCs w:val="20"/>
              </w:rPr>
              <w:t>159</w:t>
            </w:r>
          </w:p>
        </w:tc>
        <w:tc>
          <w:tcPr>
            <w:tcW w:w="714" w:type="pct"/>
            <w:tcBorders>
              <w:top w:val="single" w:sz="4" w:space="0" w:color="auto"/>
              <w:left w:val="single" w:sz="4" w:space="0" w:color="auto"/>
              <w:bottom w:val="single" w:sz="4" w:space="0" w:color="auto"/>
              <w:right w:val="single" w:sz="4" w:space="0" w:color="auto"/>
            </w:tcBorders>
          </w:tcPr>
          <w:p w14:paraId="33DE5753" w14:textId="77777777" w:rsidR="00215A6E" w:rsidRPr="00CF2461" w:rsidRDefault="00215A6E" w:rsidP="000B018C">
            <w:pPr>
              <w:spacing w:line="276" w:lineRule="auto"/>
              <w:jc w:val="right"/>
              <w:rPr>
                <w:rFonts w:eastAsia="Calibri"/>
                <w:sz w:val="20"/>
                <w:szCs w:val="20"/>
              </w:rPr>
            </w:pPr>
            <w:r w:rsidRPr="00CF2461">
              <w:rPr>
                <w:rFonts w:eastAsia="Calibri"/>
                <w:sz w:val="20"/>
                <w:szCs w:val="20"/>
              </w:rPr>
              <w:t>60 hrs.;</w:t>
            </w:r>
          </w:p>
          <w:p w14:paraId="73C8C931" w14:textId="77777777" w:rsidR="00215A6E" w:rsidRPr="00CF2461" w:rsidRDefault="00215A6E" w:rsidP="000B018C">
            <w:pPr>
              <w:jc w:val="right"/>
              <w:rPr>
                <w:rFonts w:eastAsia="Calibri"/>
                <w:sz w:val="20"/>
                <w:szCs w:val="20"/>
              </w:rPr>
            </w:pPr>
            <w:r w:rsidRPr="00CF2461">
              <w:rPr>
                <w:rFonts w:eastAsia="Calibri"/>
                <w:sz w:val="20"/>
                <w:szCs w:val="20"/>
              </w:rPr>
              <w:t xml:space="preserve"> $4,072.20</w:t>
            </w:r>
          </w:p>
        </w:tc>
        <w:tc>
          <w:tcPr>
            <w:tcW w:w="1006" w:type="pct"/>
            <w:tcBorders>
              <w:top w:val="single" w:sz="4" w:space="0" w:color="auto"/>
              <w:left w:val="single" w:sz="4" w:space="0" w:color="auto"/>
              <w:bottom w:val="single" w:sz="4" w:space="0" w:color="auto"/>
              <w:right w:val="single" w:sz="4" w:space="0" w:color="auto"/>
            </w:tcBorders>
          </w:tcPr>
          <w:p w14:paraId="78DB45EC" w14:textId="77777777" w:rsidR="00215A6E" w:rsidRPr="00CF2461" w:rsidRDefault="00215A6E" w:rsidP="000B018C">
            <w:pPr>
              <w:jc w:val="right"/>
              <w:rPr>
                <w:rFonts w:eastAsia="Calibri"/>
                <w:sz w:val="20"/>
                <w:szCs w:val="20"/>
              </w:rPr>
            </w:pPr>
            <w:r w:rsidRPr="00CF2461">
              <w:rPr>
                <w:rFonts w:eastAsia="Calibri"/>
                <w:sz w:val="20"/>
                <w:szCs w:val="20"/>
              </w:rPr>
              <w:t>9,540 hrs.;</w:t>
            </w:r>
          </w:p>
          <w:p w14:paraId="0F1668F2" w14:textId="77777777" w:rsidR="00215A6E" w:rsidRPr="00CF2461" w:rsidRDefault="00215A6E" w:rsidP="000B018C">
            <w:pPr>
              <w:jc w:val="right"/>
              <w:rPr>
                <w:rFonts w:eastAsia="Calibri"/>
                <w:sz w:val="20"/>
                <w:szCs w:val="20"/>
              </w:rPr>
            </w:pPr>
            <w:r w:rsidRPr="00CF2461">
              <w:rPr>
                <w:rFonts w:eastAsia="Calibri"/>
                <w:sz w:val="20"/>
                <w:szCs w:val="20"/>
              </w:rPr>
              <w:t>$647,479.80</w:t>
            </w:r>
          </w:p>
        </w:tc>
        <w:tc>
          <w:tcPr>
            <w:tcW w:w="244" w:type="pct"/>
            <w:tcBorders>
              <w:top w:val="single" w:sz="4" w:space="0" w:color="auto"/>
              <w:left w:val="single" w:sz="4" w:space="0" w:color="auto"/>
              <w:bottom w:val="single" w:sz="4" w:space="0" w:color="auto"/>
              <w:right w:val="single" w:sz="4" w:space="0" w:color="auto"/>
            </w:tcBorders>
          </w:tcPr>
          <w:p w14:paraId="69C4C947" w14:textId="77777777" w:rsidR="00215A6E" w:rsidRPr="00CF2461" w:rsidRDefault="00215A6E" w:rsidP="000B018C">
            <w:pPr>
              <w:jc w:val="right"/>
              <w:rPr>
                <w:rFonts w:eastAsia="Calibri"/>
                <w:sz w:val="20"/>
                <w:szCs w:val="20"/>
              </w:rPr>
            </w:pPr>
          </w:p>
        </w:tc>
      </w:tr>
      <w:tr w:rsidR="00215A6E" w:rsidRPr="00CF2461" w14:paraId="64EF96AE" w14:textId="77777777" w:rsidTr="000B018C">
        <w:trPr>
          <w:cantSplit/>
        </w:trPr>
        <w:tc>
          <w:tcPr>
            <w:tcW w:w="939" w:type="pct"/>
            <w:tcBorders>
              <w:left w:val="single" w:sz="4" w:space="0" w:color="auto"/>
              <w:bottom w:val="single" w:sz="4" w:space="0" w:color="auto"/>
              <w:right w:val="single" w:sz="4" w:space="0" w:color="auto"/>
            </w:tcBorders>
          </w:tcPr>
          <w:p w14:paraId="3E863FF5" w14:textId="77777777" w:rsidR="00215A6E" w:rsidRPr="00CF2461" w:rsidRDefault="00215A6E" w:rsidP="000B018C">
            <w:pPr>
              <w:rPr>
                <w:rFonts w:eastAsia="Calibri"/>
                <w:b/>
                <w:bCs/>
                <w:sz w:val="20"/>
                <w:szCs w:val="20"/>
              </w:rPr>
            </w:pPr>
            <w:r w:rsidRPr="00CF2461">
              <w:rPr>
                <w:rFonts w:eastAsia="Calibri"/>
                <w:b/>
                <w:bCs/>
                <w:sz w:val="20"/>
                <w:szCs w:val="20"/>
              </w:rPr>
              <w:t>TSP - Retired</w:t>
            </w:r>
          </w:p>
        </w:tc>
        <w:tc>
          <w:tcPr>
            <w:tcW w:w="668" w:type="pct"/>
            <w:tcBorders>
              <w:top w:val="single" w:sz="4" w:space="0" w:color="auto"/>
              <w:left w:val="single" w:sz="4" w:space="0" w:color="auto"/>
              <w:bottom w:val="single" w:sz="4" w:space="0" w:color="auto"/>
              <w:right w:val="single" w:sz="4" w:space="0" w:color="auto"/>
            </w:tcBorders>
          </w:tcPr>
          <w:p w14:paraId="3F507352" w14:textId="77777777" w:rsidR="00215A6E" w:rsidRPr="00CF2461" w:rsidRDefault="00215A6E" w:rsidP="000B018C">
            <w:pPr>
              <w:jc w:val="center"/>
              <w:rPr>
                <w:rFonts w:eastAsia="Calibri"/>
                <w:sz w:val="20"/>
                <w:szCs w:val="20"/>
              </w:rPr>
            </w:pPr>
            <w:r w:rsidRPr="00CF2461">
              <w:rPr>
                <w:rFonts w:eastAsia="Calibri"/>
                <w:sz w:val="20"/>
                <w:szCs w:val="20"/>
              </w:rPr>
              <w:t>71</w:t>
            </w:r>
          </w:p>
        </w:tc>
        <w:tc>
          <w:tcPr>
            <w:tcW w:w="625" w:type="pct"/>
            <w:tcBorders>
              <w:top w:val="single" w:sz="4" w:space="0" w:color="auto"/>
              <w:left w:val="single" w:sz="4" w:space="0" w:color="auto"/>
              <w:bottom w:val="single" w:sz="4" w:space="0" w:color="auto"/>
              <w:right w:val="single" w:sz="4" w:space="0" w:color="auto"/>
            </w:tcBorders>
          </w:tcPr>
          <w:p w14:paraId="0C64D80D" w14:textId="77777777" w:rsidR="00215A6E" w:rsidRPr="00CF2461" w:rsidRDefault="00215A6E" w:rsidP="000B018C">
            <w:pPr>
              <w:jc w:val="center"/>
              <w:rPr>
                <w:rFonts w:eastAsia="Calibri"/>
                <w:sz w:val="20"/>
                <w:szCs w:val="20"/>
              </w:rPr>
            </w:pPr>
            <w:r w:rsidRPr="00CF2461">
              <w:rPr>
                <w:rFonts w:eastAsia="Calibri"/>
                <w:sz w:val="20"/>
                <w:szCs w:val="20"/>
              </w:rPr>
              <w:t>1</w:t>
            </w:r>
          </w:p>
        </w:tc>
        <w:tc>
          <w:tcPr>
            <w:tcW w:w="804" w:type="pct"/>
            <w:tcBorders>
              <w:top w:val="single" w:sz="4" w:space="0" w:color="auto"/>
              <w:left w:val="single" w:sz="4" w:space="0" w:color="auto"/>
              <w:bottom w:val="single" w:sz="4" w:space="0" w:color="auto"/>
              <w:right w:val="single" w:sz="4" w:space="0" w:color="auto"/>
            </w:tcBorders>
          </w:tcPr>
          <w:p w14:paraId="13C1143C" w14:textId="77777777" w:rsidR="00215A6E" w:rsidRPr="00CF2461" w:rsidRDefault="00215A6E" w:rsidP="000B018C">
            <w:pPr>
              <w:jc w:val="center"/>
              <w:rPr>
                <w:rFonts w:eastAsia="Calibri"/>
                <w:sz w:val="20"/>
                <w:szCs w:val="20"/>
              </w:rPr>
            </w:pPr>
            <w:r w:rsidRPr="00CF2461">
              <w:rPr>
                <w:rFonts w:eastAsia="Calibri"/>
                <w:sz w:val="20"/>
                <w:szCs w:val="20"/>
              </w:rPr>
              <w:t>71</w:t>
            </w:r>
          </w:p>
        </w:tc>
        <w:tc>
          <w:tcPr>
            <w:tcW w:w="714" w:type="pct"/>
            <w:tcBorders>
              <w:top w:val="single" w:sz="4" w:space="0" w:color="auto"/>
              <w:left w:val="single" w:sz="4" w:space="0" w:color="auto"/>
              <w:bottom w:val="single" w:sz="4" w:space="0" w:color="auto"/>
              <w:right w:val="single" w:sz="4" w:space="0" w:color="auto"/>
            </w:tcBorders>
          </w:tcPr>
          <w:p w14:paraId="71320D66" w14:textId="77777777" w:rsidR="00215A6E" w:rsidRPr="00CF2461" w:rsidRDefault="00215A6E" w:rsidP="000B018C">
            <w:pPr>
              <w:spacing w:line="276" w:lineRule="auto"/>
              <w:jc w:val="right"/>
              <w:rPr>
                <w:rFonts w:eastAsia="Calibri"/>
                <w:sz w:val="20"/>
                <w:szCs w:val="20"/>
              </w:rPr>
            </w:pPr>
            <w:r w:rsidRPr="00CF2461">
              <w:rPr>
                <w:rFonts w:eastAsia="Calibri"/>
                <w:sz w:val="20"/>
                <w:szCs w:val="20"/>
              </w:rPr>
              <w:t>60 hrs.;</w:t>
            </w:r>
          </w:p>
          <w:p w14:paraId="2838E676" w14:textId="77777777" w:rsidR="00215A6E" w:rsidRPr="00CF2461" w:rsidRDefault="00215A6E" w:rsidP="000B018C">
            <w:pPr>
              <w:spacing w:line="276" w:lineRule="auto"/>
              <w:jc w:val="right"/>
              <w:rPr>
                <w:rFonts w:eastAsia="Calibri"/>
                <w:sz w:val="20"/>
                <w:szCs w:val="20"/>
              </w:rPr>
            </w:pPr>
            <w:r w:rsidRPr="00CF2461">
              <w:rPr>
                <w:rFonts w:eastAsia="Calibri"/>
                <w:sz w:val="20"/>
                <w:szCs w:val="20"/>
              </w:rPr>
              <w:t xml:space="preserve"> $4,072.20</w:t>
            </w:r>
          </w:p>
        </w:tc>
        <w:tc>
          <w:tcPr>
            <w:tcW w:w="1006" w:type="pct"/>
            <w:tcBorders>
              <w:top w:val="single" w:sz="4" w:space="0" w:color="auto"/>
              <w:left w:val="single" w:sz="4" w:space="0" w:color="auto"/>
              <w:bottom w:val="single" w:sz="4" w:space="0" w:color="auto"/>
              <w:right w:val="single" w:sz="4" w:space="0" w:color="auto"/>
            </w:tcBorders>
          </w:tcPr>
          <w:p w14:paraId="29EDFFA1" w14:textId="77777777" w:rsidR="00215A6E" w:rsidRPr="00CF2461" w:rsidRDefault="00215A6E" w:rsidP="000B018C">
            <w:pPr>
              <w:jc w:val="right"/>
              <w:rPr>
                <w:rFonts w:eastAsia="Calibri"/>
                <w:sz w:val="20"/>
                <w:szCs w:val="20"/>
              </w:rPr>
            </w:pPr>
            <w:r w:rsidRPr="00CF2461">
              <w:rPr>
                <w:rFonts w:eastAsia="Calibri"/>
                <w:sz w:val="20"/>
                <w:szCs w:val="20"/>
              </w:rPr>
              <w:t>4,260 hrs.;</w:t>
            </w:r>
          </w:p>
          <w:p w14:paraId="2A749742" w14:textId="77777777" w:rsidR="00215A6E" w:rsidRPr="00CF2461" w:rsidRDefault="00215A6E" w:rsidP="000B018C">
            <w:pPr>
              <w:jc w:val="right"/>
              <w:rPr>
                <w:rFonts w:eastAsia="Calibri"/>
                <w:sz w:val="20"/>
                <w:szCs w:val="20"/>
              </w:rPr>
            </w:pPr>
            <w:r w:rsidRPr="00CF2461">
              <w:rPr>
                <w:rFonts w:eastAsia="Calibri"/>
                <w:sz w:val="20"/>
                <w:szCs w:val="20"/>
              </w:rPr>
              <w:t>$289,126.20</w:t>
            </w:r>
          </w:p>
        </w:tc>
        <w:tc>
          <w:tcPr>
            <w:tcW w:w="244" w:type="pct"/>
            <w:tcBorders>
              <w:top w:val="single" w:sz="4" w:space="0" w:color="auto"/>
              <w:left w:val="single" w:sz="4" w:space="0" w:color="auto"/>
              <w:bottom w:val="single" w:sz="4" w:space="0" w:color="auto"/>
              <w:right w:val="single" w:sz="4" w:space="0" w:color="auto"/>
            </w:tcBorders>
          </w:tcPr>
          <w:p w14:paraId="55DB9BA9" w14:textId="77777777" w:rsidR="00215A6E" w:rsidRPr="00CF2461" w:rsidRDefault="00215A6E" w:rsidP="000B018C">
            <w:pPr>
              <w:jc w:val="right"/>
              <w:rPr>
                <w:rFonts w:eastAsia="Calibri"/>
                <w:sz w:val="20"/>
                <w:szCs w:val="20"/>
              </w:rPr>
            </w:pPr>
          </w:p>
        </w:tc>
      </w:tr>
      <w:tr w:rsidR="00215A6E" w:rsidRPr="00CF2461" w14:paraId="4B37EE9D" w14:textId="77777777" w:rsidTr="000B018C">
        <w:trPr>
          <w:cantSplit/>
        </w:trPr>
        <w:tc>
          <w:tcPr>
            <w:tcW w:w="939" w:type="pct"/>
            <w:tcBorders>
              <w:left w:val="single" w:sz="4" w:space="0" w:color="auto"/>
              <w:bottom w:val="single" w:sz="4" w:space="0" w:color="auto"/>
              <w:right w:val="single" w:sz="4" w:space="0" w:color="auto"/>
            </w:tcBorders>
          </w:tcPr>
          <w:p w14:paraId="56748DD1" w14:textId="77777777" w:rsidR="00215A6E" w:rsidRPr="00CF2461" w:rsidRDefault="00215A6E" w:rsidP="000B018C">
            <w:pPr>
              <w:rPr>
                <w:rFonts w:eastAsia="Calibri"/>
                <w:b/>
                <w:bCs/>
                <w:sz w:val="20"/>
                <w:szCs w:val="20"/>
              </w:rPr>
            </w:pPr>
            <w:r w:rsidRPr="00CF2461">
              <w:rPr>
                <w:rFonts w:eastAsia="Calibri"/>
                <w:b/>
                <w:bCs/>
                <w:sz w:val="20"/>
                <w:szCs w:val="20"/>
              </w:rPr>
              <w:t>BA - Retired</w:t>
            </w:r>
          </w:p>
        </w:tc>
        <w:tc>
          <w:tcPr>
            <w:tcW w:w="668" w:type="pct"/>
            <w:tcBorders>
              <w:top w:val="single" w:sz="4" w:space="0" w:color="auto"/>
              <w:left w:val="single" w:sz="4" w:space="0" w:color="auto"/>
              <w:bottom w:val="single" w:sz="4" w:space="0" w:color="auto"/>
              <w:right w:val="single" w:sz="4" w:space="0" w:color="auto"/>
            </w:tcBorders>
          </w:tcPr>
          <w:p w14:paraId="50716763" w14:textId="77777777" w:rsidR="00215A6E" w:rsidRPr="00CF2461" w:rsidRDefault="00215A6E" w:rsidP="000B018C">
            <w:pPr>
              <w:jc w:val="center"/>
              <w:rPr>
                <w:rFonts w:eastAsia="Calibri"/>
                <w:sz w:val="20"/>
                <w:szCs w:val="20"/>
              </w:rPr>
            </w:pPr>
            <w:r w:rsidRPr="00CF2461">
              <w:rPr>
                <w:rFonts w:eastAsia="Calibri"/>
                <w:sz w:val="20"/>
                <w:szCs w:val="20"/>
              </w:rPr>
              <w:t>98</w:t>
            </w:r>
          </w:p>
        </w:tc>
        <w:tc>
          <w:tcPr>
            <w:tcW w:w="625" w:type="pct"/>
            <w:tcBorders>
              <w:top w:val="single" w:sz="4" w:space="0" w:color="auto"/>
              <w:left w:val="single" w:sz="4" w:space="0" w:color="auto"/>
              <w:bottom w:val="single" w:sz="4" w:space="0" w:color="auto"/>
              <w:right w:val="single" w:sz="4" w:space="0" w:color="auto"/>
            </w:tcBorders>
          </w:tcPr>
          <w:p w14:paraId="2998205A" w14:textId="77777777" w:rsidR="00215A6E" w:rsidRPr="00CF2461" w:rsidRDefault="00215A6E" w:rsidP="000B018C">
            <w:pPr>
              <w:jc w:val="center"/>
              <w:rPr>
                <w:rFonts w:eastAsia="Calibri"/>
                <w:sz w:val="20"/>
                <w:szCs w:val="20"/>
              </w:rPr>
            </w:pPr>
            <w:r w:rsidRPr="00CF2461">
              <w:rPr>
                <w:rFonts w:eastAsia="Calibri"/>
                <w:sz w:val="20"/>
                <w:szCs w:val="20"/>
              </w:rPr>
              <w:t>1</w:t>
            </w:r>
          </w:p>
        </w:tc>
        <w:tc>
          <w:tcPr>
            <w:tcW w:w="804" w:type="pct"/>
            <w:tcBorders>
              <w:top w:val="single" w:sz="4" w:space="0" w:color="auto"/>
              <w:left w:val="single" w:sz="4" w:space="0" w:color="auto"/>
              <w:bottom w:val="single" w:sz="4" w:space="0" w:color="auto"/>
              <w:right w:val="single" w:sz="4" w:space="0" w:color="auto"/>
            </w:tcBorders>
          </w:tcPr>
          <w:p w14:paraId="4C1DD8F0" w14:textId="77777777" w:rsidR="00215A6E" w:rsidRPr="00CF2461" w:rsidRDefault="00215A6E" w:rsidP="000B018C">
            <w:pPr>
              <w:jc w:val="center"/>
              <w:rPr>
                <w:rFonts w:eastAsia="Calibri"/>
                <w:sz w:val="20"/>
                <w:szCs w:val="20"/>
              </w:rPr>
            </w:pPr>
            <w:r w:rsidRPr="00CF2461">
              <w:rPr>
                <w:rFonts w:eastAsia="Calibri"/>
                <w:sz w:val="20"/>
                <w:szCs w:val="20"/>
              </w:rPr>
              <w:t>98</w:t>
            </w:r>
          </w:p>
        </w:tc>
        <w:tc>
          <w:tcPr>
            <w:tcW w:w="714" w:type="pct"/>
            <w:tcBorders>
              <w:top w:val="single" w:sz="4" w:space="0" w:color="auto"/>
              <w:left w:val="single" w:sz="4" w:space="0" w:color="auto"/>
              <w:bottom w:val="single" w:sz="4" w:space="0" w:color="auto"/>
              <w:right w:val="single" w:sz="4" w:space="0" w:color="auto"/>
            </w:tcBorders>
          </w:tcPr>
          <w:p w14:paraId="30184A87" w14:textId="77777777" w:rsidR="00215A6E" w:rsidRPr="00CF2461" w:rsidRDefault="00215A6E" w:rsidP="000B018C">
            <w:pPr>
              <w:spacing w:line="276" w:lineRule="auto"/>
              <w:jc w:val="right"/>
              <w:rPr>
                <w:rFonts w:eastAsia="Calibri"/>
                <w:sz w:val="20"/>
                <w:szCs w:val="20"/>
              </w:rPr>
            </w:pPr>
            <w:r w:rsidRPr="00CF2461">
              <w:rPr>
                <w:rFonts w:eastAsia="Calibri"/>
                <w:sz w:val="20"/>
                <w:szCs w:val="20"/>
              </w:rPr>
              <w:t>60 hrs.;</w:t>
            </w:r>
          </w:p>
          <w:p w14:paraId="2EEFE0A1" w14:textId="77777777" w:rsidR="00215A6E" w:rsidRPr="00CF2461" w:rsidRDefault="00215A6E" w:rsidP="000B018C">
            <w:pPr>
              <w:spacing w:line="276" w:lineRule="auto"/>
              <w:jc w:val="right"/>
              <w:rPr>
                <w:rFonts w:eastAsia="Calibri"/>
                <w:sz w:val="20"/>
                <w:szCs w:val="20"/>
              </w:rPr>
            </w:pPr>
            <w:r w:rsidRPr="00CF2461">
              <w:rPr>
                <w:rFonts w:eastAsia="Calibri"/>
                <w:sz w:val="20"/>
                <w:szCs w:val="20"/>
              </w:rPr>
              <w:t xml:space="preserve"> $4,072.20</w:t>
            </w:r>
          </w:p>
        </w:tc>
        <w:tc>
          <w:tcPr>
            <w:tcW w:w="1006" w:type="pct"/>
            <w:tcBorders>
              <w:top w:val="single" w:sz="4" w:space="0" w:color="auto"/>
              <w:left w:val="single" w:sz="4" w:space="0" w:color="auto"/>
              <w:bottom w:val="single" w:sz="4" w:space="0" w:color="auto"/>
              <w:right w:val="single" w:sz="4" w:space="0" w:color="auto"/>
            </w:tcBorders>
          </w:tcPr>
          <w:p w14:paraId="4389542F" w14:textId="77777777" w:rsidR="00215A6E" w:rsidRPr="00CF2461" w:rsidRDefault="00215A6E" w:rsidP="000B018C">
            <w:pPr>
              <w:jc w:val="right"/>
              <w:rPr>
                <w:rFonts w:eastAsia="Calibri"/>
                <w:sz w:val="20"/>
                <w:szCs w:val="20"/>
              </w:rPr>
            </w:pPr>
            <w:r w:rsidRPr="00CF2461">
              <w:rPr>
                <w:rFonts w:eastAsia="Calibri"/>
                <w:sz w:val="20"/>
                <w:szCs w:val="20"/>
              </w:rPr>
              <w:t>5,880 hrs.;</w:t>
            </w:r>
          </w:p>
          <w:p w14:paraId="066F64CC" w14:textId="77777777" w:rsidR="00215A6E" w:rsidRPr="00CF2461" w:rsidRDefault="00215A6E" w:rsidP="000B018C">
            <w:pPr>
              <w:jc w:val="right"/>
              <w:rPr>
                <w:rFonts w:eastAsia="Calibri"/>
                <w:sz w:val="20"/>
                <w:szCs w:val="20"/>
              </w:rPr>
            </w:pPr>
            <w:r w:rsidRPr="00CF2461">
              <w:rPr>
                <w:rFonts w:eastAsia="Calibri"/>
                <w:sz w:val="20"/>
                <w:szCs w:val="20"/>
              </w:rPr>
              <w:t>$399,075.60</w:t>
            </w:r>
          </w:p>
        </w:tc>
        <w:tc>
          <w:tcPr>
            <w:tcW w:w="244" w:type="pct"/>
            <w:tcBorders>
              <w:top w:val="single" w:sz="4" w:space="0" w:color="auto"/>
              <w:left w:val="single" w:sz="4" w:space="0" w:color="auto"/>
              <w:bottom w:val="single" w:sz="4" w:space="0" w:color="auto"/>
              <w:right w:val="single" w:sz="4" w:space="0" w:color="auto"/>
            </w:tcBorders>
          </w:tcPr>
          <w:p w14:paraId="7A7A91CA" w14:textId="77777777" w:rsidR="00215A6E" w:rsidRPr="00CF2461" w:rsidRDefault="00215A6E" w:rsidP="000B018C">
            <w:pPr>
              <w:jc w:val="right"/>
              <w:rPr>
                <w:rFonts w:eastAsia="Calibri"/>
                <w:sz w:val="20"/>
                <w:szCs w:val="20"/>
              </w:rPr>
            </w:pPr>
          </w:p>
        </w:tc>
      </w:tr>
      <w:tr w:rsidR="00215A6E" w:rsidRPr="00CF2461" w14:paraId="3F005810" w14:textId="77777777" w:rsidTr="000B018C">
        <w:trPr>
          <w:cantSplit/>
        </w:trPr>
        <w:tc>
          <w:tcPr>
            <w:tcW w:w="939" w:type="pct"/>
            <w:tcBorders>
              <w:left w:val="single" w:sz="4" w:space="0" w:color="auto"/>
              <w:bottom w:val="single" w:sz="4" w:space="0" w:color="auto"/>
              <w:right w:val="single" w:sz="4" w:space="0" w:color="auto"/>
            </w:tcBorders>
          </w:tcPr>
          <w:p w14:paraId="3BC9DD2B" w14:textId="77777777" w:rsidR="00215A6E" w:rsidRPr="00CF2461" w:rsidRDefault="00215A6E" w:rsidP="000B018C">
            <w:pPr>
              <w:rPr>
                <w:rFonts w:eastAsia="Calibri"/>
                <w:b/>
                <w:bCs/>
                <w:sz w:val="20"/>
                <w:szCs w:val="20"/>
              </w:rPr>
            </w:pPr>
            <w:r w:rsidRPr="00CF2461">
              <w:rPr>
                <w:rFonts w:eastAsia="Calibri"/>
                <w:b/>
                <w:bCs/>
                <w:sz w:val="20"/>
                <w:szCs w:val="20"/>
              </w:rPr>
              <w:t>TP -Retired</w:t>
            </w:r>
          </w:p>
        </w:tc>
        <w:tc>
          <w:tcPr>
            <w:tcW w:w="668" w:type="pct"/>
            <w:tcBorders>
              <w:top w:val="single" w:sz="4" w:space="0" w:color="auto"/>
              <w:left w:val="single" w:sz="4" w:space="0" w:color="auto"/>
              <w:bottom w:val="single" w:sz="4" w:space="0" w:color="auto"/>
              <w:right w:val="single" w:sz="4" w:space="0" w:color="auto"/>
            </w:tcBorders>
            <w:vAlign w:val="center"/>
          </w:tcPr>
          <w:p w14:paraId="4A36962F" w14:textId="77777777" w:rsidR="00215A6E" w:rsidRPr="00CF2461" w:rsidRDefault="00215A6E" w:rsidP="000B018C">
            <w:pPr>
              <w:jc w:val="center"/>
              <w:rPr>
                <w:rFonts w:eastAsia="Calibri"/>
                <w:sz w:val="20"/>
                <w:szCs w:val="20"/>
              </w:rPr>
            </w:pPr>
            <w:r w:rsidRPr="00CF2461">
              <w:rPr>
                <w:rFonts w:eastAsia="Calibri"/>
                <w:sz w:val="20"/>
                <w:szCs w:val="20"/>
              </w:rPr>
              <w:t>203</w:t>
            </w:r>
          </w:p>
        </w:tc>
        <w:tc>
          <w:tcPr>
            <w:tcW w:w="625" w:type="pct"/>
            <w:tcBorders>
              <w:top w:val="single" w:sz="4" w:space="0" w:color="auto"/>
              <w:left w:val="single" w:sz="4" w:space="0" w:color="auto"/>
              <w:bottom w:val="single" w:sz="4" w:space="0" w:color="auto"/>
              <w:right w:val="single" w:sz="4" w:space="0" w:color="auto"/>
            </w:tcBorders>
          </w:tcPr>
          <w:p w14:paraId="2B2C6191" w14:textId="77777777" w:rsidR="00215A6E" w:rsidRPr="00CF2461" w:rsidRDefault="00215A6E" w:rsidP="000B018C">
            <w:pPr>
              <w:jc w:val="center"/>
              <w:rPr>
                <w:rFonts w:eastAsia="Calibri"/>
                <w:sz w:val="20"/>
                <w:szCs w:val="20"/>
              </w:rPr>
            </w:pPr>
            <w:r w:rsidRPr="00CF2461">
              <w:rPr>
                <w:rFonts w:eastAsia="Calibri"/>
                <w:sz w:val="20"/>
                <w:szCs w:val="20"/>
              </w:rPr>
              <w:t>1</w:t>
            </w:r>
          </w:p>
        </w:tc>
        <w:tc>
          <w:tcPr>
            <w:tcW w:w="804" w:type="pct"/>
            <w:tcBorders>
              <w:top w:val="single" w:sz="4" w:space="0" w:color="auto"/>
              <w:left w:val="single" w:sz="4" w:space="0" w:color="auto"/>
              <w:bottom w:val="single" w:sz="4" w:space="0" w:color="auto"/>
              <w:right w:val="single" w:sz="4" w:space="0" w:color="auto"/>
            </w:tcBorders>
          </w:tcPr>
          <w:p w14:paraId="60A7BF01" w14:textId="77777777" w:rsidR="00215A6E" w:rsidRPr="00CF2461" w:rsidRDefault="00215A6E" w:rsidP="000B018C">
            <w:pPr>
              <w:jc w:val="center"/>
              <w:rPr>
                <w:rFonts w:eastAsia="Calibri"/>
                <w:sz w:val="20"/>
                <w:szCs w:val="20"/>
              </w:rPr>
            </w:pPr>
            <w:r w:rsidRPr="00CF2461">
              <w:rPr>
                <w:rFonts w:eastAsia="Calibri"/>
                <w:sz w:val="20"/>
                <w:szCs w:val="20"/>
              </w:rPr>
              <w:t>203</w:t>
            </w:r>
          </w:p>
        </w:tc>
        <w:tc>
          <w:tcPr>
            <w:tcW w:w="714" w:type="pct"/>
            <w:tcBorders>
              <w:top w:val="single" w:sz="4" w:space="0" w:color="auto"/>
              <w:left w:val="single" w:sz="4" w:space="0" w:color="auto"/>
              <w:bottom w:val="single" w:sz="4" w:space="0" w:color="auto"/>
              <w:right w:val="single" w:sz="4" w:space="0" w:color="auto"/>
            </w:tcBorders>
          </w:tcPr>
          <w:p w14:paraId="1E578692" w14:textId="77777777" w:rsidR="00215A6E" w:rsidRPr="00CF2461" w:rsidRDefault="00215A6E" w:rsidP="000B018C">
            <w:pPr>
              <w:spacing w:line="276" w:lineRule="auto"/>
              <w:jc w:val="right"/>
              <w:rPr>
                <w:rFonts w:eastAsia="Calibri"/>
                <w:sz w:val="20"/>
                <w:szCs w:val="20"/>
              </w:rPr>
            </w:pPr>
            <w:r w:rsidRPr="00CF2461">
              <w:rPr>
                <w:rFonts w:eastAsia="Calibri"/>
                <w:sz w:val="20"/>
                <w:szCs w:val="20"/>
              </w:rPr>
              <w:t>60 hrs.;</w:t>
            </w:r>
          </w:p>
          <w:p w14:paraId="1ED25686" w14:textId="77777777" w:rsidR="00215A6E" w:rsidRPr="00CF2461" w:rsidRDefault="00215A6E" w:rsidP="000B018C">
            <w:pPr>
              <w:spacing w:line="276" w:lineRule="auto"/>
              <w:jc w:val="right"/>
              <w:rPr>
                <w:rFonts w:eastAsia="Calibri"/>
                <w:sz w:val="20"/>
                <w:szCs w:val="20"/>
              </w:rPr>
            </w:pPr>
            <w:r w:rsidRPr="00CF2461">
              <w:rPr>
                <w:rFonts w:eastAsia="Calibri"/>
                <w:sz w:val="20"/>
                <w:szCs w:val="20"/>
              </w:rPr>
              <w:t xml:space="preserve"> $4,072.20</w:t>
            </w:r>
          </w:p>
        </w:tc>
        <w:tc>
          <w:tcPr>
            <w:tcW w:w="1006" w:type="pct"/>
            <w:tcBorders>
              <w:top w:val="single" w:sz="4" w:space="0" w:color="auto"/>
              <w:left w:val="single" w:sz="4" w:space="0" w:color="auto"/>
              <w:bottom w:val="single" w:sz="4" w:space="0" w:color="auto"/>
              <w:right w:val="single" w:sz="4" w:space="0" w:color="auto"/>
            </w:tcBorders>
          </w:tcPr>
          <w:p w14:paraId="064E1119" w14:textId="77777777" w:rsidR="00215A6E" w:rsidRPr="00CF2461" w:rsidRDefault="00215A6E" w:rsidP="000B018C">
            <w:pPr>
              <w:jc w:val="right"/>
              <w:rPr>
                <w:rFonts w:eastAsia="Calibri"/>
                <w:sz w:val="20"/>
                <w:szCs w:val="20"/>
              </w:rPr>
            </w:pPr>
            <w:r w:rsidRPr="00CF2461">
              <w:rPr>
                <w:rFonts w:eastAsia="Calibri"/>
                <w:sz w:val="20"/>
                <w:szCs w:val="20"/>
              </w:rPr>
              <w:t>12,180 hrs.;</w:t>
            </w:r>
          </w:p>
          <w:p w14:paraId="7BF2AB51" w14:textId="77777777" w:rsidR="00215A6E" w:rsidRPr="00CF2461" w:rsidRDefault="00215A6E" w:rsidP="000B018C">
            <w:pPr>
              <w:jc w:val="right"/>
              <w:rPr>
                <w:rFonts w:eastAsia="Calibri"/>
                <w:sz w:val="20"/>
                <w:szCs w:val="20"/>
              </w:rPr>
            </w:pPr>
            <w:r w:rsidRPr="00CF2461">
              <w:rPr>
                <w:rFonts w:eastAsia="Calibri"/>
                <w:sz w:val="20"/>
                <w:szCs w:val="20"/>
              </w:rPr>
              <w:t>$826,656.60</w:t>
            </w:r>
          </w:p>
        </w:tc>
        <w:tc>
          <w:tcPr>
            <w:tcW w:w="244" w:type="pct"/>
            <w:tcBorders>
              <w:top w:val="single" w:sz="4" w:space="0" w:color="auto"/>
              <w:left w:val="single" w:sz="4" w:space="0" w:color="auto"/>
              <w:bottom w:val="single" w:sz="4" w:space="0" w:color="auto"/>
              <w:right w:val="single" w:sz="4" w:space="0" w:color="auto"/>
            </w:tcBorders>
          </w:tcPr>
          <w:p w14:paraId="27A34E52" w14:textId="77777777" w:rsidR="00215A6E" w:rsidRPr="00CF2461" w:rsidRDefault="00215A6E" w:rsidP="000B018C">
            <w:pPr>
              <w:jc w:val="right"/>
              <w:rPr>
                <w:rFonts w:eastAsia="Calibri"/>
                <w:sz w:val="20"/>
                <w:szCs w:val="20"/>
              </w:rPr>
            </w:pPr>
          </w:p>
        </w:tc>
      </w:tr>
      <w:tr w:rsidR="00215A6E" w:rsidRPr="00CF2461" w14:paraId="4E0953A4" w14:textId="77777777" w:rsidTr="000B018C">
        <w:trPr>
          <w:cantSplit/>
          <w:trHeight w:val="485"/>
        </w:trPr>
        <w:tc>
          <w:tcPr>
            <w:tcW w:w="939" w:type="pct"/>
            <w:tcBorders>
              <w:top w:val="single" w:sz="4" w:space="0" w:color="auto"/>
              <w:left w:val="single" w:sz="4" w:space="0" w:color="auto"/>
              <w:bottom w:val="single" w:sz="4" w:space="0" w:color="auto"/>
              <w:right w:val="single" w:sz="4" w:space="0" w:color="auto"/>
            </w:tcBorders>
            <w:hideMark/>
          </w:tcPr>
          <w:p w14:paraId="0B3F211A" w14:textId="77777777" w:rsidR="00215A6E" w:rsidRPr="00CF2461" w:rsidRDefault="00215A6E" w:rsidP="000B018C">
            <w:pPr>
              <w:rPr>
                <w:rFonts w:eastAsia="Calibri"/>
                <w:b/>
                <w:sz w:val="20"/>
                <w:szCs w:val="20"/>
              </w:rPr>
            </w:pPr>
            <w:r w:rsidRPr="00CF2461">
              <w:rPr>
                <w:rFonts w:eastAsia="Calibri"/>
                <w:b/>
                <w:sz w:val="20"/>
                <w:szCs w:val="20"/>
              </w:rPr>
              <w:t xml:space="preserve">FERC-725A for </w:t>
            </w:r>
            <w:r w:rsidRPr="00CF2461">
              <w:rPr>
                <w:rFonts w:eastAsia="Calibri"/>
                <w:b/>
                <w:bCs/>
                <w:sz w:val="20"/>
                <w:szCs w:val="20"/>
              </w:rPr>
              <w:t>MOD-004-1</w:t>
            </w:r>
            <w:r w:rsidRPr="00CF2461">
              <w:rPr>
                <w:rFonts w:eastAsia="Calibri"/>
                <w:sz w:val="20"/>
                <w:szCs w:val="20"/>
              </w:rPr>
              <w:t xml:space="preserve"> </w:t>
            </w:r>
            <w:r w:rsidRPr="00CF2461">
              <w:rPr>
                <w:rFonts w:eastAsia="Calibri"/>
                <w:b/>
                <w:sz w:val="20"/>
                <w:szCs w:val="20"/>
              </w:rPr>
              <w:t>Total Retired</w:t>
            </w:r>
          </w:p>
        </w:tc>
        <w:tc>
          <w:tcPr>
            <w:tcW w:w="2811" w:type="pct"/>
            <w:gridSpan w:val="4"/>
            <w:tcBorders>
              <w:top w:val="single" w:sz="4" w:space="0" w:color="auto"/>
              <w:left w:val="single" w:sz="4" w:space="0" w:color="auto"/>
              <w:bottom w:val="single" w:sz="4" w:space="0" w:color="auto"/>
              <w:right w:val="single" w:sz="4" w:space="0" w:color="auto"/>
            </w:tcBorders>
            <w:shd w:val="clear" w:color="auto" w:fill="D9D9D9"/>
          </w:tcPr>
          <w:p w14:paraId="0FE59A45" w14:textId="77777777" w:rsidR="00215A6E" w:rsidRPr="00CF2461" w:rsidRDefault="00215A6E" w:rsidP="000B018C">
            <w:pPr>
              <w:jc w:val="right"/>
              <w:rPr>
                <w:rFonts w:eastAsia="Calibri"/>
                <w:sz w:val="20"/>
                <w:szCs w:val="20"/>
              </w:rPr>
            </w:pPr>
          </w:p>
        </w:tc>
        <w:tc>
          <w:tcPr>
            <w:tcW w:w="1006" w:type="pct"/>
            <w:tcBorders>
              <w:top w:val="single" w:sz="4" w:space="0" w:color="auto"/>
              <w:left w:val="single" w:sz="4" w:space="0" w:color="auto"/>
              <w:bottom w:val="single" w:sz="4" w:space="0" w:color="auto"/>
              <w:right w:val="single" w:sz="4" w:space="0" w:color="auto"/>
            </w:tcBorders>
            <w:hideMark/>
          </w:tcPr>
          <w:p w14:paraId="765C08E7" w14:textId="77777777" w:rsidR="00215A6E" w:rsidRPr="00CF2461" w:rsidRDefault="00215A6E" w:rsidP="000B018C">
            <w:pPr>
              <w:jc w:val="right"/>
              <w:rPr>
                <w:rFonts w:eastAsia="Calibri"/>
                <w:b/>
                <w:bCs/>
                <w:sz w:val="20"/>
                <w:szCs w:val="20"/>
              </w:rPr>
            </w:pPr>
            <w:r w:rsidRPr="00CF2461">
              <w:rPr>
                <w:rFonts w:eastAsia="Calibri"/>
                <w:b/>
                <w:bCs/>
                <w:sz w:val="20"/>
                <w:szCs w:val="20"/>
              </w:rPr>
              <w:t>31,860 hrs.;</w:t>
            </w:r>
          </w:p>
          <w:p w14:paraId="43CE7CD4" w14:textId="77777777" w:rsidR="00215A6E" w:rsidRPr="00CF2461" w:rsidRDefault="00215A6E" w:rsidP="000B018C">
            <w:pPr>
              <w:jc w:val="right"/>
              <w:rPr>
                <w:rFonts w:eastAsia="Calibri"/>
                <w:b/>
                <w:sz w:val="20"/>
                <w:szCs w:val="20"/>
              </w:rPr>
            </w:pPr>
            <w:r w:rsidRPr="00CF2461">
              <w:rPr>
                <w:rFonts w:eastAsia="Calibri"/>
                <w:b/>
                <w:bCs/>
                <w:sz w:val="20"/>
                <w:szCs w:val="20"/>
              </w:rPr>
              <w:t>$2,162,338.20</w:t>
            </w:r>
          </w:p>
        </w:tc>
        <w:tc>
          <w:tcPr>
            <w:tcW w:w="244" w:type="pct"/>
            <w:tcBorders>
              <w:top w:val="single" w:sz="4" w:space="0" w:color="auto"/>
              <w:left w:val="single" w:sz="4" w:space="0" w:color="auto"/>
              <w:bottom w:val="single" w:sz="4" w:space="0" w:color="auto"/>
              <w:right w:val="single" w:sz="4" w:space="0" w:color="auto"/>
            </w:tcBorders>
            <w:shd w:val="clear" w:color="auto" w:fill="D9D9D9"/>
          </w:tcPr>
          <w:p w14:paraId="6397B50B" w14:textId="77777777" w:rsidR="00215A6E" w:rsidRPr="00CF2461" w:rsidRDefault="00215A6E" w:rsidP="000B018C">
            <w:pPr>
              <w:jc w:val="right"/>
              <w:rPr>
                <w:rFonts w:eastAsia="Calibri"/>
                <w:b/>
                <w:sz w:val="20"/>
                <w:szCs w:val="20"/>
              </w:rPr>
            </w:pPr>
          </w:p>
        </w:tc>
      </w:tr>
    </w:tbl>
    <w:p w14:paraId="56DAA2F4" w14:textId="77777777" w:rsidR="00215A6E" w:rsidRDefault="00215A6E" w:rsidP="00215A6E"/>
    <w:tbl>
      <w:tblPr>
        <w:tblW w:w="5390"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1306"/>
        <w:gridCol w:w="1474"/>
        <w:gridCol w:w="1385"/>
        <w:gridCol w:w="1286"/>
        <w:gridCol w:w="1681"/>
        <w:gridCol w:w="899"/>
      </w:tblGrid>
      <w:tr w:rsidR="00215A6E" w:rsidRPr="00DE61EC" w14:paraId="33EEA3EA" w14:textId="77777777" w:rsidTr="000B018C">
        <w:trPr>
          <w:cantSplit/>
          <w:trHeight w:val="485"/>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14:paraId="246B8107" w14:textId="77777777" w:rsidR="00215A6E" w:rsidRPr="00DE61EC" w:rsidRDefault="00215A6E" w:rsidP="000B018C">
            <w:pPr>
              <w:jc w:val="center"/>
              <w:rPr>
                <w:rFonts w:eastAsia="Calibri"/>
                <w:b/>
                <w:sz w:val="20"/>
                <w:szCs w:val="20"/>
              </w:rPr>
            </w:pPr>
            <w:r w:rsidRPr="00DE61EC">
              <w:rPr>
                <w:rFonts w:eastAsia="Calibri"/>
                <w:b/>
                <w:sz w:val="20"/>
                <w:szCs w:val="20"/>
              </w:rPr>
              <w:t xml:space="preserve">MOD-008-1 – Transmission Reliability Margin Calculation Methodology </w:t>
            </w:r>
          </w:p>
          <w:p w14:paraId="4B41BCA3" w14:textId="77777777" w:rsidR="00215A6E" w:rsidRPr="00DE61EC" w:rsidRDefault="00215A6E" w:rsidP="000B018C">
            <w:pPr>
              <w:jc w:val="center"/>
              <w:rPr>
                <w:rFonts w:eastAsia="Calibri"/>
                <w:b/>
                <w:sz w:val="20"/>
                <w:szCs w:val="20"/>
              </w:rPr>
            </w:pPr>
            <w:r w:rsidRPr="00DE61EC">
              <w:rPr>
                <w:b/>
                <w:bCs/>
                <w:sz w:val="20"/>
                <w:szCs w:val="20"/>
              </w:rPr>
              <w:t>Retirement (Burden Reduction)</w:t>
            </w:r>
          </w:p>
        </w:tc>
      </w:tr>
      <w:tr w:rsidR="00215A6E" w:rsidRPr="00DE61EC" w14:paraId="7B381A9D" w14:textId="77777777" w:rsidTr="004153EA">
        <w:trPr>
          <w:cantSplit/>
        </w:trPr>
        <w:tc>
          <w:tcPr>
            <w:tcW w:w="1016" w:type="pct"/>
            <w:tcBorders>
              <w:top w:val="single" w:sz="4" w:space="0" w:color="auto"/>
              <w:left w:val="single" w:sz="4" w:space="0" w:color="auto"/>
              <w:bottom w:val="single" w:sz="4" w:space="0" w:color="auto"/>
              <w:right w:val="single" w:sz="4" w:space="0" w:color="auto"/>
            </w:tcBorders>
            <w:shd w:val="clear" w:color="auto" w:fill="D9D9D9"/>
          </w:tcPr>
          <w:p w14:paraId="651314A8" w14:textId="77777777" w:rsidR="00215A6E" w:rsidRPr="00DE61EC" w:rsidRDefault="00215A6E" w:rsidP="000B018C">
            <w:pPr>
              <w:jc w:val="center"/>
              <w:rPr>
                <w:rFonts w:eastAsia="Calibri"/>
                <w:b/>
                <w:sz w:val="20"/>
                <w:szCs w:val="20"/>
              </w:rPr>
            </w:pPr>
            <w:r w:rsidRPr="00DE61EC">
              <w:rPr>
                <w:b/>
                <w:bCs/>
                <w:color w:val="000000"/>
                <w:sz w:val="20"/>
                <w:szCs w:val="20"/>
              </w:rPr>
              <w:lastRenderedPageBreak/>
              <w:t>Applicable Entity (Respondent)</w:t>
            </w:r>
          </w:p>
        </w:tc>
        <w:tc>
          <w:tcPr>
            <w:tcW w:w="648"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280C6A44" w14:textId="77777777" w:rsidR="00215A6E" w:rsidRPr="00DE61EC" w:rsidRDefault="00215A6E" w:rsidP="000B018C">
            <w:pPr>
              <w:jc w:val="center"/>
              <w:rPr>
                <w:rFonts w:eastAsia="Calibri"/>
                <w:b/>
                <w:sz w:val="20"/>
                <w:szCs w:val="20"/>
              </w:rPr>
            </w:pPr>
            <w:r w:rsidRPr="00DE61EC">
              <w:rPr>
                <w:rFonts w:eastAsia="Calibri"/>
                <w:b/>
                <w:sz w:val="20"/>
                <w:szCs w:val="20"/>
              </w:rPr>
              <w:t>Number of Respondents</w:t>
            </w:r>
            <w:r w:rsidRPr="00DE61EC">
              <w:rPr>
                <w:rFonts w:eastAsia="Calibri"/>
                <w:b/>
                <w:sz w:val="20"/>
                <w:szCs w:val="20"/>
              </w:rPr>
              <w:br/>
              <w:t>(1)</w:t>
            </w:r>
          </w:p>
        </w:tc>
        <w:tc>
          <w:tcPr>
            <w:tcW w:w="731"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7F55887E" w14:textId="77777777" w:rsidR="00215A6E" w:rsidRPr="00DE61EC" w:rsidRDefault="00215A6E" w:rsidP="000B018C">
            <w:pPr>
              <w:jc w:val="center"/>
              <w:rPr>
                <w:rFonts w:eastAsia="Calibri"/>
                <w:b/>
                <w:sz w:val="20"/>
                <w:szCs w:val="20"/>
              </w:rPr>
            </w:pPr>
            <w:r w:rsidRPr="00DE61EC">
              <w:rPr>
                <w:rFonts w:eastAsia="Calibri"/>
                <w:b/>
                <w:sz w:val="20"/>
                <w:szCs w:val="20"/>
              </w:rPr>
              <w:t>Annual Number of Responses per Respondent</w:t>
            </w:r>
          </w:p>
          <w:p w14:paraId="0F624928" w14:textId="77777777" w:rsidR="00215A6E" w:rsidRPr="00DE61EC" w:rsidRDefault="00215A6E" w:rsidP="000B018C">
            <w:pPr>
              <w:jc w:val="center"/>
              <w:rPr>
                <w:rFonts w:eastAsia="Calibri"/>
                <w:b/>
                <w:sz w:val="20"/>
                <w:szCs w:val="20"/>
              </w:rPr>
            </w:pPr>
            <w:r w:rsidRPr="00DE61EC">
              <w:rPr>
                <w:rFonts w:eastAsia="Calibri"/>
                <w:b/>
                <w:sz w:val="20"/>
                <w:szCs w:val="20"/>
              </w:rPr>
              <w:t>(2)</w:t>
            </w:r>
          </w:p>
        </w:tc>
        <w:tc>
          <w:tcPr>
            <w:tcW w:w="687"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489D2EEA" w14:textId="77777777" w:rsidR="00215A6E" w:rsidRPr="00DE61EC" w:rsidRDefault="00215A6E" w:rsidP="000B018C">
            <w:pPr>
              <w:spacing w:line="252" w:lineRule="auto"/>
              <w:jc w:val="center"/>
              <w:rPr>
                <w:b/>
                <w:bCs/>
                <w:sz w:val="20"/>
                <w:szCs w:val="20"/>
              </w:rPr>
            </w:pPr>
            <w:r w:rsidRPr="00DE61EC">
              <w:rPr>
                <w:b/>
                <w:bCs/>
                <w:color w:val="000000"/>
                <w:sz w:val="20"/>
                <w:szCs w:val="20"/>
              </w:rPr>
              <w:t>Annual Number of Responses</w:t>
            </w:r>
          </w:p>
          <w:p w14:paraId="511DA75D" w14:textId="77777777" w:rsidR="00215A6E" w:rsidRPr="00DE61EC" w:rsidRDefault="00215A6E" w:rsidP="000B018C">
            <w:pPr>
              <w:jc w:val="center"/>
              <w:rPr>
                <w:rFonts w:eastAsia="Calibri"/>
                <w:b/>
                <w:sz w:val="20"/>
                <w:szCs w:val="20"/>
              </w:rPr>
            </w:pPr>
            <w:r w:rsidRPr="00DE61EC">
              <w:rPr>
                <w:rFonts w:eastAsia="Calibri"/>
                <w:b/>
                <w:sz w:val="20"/>
                <w:szCs w:val="20"/>
              </w:rPr>
              <w:t>(1)*(2)=(3)</w:t>
            </w:r>
          </w:p>
        </w:tc>
        <w:tc>
          <w:tcPr>
            <w:tcW w:w="638"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79AA8B40" w14:textId="77777777" w:rsidR="00215A6E" w:rsidRPr="00DE61EC" w:rsidRDefault="00215A6E" w:rsidP="000B018C">
            <w:pPr>
              <w:jc w:val="center"/>
              <w:rPr>
                <w:rFonts w:eastAsia="Calibri"/>
                <w:b/>
                <w:sz w:val="20"/>
                <w:szCs w:val="20"/>
              </w:rPr>
            </w:pPr>
            <w:r w:rsidRPr="00DE61EC">
              <w:rPr>
                <w:rFonts w:eastAsia="Calibri"/>
                <w:b/>
                <w:sz w:val="20"/>
                <w:szCs w:val="20"/>
              </w:rPr>
              <w:t>Average Burden &amp; Cost Per Response</w:t>
            </w:r>
          </w:p>
          <w:p w14:paraId="1EAD08BE" w14:textId="77777777" w:rsidR="00215A6E" w:rsidRPr="00DE61EC" w:rsidRDefault="00215A6E" w:rsidP="000B018C">
            <w:pPr>
              <w:jc w:val="center"/>
              <w:rPr>
                <w:rFonts w:eastAsia="Calibri"/>
                <w:b/>
                <w:sz w:val="20"/>
                <w:szCs w:val="20"/>
              </w:rPr>
            </w:pPr>
            <w:r w:rsidRPr="00DE61EC">
              <w:rPr>
                <w:rFonts w:eastAsia="Calibri"/>
                <w:b/>
                <w:sz w:val="20"/>
                <w:szCs w:val="20"/>
              </w:rPr>
              <w:t>(4)</w:t>
            </w:r>
            <w:r w:rsidRPr="00DE61EC">
              <w:rPr>
                <w:rStyle w:val="FootnoteReference"/>
                <w:rFonts w:eastAsia="Calibri"/>
                <w:sz w:val="20"/>
                <w:szCs w:val="20"/>
              </w:rPr>
              <w:footnoteReference w:id="41"/>
            </w:r>
          </w:p>
        </w:tc>
        <w:tc>
          <w:tcPr>
            <w:tcW w:w="834"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6F35297A" w14:textId="77777777" w:rsidR="00215A6E" w:rsidRPr="00DE61EC" w:rsidRDefault="00215A6E" w:rsidP="000B018C">
            <w:pPr>
              <w:spacing w:line="252" w:lineRule="auto"/>
              <w:jc w:val="center"/>
              <w:rPr>
                <w:b/>
                <w:bCs/>
                <w:sz w:val="20"/>
                <w:szCs w:val="20"/>
              </w:rPr>
            </w:pPr>
            <w:r w:rsidRPr="00DE61EC">
              <w:rPr>
                <w:b/>
                <w:bCs/>
                <w:color w:val="000000"/>
                <w:sz w:val="20"/>
                <w:szCs w:val="20"/>
              </w:rPr>
              <w:t>Total Annual Burden Hours and Cost Reduction (rounded)</w:t>
            </w:r>
          </w:p>
          <w:p w14:paraId="65851FF5" w14:textId="77777777" w:rsidR="00215A6E" w:rsidRPr="00DE61EC" w:rsidRDefault="00215A6E" w:rsidP="000B018C">
            <w:pPr>
              <w:jc w:val="center"/>
              <w:rPr>
                <w:rFonts w:eastAsia="Calibri"/>
                <w:b/>
                <w:sz w:val="20"/>
                <w:szCs w:val="20"/>
              </w:rPr>
            </w:pPr>
            <w:r w:rsidRPr="00DE61EC">
              <w:rPr>
                <w:rFonts w:eastAsia="Calibri"/>
                <w:b/>
                <w:sz w:val="20"/>
                <w:szCs w:val="20"/>
              </w:rPr>
              <w:t>(3)*(4)=(5)</w:t>
            </w:r>
          </w:p>
        </w:tc>
        <w:tc>
          <w:tcPr>
            <w:tcW w:w="446"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3F27F6E9" w14:textId="77777777" w:rsidR="00215A6E" w:rsidRPr="00DE61EC" w:rsidRDefault="00215A6E" w:rsidP="000B018C">
            <w:pPr>
              <w:jc w:val="center"/>
              <w:rPr>
                <w:rFonts w:eastAsia="Calibri"/>
                <w:b/>
                <w:sz w:val="20"/>
                <w:szCs w:val="20"/>
              </w:rPr>
            </w:pPr>
          </w:p>
        </w:tc>
      </w:tr>
      <w:tr w:rsidR="00215A6E" w:rsidRPr="00DE61EC" w14:paraId="71FFBDC9" w14:textId="77777777" w:rsidTr="000B018C">
        <w:trPr>
          <w:cantSplit/>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cPr>
          <w:p w14:paraId="3261EE4D" w14:textId="77777777" w:rsidR="00215A6E" w:rsidRPr="00DE61EC" w:rsidRDefault="00215A6E" w:rsidP="000B018C">
            <w:pPr>
              <w:jc w:val="center"/>
              <w:rPr>
                <w:rFonts w:eastAsia="Calibri"/>
                <w:b/>
                <w:sz w:val="20"/>
                <w:szCs w:val="20"/>
              </w:rPr>
            </w:pPr>
            <w:r w:rsidRPr="00DE61EC">
              <w:rPr>
                <w:rFonts w:eastAsia="Calibri"/>
                <w:b/>
                <w:sz w:val="20"/>
                <w:szCs w:val="20"/>
              </w:rPr>
              <w:t xml:space="preserve">FERC-725A, OMB Control No. </w:t>
            </w:r>
            <w:r w:rsidRPr="00DE61EC">
              <w:rPr>
                <w:rFonts w:eastAsia="Calibri"/>
                <w:b/>
                <w:bCs/>
                <w:iCs/>
                <w:sz w:val="20"/>
                <w:szCs w:val="20"/>
              </w:rPr>
              <w:t>1902-</w:t>
            </w:r>
            <w:r w:rsidRPr="00DE61EC">
              <w:rPr>
                <w:rFonts w:eastAsia="Calibri"/>
                <w:b/>
                <w:sz w:val="20"/>
                <w:szCs w:val="20"/>
              </w:rPr>
              <w:t>0244</w:t>
            </w:r>
          </w:p>
        </w:tc>
      </w:tr>
      <w:tr w:rsidR="00215A6E" w:rsidRPr="00DE61EC" w14:paraId="384D578E" w14:textId="77777777" w:rsidTr="004153EA">
        <w:trPr>
          <w:cantSplit/>
        </w:trPr>
        <w:tc>
          <w:tcPr>
            <w:tcW w:w="1016" w:type="pct"/>
            <w:tcBorders>
              <w:top w:val="single" w:sz="4" w:space="0" w:color="auto"/>
              <w:left w:val="single" w:sz="4" w:space="0" w:color="auto"/>
              <w:bottom w:val="single" w:sz="4" w:space="0" w:color="auto"/>
              <w:right w:val="single" w:sz="4" w:space="0" w:color="auto"/>
            </w:tcBorders>
            <w:hideMark/>
          </w:tcPr>
          <w:p w14:paraId="7B20C299" w14:textId="77777777" w:rsidR="00215A6E" w:rsidRPr="00DE61EC" w:rsidRDefault="00215A6E" w:rsidP="000B018C">
            <w:pPr>
              <w:rPr>
                <w:rFonts w:eastAsia="Calibri"/>
                <w:sz w:val="20"/>
                <w:szCs w:val="20"/>
              </w:rPr>
            </w:pPr>
            <w:r w:rsidRPr="00DE61EC">
              <w:rPr>
                <w:rFonts w:eastAsia="Calibri"/>
                <w:b/>
                <w:bCs/>
                <w:sz w:val="20"/>
                <w:szCs w:val="20"/>
              </w:rPr>
              <w:t>TOP - Retired</w:t>
            </w:r>
          </w:p>
        </w:tc>
        <w:tc>
          <w:tcPr>
            <w:tcW w:w="648" w:type="pct"/>
            <w:tcBorders>
              <w:top w:val="single" w:sz="4" w:space="0" w:color="auto"/>
              <w:left w:val="single" w:sz="4" w:space="0" w:color="auto"/>
              <w:bottom w:val="single" w:sz="4" w:space="0" w:color="auto"/>
              <w:right w:val="single" w:sz="4" w:space="0" w:color="auto"/>
            </w:tcBorders>
            <w:hideMark/>
          </w:tcPr>
          <w:p w14:paraId="32D66E14" w14:textId="77777777" w:rsidR="00215A6E" w:rsidRPr="00DE61EC" w:rsidRDefault="00215A6E" w:rsidP="000B018C">
            <w:pPr>
              <w:jc w:val="center"/>
              <w:rPr>
                <w:rFonts w:eastAsia="Calibri"/>
                <w:sz w:val="20"/>
                <w:szCs w:val="20"/>
              </w:rPr>
            </w:pPr>
            <w:r w:rsidRPr="00DE61EC">
              <w:rPr>
                <w:rFonts w:eastAsia="Calibri"/>
                <w:sz w:val="20"/>
                <w:szCs w:val="20"/>
              </w:rPr>
              <w:t>165</w:t>
            </w:r>
          </w:p>
          <w:p w14:paraId="6749D0E7" w14:textId="77777777" w:rsidR="00215A6E" w:rsidRPr="00DE61EC" w:rsidRDefault="00215A6E" w:rsidP="000B018C">
            <w:pPr>
              <w:jc w:val="center"/>
              <w:rPr>
                <w:rFonts w:eastAsia="Calibri"/>
                <w:sz w:val="20"/>
                <w:szCs w:val="20"/>
              </w:rPr>
            </w:pPr>
          </w:p>
        </w:tc>
        <w:tc>
          <w:tcPr>
            <w:tcW w:w="731" w:type="pct"/>
            <w:tcBorders>
              <w:top w:val="single" w:sz="4" w:space="0" w:color="auto"/>
              <w:left w:val="single" w:sz="4" w:space="0" w:color="auto"/>
              <w:bottom w:val="single" w:sz="4" w:space="0" w:color="auto"/>
              <w:right w:val="single" w:sz="4" w:space="0" w:color="auto"/>
            </w:tcBorders>
            <w:hideMark/>
          </w:tcPr>
          <w:p w14:paraId="15E00D61" w14:textId="77777777" w:rsidR="00215A6E" w:rsidRPr="00DE61EC" w:rsidRDefault="00215A6E" w:rsidP="000B018C">
            <w:pPr>
              <w:jc w:val="center"/>
              <w:rPr>
                <w:rFonts w:eastAsia="Calibri"/>
                <w:sz w:val="20"/>
                <w:szCs w:val="20"/>
              </w:rPr>
            </w:pPr>
            <w:r w:rsidRPr="00DE61EC">
              <w:rPr>
                <w:rFonts w:eastAsia="Calibri"/>
                <w:sz w:val="20"/>
                <w:szCs w:val="20"/>
              </w:rPr>
              <w:t>1</w:t>
            </w:r>
          </w:p>
        </w:tc>
        <w:tc>
          <w:tcPr>
            <w:tcW w:w="687" w:type="pct"/>
            <w:tcBorders>
              <w:top w:val="single" w:sz="4" w:space="0" w:color="auto"/>
              <w:left w:val="single" w:sz="4" w:space="0" w:color="auto"/>
              <w:bottom w:val="single" w:sz="4" w:space="0" w:color="auto"/>
              <w:right w:val="single" w:sz="4" w:space="0" w:color="auto"/>
            </w:tcBorders>
            <w:hideMark/>
          </w:tcPr>
          <w:p w14:paraId="4F6E0573" w14:textId="77777777" w:rsidR="00215A6E" w:rsidRPr="00DE61EC" w:rsidRDefault="00215A6E" w:rsidP="000B018C">
            <w:pPr>
              <w:jc w:val="center"/>
              <w:rPr>
                <w:rFonts w:eastAsia="Calibri"/>
                <w:sz w:val="20"/>
                <w:szCs w:val="20"/>
              </w:rPr>
            </w:pPr>
            <w:r w:rsidRPr="00DE61EC">
              <w:rPr>
                <w:rFonts w:eastAsia="Calibri"/>
                <w:sz w:val="20"/>
                <w:szCs w:val="20"/>
              </w:rPr>
              <w:t>165</w:t>
            </w:r>
          </w:p>
        </w:tc>
        <w:tc>
          <w:tcPr>
            <w:tcW w:w="638" w:type="pct"/>
            <w:tcBorders>
              <w:top w:val="single" w:sz="4" w:space="0" w:color="auto"/>
              <w:left w:val="single" w:sz="4" w:space="0" w:color="auto"/>
              <w:bottom w:val="single" w:sz="4" w:space="0" w:color="auto"/>
              <w:right w:val="single" w:sz="4" w:space="0" w:color="auto"/>
            </w:tcBorders>
            <w:hideMark/>
          </w:tcPr>
          <w:p w14:paraId="4AD3E3FE" w14:textId="77777777" w:rsidR="00215A6E" w:rsidRPr="00DE61EC" w:rsidRDefault="00215A6E" w:rsidP="000B018C">
            <w:pPr>
              <w:spacing w:line="276" w:lineRule="auto"/>
              <w:jc w:val="right"/>
              <w:rPr>
                <w:rFonts w:eastAsia="Calibri"/>
                <w:sz w:val="20"/>
                <w:szCs w:val="20"/>
              </w:rPr>
            </w:pPr>
            <w:r w:rsidRPr="00DE61EC">
              <w:rPr>
                <w:rFonts w:eastAsia="Calibri"/>
                <w:sz w:val="20"/>
                <w:szCs w:val="20"/>
              </w:rPr>
              <w:t>60 hrs.;</w:t>
            </w:r>
          </w:p>
          <w:p w14:paraId="3DDE7199" w14:textId="77777777" w:rsidR="00215A6E" w:rsidRPr="00DE61EC" w:rsidRDefault="00215A6E" w:rsidP="000B018C">
            <w:pPr>
              <w:jc w:val="right"/>
              <w:rPr>
                <w:rFonts w:eastAsia="Calibri"/>
                <w:sz w:val="20"/>
                <w:szCs w:val="20"/>
              </w:rPr>
            </w:pPr>
            <w:r w:rsidRPr="00DE61EC">
              <w:rPr>
                <w:rFonts w:eastAsia="Calibri"/>
                <w:sz w:val="20"/>
                <w:szCs w:val="20"/>
              </w:rPr>
              <w:t>$4,072.20</w:t>
            </w:r>
          </w:p>
        </w:tc>
        <w:tc>
          <w:tcPr>
            <w:tcW w:w="834" w:type="pct"/>
            <w:tcBorders>
              <w:top w:val="single" w:sz="4" w:space="0" w:color="auto"/>
              <w:left w:val="single" w:sz="4" w:space="0" w:color="auto"/>
              <w:bottom w:val="single" w:sz="4" w:space="0" w:color="auto"/>
              <w:right w:val="single" w:sz="4" w:space="0" w:color="auto"/>
            </w:tcBorders>
            <w:hideMark/>
          </w:tcPr>
          <w:p w14:paraId="19B8CAC2" w14:textId="77777777" w:rsidR="00215A6E" w:rsidRPr="00DE61EC" w:rsidRDefault="00215A6E" w:rsidP="000B018C">
            <w:pPr>
              <w:jc w:val="right"/>
              <w:rPr>
                <w:rFonts w:eastAsia="Calibri"/>
                <w:sz w:val="20"/>
                <w:szCs w:val="20"/>
              </w:rPr>
            </w:pPr>
            <w:r w:rsidRPr="00DE61EC">
              <w:rPr>
                <w:rFonts w:eastAsia="Calibri"/>
                <w:sz w:val="20"/>
                <w:szCs w:val="20"/>
              </w:rPr>
              <w:t>9,900 hrs.;</w:t>
            </w:r>
          </w:p>
          <w:p w14:paraId="61473596" w14:textId="77777777" w:rsidR="00215A6E" w:rsidRPr="00DE61EC" w:rsidRDefault="00215A6E" w:rsidP="000B018C">
            <w:pPr>
              <w:jc w:val="right"/>
              <w:rPr>
                <w:rFonts w:eastAsia="Calibri"/>
                <w:sz w:val="20"/>
                <w:szCs w:val="20"/>
              </w:rPr>
            </w:pPr>
            <w:r w:rsidRPr="00DE61EC">
              <w:rPr>
                <w:rFonts w:eastAsia="Calibri"/>
                <w:sz w:val="20"/>
                <w:szCs w:val="20"/>
              </w:rPr>
              <w:t>$671,913</w:t>
            </w:r>
          </w:p>
        </w:tc>
        <w:tc>
          <w:tcPr>
            <w:tcW w:w="446" w:type="pct"/>
            <w:tcBorders>
              <w:top w:val="single" w:sz="4" w:space="0" w:color="auto"/>
              <w:left w:val="single" w:sz="4" w:space="0" w:color="auto"/>
              <w:bottom w:val="single" w:sz="4" w:space="0" w:color="auto"/>
              <w:right w:val="single" w:sz="4" w:space="0" w:color="auto"/>
            </w:tcBorders>
            <w:hideMark/>
          </w:tcPr>
          <w:p w14:paraId="03DFB5C7" w14:textId="77777777" w:rsidR="00215A6E" w:rsidRPr="00DE61EC" w:rsidRDefault="00215A6E" w:rsidP="000B018C">
            <w:pPr>
              <w:jc w:val="right"/>
              <w:rPr>
                <w:rFonts w:eastAsia="Calibri"/>
                <w:sz w:val="20"/>
                <w:szCs w:val="20"/>
              </w:rPr>
            </w:pPr>
          </w:p>
        </w:tc>
      </w:tr>
      <w:tr w:rsidR="00215A6E" w:rsidRPr="00DE61EC" w14:paraId="67602415" w14:textId="77777777" w:rsidTr="004153EA">
        <w:trPr>
          <w:cantSplit/>
          <w:trHeight w:val="485"/>
        </w:trPr>
        <w:tc>
          <w:tcPr>
            <w:tcW w:w="1016" w:type="pct"/>
            <w:tcBorders>
              <w:top w:val="single" w:sz="4" w:space="0" w:color="auto"/>
              <w:left w:val="single" w:sz="4" w:space="0" w:color="auto"/>
              <w:bottom w:val="single" w:sz="4" w:space="0" w:color="auto"/>
              <w:right w:val="single" w:sz="4" w:space="0" w:color="auto"/>
            </w:tcBorders>
            <w:hideMark/>
          </w:tcPr>
          <w:p w14:paraId="0A24A846" w14:textId="77777777" w:rsidR="00215A6E" w:rsidRPr="00DE61EC" w:rsidRDefault="00215A6E" w:rsidP="000B018C">
            <w:pPr>
              <w:rPr>
                <w:rFonts w:eastAsia="Calibri"/>
                <w:b/>
                <w:sz w:val="20"/>
                <w:szCs w:val="20"/>
              </w:rPr>
            </w:pPr>
            <w:r w:rsidRPr="00DE61EC">
              <w:rPr>
                <w:rFonts w:eastAsia="Calibri"/>
                <w:b/>
                <w:sz w:val="20"/>
                <w:szCs w:val="20"/>
              </w:rPr>
              <w:t>FERC-725A for MOD-008-1 Total Retired</w:t>
            </w:r>
          </w:p>
        </w:tc>
        <w:tc>
          <w:tcPr>
            <w:tcW w:w="2704" w:type="pct"/>
            <w:gridSpan w:val="4"/>
            <w:tcBorders>
              <w:top w:val="single" w:sz="4" w:space="0" w:color="auto"/>
              <w:left w:val="single" w:sz="4" w:space="0" w:color="auto"/>
              <w:bottom w:val="single" w:sz="4" w:space="0" w:color="auto"/>
              <w:right w:val="single" w:sz="4" w:space="0" w:color="auto"/>
            </w:tcBorders>
            <w:shd w:val="clear" w:color="auto" w:fill="D9D9D9"/>
          </w:tcPr>
          <w:p w14:paraId="3B58360F" w14:textId="77777777" w:rsidR="00215A6E" w:rsidRPr="00DE61EC" w:rsidRDefault="00215A6E" w:rsidP="000B018C">
            <w:pPr>
              <w:jc w:val="right"/>
              <w:rPr>
                <w:rFonts w:eastAsia="Calibri"/>
                <w:sz w:val="20"/>
                <w:szCs w:val="20"/>
              </w:rPr>
            </w:pPr>
          </w:p>
        </w:tc>
        <w:tc>
          <w:tcPr>
            <w:tcW w:w="834" w:type="pct"/>
            <w:tcBorders>
              <w:top w:val="single" w:sz="4" w:space="0" w:color="auto"/>
              <w:left w:val="single" w:sz="4" w:space="0" w:color="auto"/>
              <w:bottom w:val="single" w:sz="4" w:space="0" w:color="auto"/>
              <w:right w:val="single" w:sz="4" w:space="0" w:color="auto"/>
            </w:tcBorders>
            <w:hideMark/>
          </w:tcPr>
          <w:p w14:paraId="421EB2DE" w14:textId="77777777" w:rsidR="00215A6E" w:rsidRPr="00DE61EC" w:rsidRDefault="00215A6E" w:rsidP="000B018C">
            <w:pPr>
              <w:jc w:val="right"/>
              <w:rPr>
                <w:rFonts w:eastAsia="Calibri"/>
                <w:b/>
                <w:bCs/>
                <w:sz w:val="20"/>
                <w:szCs w:val="20"/>
              </w:rPr>
            </w:pPr>
            <w:r w:rsidRPr="00DE61EC">
              <w:rPr>
                <w:rFonts w:eastAsia="Calibri"/>
                <w:b/>
                <w:bCs/>
                <w:sz w:val="20"/>
                <w:szCs w:val="20"/>
              </w:rPr>
              <w:t>9,900 hrs.;</w:t>
            </w:r>
          </w:p>
          <w:p w14:paraId="2EC0CB30" w14:textId="77777777" w:rsidR="00215A6E" w:rsidRPr="00DE61EC" w:rsidRDefault="00215A6E" w:rsidP="000B018C">
            <w:pPr>
              <w:jc w:val="right"/>
              <w:rPr>
                <w:rFonts w:eastAsia="Calibri"/>
                <w:b/>
                <w:sz w:val="20"/>
                <w:szCs w:val="20"/>
              </w:rPr>
            </w:pPr>
            <w:r w:rsidRPr="00DE61EC">
              <w:rPr>
                <w:rFonts w:eastAsia="Calibri"/>
                <w:b/>
                <w:bCs/>
                <w:sz w:val="20"/>
                <w:szCs w:val="20"/>
              </w:rPr>
              <w:t>$671,913</w:t>
            </w:r>
          </w:p>
        </w:tc>
        <w:tc>
          <w:tcPr>
            <w:tcW w:w="446" w:type="pct"/>
            <w:tcBorders>
              <w:top w:val="single" w:sz="4" w:space="0" w:color="auto"/>
              <w:left w:val="single" w:sz="4" w:space="0" w:color="auto"/>
              <w:bottom w:val="single" w:sz="4" w:space="0" w:color="auto"/>
              <w:right w:val="single" w:sz="4" w:space="0" w:color="auto"/>
            </w:tcBorders>
            <w:shd w:val="clear" w:color="auto" w:fill="D9D9D9"/>
          </w:tcPr>
          <w:p w14:paraId="353FB06D" w14:textId="77777777" w:rsidR="00215A6E" w:rsidRPr="00DE61EC" w:rsidRDefault="00215A6E" w:rsidP="000B018C">
            <w:pPr>
              <w:jc w:val="right"/>
              <w:rPr>
                <w:rFonts w:eastAsia="Calibri"/>
                <w:b/>
                <w:sz w:val="20"/>
                <w:szCs w:val="20"/>
              </w:rPr>
            </w:pPr>
          </w:p>
        </w:tc>
      </w:tr>
    </w:tbl>
    <w:p w14:paraId="6E551557" w14:textId="77777777" w:rsidR="00215A6E" w:rsidRDefault="00215A6E" w:rsidP="00215A6E"/>
    <w:tbl>
      <w:tblPr>
        <w:tblW w:w="5390"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1449"/>
        <w:gridCol w:w="1457"/>
        <w:gridCol w:w="1373"/>
        <w:gridCol w:w="1268"/>
        <w:gridCol w:w="1605"/>
        <w:gridCol w:w="899"/>
      </w:tblGrid>
      <w:tr w:rsidR="00215A6E" w:rsidRPr="004153EA" w14:paraId="4543F409" w14:textId="77777777" w:rsidTr="000B018C">
        <w:trPr>
          <w:cantSplit/>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14:paraId="736B11E2" w14:textId="77777777" w:rsidR="00215A6E" w:rsidRPr="004153EA" w:rsidRDefault="00215A6E" w:rsidP="000B018C">
            <w:pPr>
              <w:jc w:val="center"/>
              <w:rPr>
                <w:rFonts w:eastAsia="Calibri"/>
                <w:b/>
                <w:sz w:val="20"/>
                <w:szCs w:val="20"/>
              </w:rPr>
            </w:pPr>
            <w:r w:rsidRPr="004153EA">
              <w:rPr>
                <w:rFonts w:eastAsia="Calibri"/>
                <w:b/>
                <w:sz w:val="20"/>
                <w:szCs w:val="20"/>
              </w:rPr>
              <w:t xml:space="preserve">MOD-028-2 – Area Interchange Methodology </w:t>
            </w:r>
          </w:p>
          <w:p w14:paraId="6D99EDC8" w14:textId="77777777" w:rsidR="00215A6E" w:rsidRPr="004153EA" w:rsidRDefault="00215A6E" w:rsidP="000B018C">
            <w:pPr>
              <w:jc w:val="center"/>
              <w:rPr>
                <w:rFonts w:eastAsia="Calibri"/>
                <w:b/>
                <w:sz w:val="20"/>
                <w:szCs w:val="20"/>
              </w:rPr>
            </w:pPr>
            <w:r w:rsidRPr="004153EA">
              <w:rPr>
                <w:rFonts w:eastAsia="Calibri"/>
                <w:b/>
                <w:sz w:val="20"/>
                <w:szCs w:val="20"/>
              </w:rPr>
              <w:t>Proposed for Retirement</w:t>
            </w:r>
          </w:p>
        </w:tc>
      </w:tr>
      <w:tr w:rsidR="00215A6E" w:rsidRPr="004153EA" w14:paraId="6A6F0D76" w14:textId="77777777" w:rsidTr="004153EA">
        <w:trPr>
          <w:cantSplit/>
        </w:trPr>
        <w:tc>
          <w:tcPr>
            <w:tcW w:w="1006" w:type="pct"/>
            <w:tcBorders>
              <w:top w:val="single" w:sz="4" w:space="0" w:color="auto"/>
              <w:left w:val="single" w:sz="4" w:space="0" w:color="auto"/>
              <w:bottom w:val="single" w:sz="4" w:space="0" w:color="auto"/>
              <w:right w:val="single" w:sz="4" w:space="0" w:color="auto"/>
            </w:tcBorders>
            <w:shd w:val="clear" w:color="auto" w:fill="D9D9D9"/>
          </w:tcPr>
          <w:p w14:paraId="5AF5EA24" w14:textId="77777777" w:rsidR="00215A6E" w:rsidRPr="004153EA" w:rsidRDefault="00215A6E" w:rsidP="000B018C">
            <w:pPr>
              <w:jc w:val="center"/>
              <w:rPr>
                <w:rFonts w:eastAsia="Calibri"/>
                <w:b/>
                <w:sz w:val="20"/>
                <w:szCs w:val="20"/>
              </w:rPr>
            </w:pPr>
            <w:r w:rsidRPr="004153EA">
              <w:rPr>
                <w:b/>
                <w:bCs/>
                <w:color w:val="000000"/>
                <w:sz w:val="20"/>
                <w:szCs w:val="20"/>
              </w:rPr>
              <w:t>Applicable Entity (Respondent)</w:t>
            </w:r>
          </w:p>
        </w:tc>
        <w:tc>
          <w:tcPr>
            <w:tcW w:w="719"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27243DFF" w14:textId="77777777" w:rsidR="00215A6E" w:rsidRPr="004153EA" w:rsidRDefault="00215A6E" w:rsidP="000B018C">
            <w:pPr>
              <w:jc w:val="center"/>
              <w:rPr>
                <w:rFonts w:eastAsia="Calibri"/>
                <w:b/>
                <w:sz w:val="20"/>
                <w:szCs w:val="20"/>
              </w:rPr>
            </w:pPr>
            <w:r w:rsidRPr="004153EA">
              <w:rPr>
                <w:rFonts w:eastAsia="Calibri"/>
                <w:b/>
                <w:sz w:val="20"/>
                <w:szCs w:val="20"/>
              </w:rPr>
              <w:t>Number of Respondents</w:t>
            </w:r>
            <w:r w:rsidRPr="004153EA">
              <w:rPr>
                <w:rFonts w:eastAsia="Calibri"/>
                <w:b/>
                <w:sz w:val="20"/>
                <w:szCs w:val="20"/>
              </w:rPr>
              <w:br/>
              <w:t>(1)</w:t>
            </w:r>
          </w:p>
        </w:tc>
        <w:tc>
          <w:tcPr>
            <w:tcW w:w="723"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346B2E16" w14:textId="77777777" w:rsidR="00215A6E" w:rsidRPr="004153EA" w:rsidRDefault="00215A6E" w:rsidP="000B018C">
            <w:pPr>
              <w:jc w:val="center"/>
              <w:rPr>
                <w:rFonts w:eastAsia="Calibri"/>
                <w:b/>
                <w:sz w:val="20"/>
                <w:szCs w:val="20"/>
              </w:rPr>
            </w:pPr>
            <w:r w:rsidRPr="004153EA">
              <w:rPr>
                <w:rFonts w:eastAsia="Calibri"/>
                <w:b/>
                <w:sz w:val="20"/>
                <w:szCs w:val="20"/>
              </w:rPr>
              <w:t>Annual Number of Responses per Respondent</w:t>
            </w:r>
          </w:p>
          <w:p w14:paraId="0ED3E2A7" w14:textId="77777777" w:rsidR="00215A6E" w:rsidRPr="004153EA" w:rsidRDefault="00215A6E" w:rsidP="000B018C">
            <w:pPr>
              <w:jc w:val="center"/>
              <w:rPr>
                <w:rFonts w:eastAsia="Calibri"/>
                <w:b/>
                <w:sz w:val="20"/>
                <w:szCs w:val="20"/>
              </w:rPr>
            </w:pPr>
            <w:r w:rsidRPr="004153EA">
              <w:rPr>
                <w:rFonts w:eastAsia="Calibri"/>
                <w:b/>
                <w:sz w:val="20"/>
                <w:szCs w:val="20"/>
              </w:rPr>
              <w:t>(2)</w:t>
            </w:r>
          </w:p>
        </w:tc>
        <w:tc>
          <w:tcPr>
            <w:tcW w:w="681"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71AAE048" w14:textId="77777777" w:rsidR="00215A6E" w:rsidRPr="004153EA" w:rsidRDefault="00215A6E" w:rsidP="000B018C">
            <w:pPr>
              <w:spacing w:line="252" w:lineRule="auto"/>
              <w:jc w:val="center"/>
              <w:rPr>
                <w:b/>
                <w:bCs/>
                <w:sz w:val="20"/>
                <w:szCs w:val="20"/>
              </w:rPr>
            </w:pPr>
            <w:r w:rsidRPr="004153EA">
              <w:rPr>
                <w:b/>
                <w:bCs/>
                <w:color w:val="000000"/>
                <w:sz w:val="20"/>
                <w:szCs w:val="20"/>
              </w:rPr>
              <w:t>Annual Number of Responses</w:t>
            </w:r>
          </w:p>
          <w:p w14:paraId="436B0C2A" w14:textId="77777777" w:rsidR="00215A6E" w:rsidRPr="004153EA" w:rsidRDefault="00215A6E" w:rsidP="000B018C">
            <w:pPr>
              <w:jc w:val="center"/>
              <w:rPr>
                <w:rFonts w:eastAsia="Calibri"/>
                <w:b/>
                <w:sz w:val="20"/>
                <w:szCs w:val="20"/>
              </w:rPr>
            </w:pPr>
            <w:r w:rsidRPr="004153EA">
              <w:rPr>
                <w:rFonts w:eastAsia="Calibri"/>
                <w:b/>
                <w:sz w:val="20"/>
                <w:szCs w:val="20"/>
              </w:rPr>
              <w:t>(1)*(2)=(3)</w:t>
            </w:r>
          </w:p>
        </w:tc>
        <w:tc>
          <w:tcPr>
            <w:tcW w:w="629"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7CBE7135" w14:textId="77777777" w:rsidR="00215A6E" w:rsidRPr="004153EA" w:rsidRDefault="00215A6E" w:rsidP="000B018C">
            <w:pPr>
              <w:jc w:val="center"/>
              <w:rPr>
                <w:rFonts w:eastAsia="Calibri"/>
                <w:b/>
                <w:sz w:val="20"/>
                <w:szCs w:val="20"/>
              </w:rPr>
            </w:pPr>
            <w:r w:rsidRPr="004153EA">
              <w:rPr>
                <w:rFonts w:eastAsia="Calibri"/>
                <w:b/>
                <w:sz w:val="20"/>
                <w:szCs w:val="20"/>
              </w:rPr>
              <w:t>Average Burden &amp; Cost Per Response</w:t>
            </w:r>
          </w:p>
          <w:p w14:paraId="310A092C" w14:textId="77777777" w:rsidR="00215A6E" w:rsidRPr="004153EA" w:rsidRDefault="00215A6E" w:rsidP="000B018C">
            <w:pPr>
              <w:jc w:val="center"/>
              <w:rPr>
                <w:rFonts w:eastAsia="Calibri"/>
                <w:b/>
                <w:sz w:val="20"/>
                <w:szCs w:val="20"/>
              </w:rPr>
            </w:pPr>
            <w:r w:rsidRPr="004153EA">
              <w:rPr>
                <w:rFonts w:eastAsia="Calibri"/>
                <w:b/>
                <w:sz w:val="20"/>
                <w:szCs w:val="20"/>
              </w:rPr>
              <w:t>(4)</w:t>
            </w:r>
            <w:r w:rsidRPr="004153EA">
              <w:rPr>
                <w:rStyle w:val="FootnoteReference"/>
                <w:rFonts w:eastAsia="Calibri"/>
                <w:sz w:val="20"/>
                <w:szCs w:val="20"/>
              </w:rPr>
              <w:footnoteReference w:id="42"/>
            </w:r>
          </w:p>
        </w:tc>
        <w:tc>
          <w:tcPr>
            <w:tcW w:w="796"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690EADD4" w14:textId="77777777" w:rsidR="00215A6E" w:rsidRPr="004153EA" w:rsidRDefault="00215A6E" w:rsidP="000B018C">
            <w:pPr>
              <w:spacing w:line="252" w:lineRule="auto"/>
              <w:jc w:val="center"/>
              <w:rPr>
                <w:b/>
                <w:bCs/>
                <w:sz w:val="20"/>
                <w:szCs w:val="20"/>
              </w:rPr>
            </w:pPr>
            <w:r w:rsidRPr="004153EA">
              <w:rPr>
                <w:b/>
                <w:bCs/>
                <w:color w:val="000000"/>
                <w:sz w:val="20"/>
                <w:szCs w:val="20"/>
              </w:rPr>
              <w:t>Total Annual Burden Hours and Cost Reduction (rounded)</w:t>
            </w:r>
          </w:p>
          <w:p w14:paraId="732F9DD7" w14:textId="77777777" w:rsidR="00215A6E" w:rsidRPr="004153EA" w:rsidRDefault="00215A6E" w:rsidP="000B018C">
            <w:pPr>
              <w:jc w:val="center"/>
              <w:rPr>
                <w:rFonts w:eastAsia="Calibri"/>
                <w:b/>
                <w:sz w:val="20"/>
                <w:szCs w:val="20"/>
              </w:rPr>
            </w:pPr>
            <w:r w:rsidRPr="004153EA">
              <w:rPr>
                <w:rFonts w:eastAsia="Calibri"/>
                <w:b/>
                <w:sz w:val="20"/>
                <w:szCs w:val="20"/>
              </w:rPr>
              <w:t>(3)*(4)=(5)</w:t>
            </w:r>
          </w:p>
        </w:tc>
        <w:tc>
          <w:tcPr>
            <w:tcW w:w="446"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04C73CAB" w14:textId="77777777" w:rsidR="00215A6E" w:rsidRPr="004153EA" w:rsidRDefault="00215A6E" w:rsidP="000B018C">
            <w:pPr>
              <w:jc w:val="center"/>
              <w:rPr>
                <w:rFonts w:eastAsia="Calibri"/>
                <w:b/>
                <w:sz w:val="20"/>
                <w:szCs w:val="20"/>
              </w:rPr>
            </w:pPr>
          </w:p>
        </w:tc>
      </w:tr>
      <w:tr w:rsidR="00215A6E" w:rsidRPr="004153EA" w14:paraId="42FF3776" w14:textId="77777777" w:rsidTr="000B018C">
        <w:trPr>
          <w:cantSplit/>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cPr>
          <w:p w14:paraId="4164618D" w14:textId="77777777" w:rsidR="00215A6E" w:rsidRPr="004153EA" w:rsidRDefault="00215A6E" w:rsidP="000B018C">
            <w:pPr>
              <w:jc w:val="center"/>
              <w:rPr>
                <w:rFonts w:eastAsia="Calibri"/>
                <w:b/>
                <w:sz w:val="20"/>
                <w:szCs w:val="20"/>
              </w:rPr>
            </w:pPr>
            <w:r w:rsidRPr="004153EA">
              <w:rPr>
                <w:rFonts w:eastAsia="Calibri"/>
                <w:b/>
                <w:sz w:val="20"/>
                <w:szCs w:val="20"/>
              </w:rPr>
              <w:t xml:space="preserve">FERC-725A, OMB Control No. </w:t>
            </w:r>
            <w:r w:rsidRPr="004153EA">
              <w:rPr>
                <w:rFonts w:eastAsia="Calibri"/>
                <w:b/>
                <w:bCs/>
                <w:iCs/>
                <w:sz w:val="20"/>
                <w:szCs w:val="20"/>
              </w:rPr>
              <w:t>1902-</w:t>
            </w:r>
            <w:r w:rsidRPr="004153EA">
              <w:rPr>
                <w:rFonts w:eastAsia="Calibri"/>
                <w:b/>
                <w:sz w:val="20"/>
                <w:szCs w:val="20"/>
              </w:rPr>
              <w:t>0244</w:t>
            </w:r>
          </w:p>
        </w:tc>
      </w:tr>
      <w:tr w:rsidR="00215A6E" w:rsidRPr="004153EA" w14:paraId="196DB15A" w14:textId="77777777" w:rsidTr="004153EA">
        <w:trPr>
          <w:cantSplit/>
        </w:trPr>
        <w:tc>
          <w:tcPr>
            <w:tcW w:w="1006" w:type="pct"/>
            <w:tcBorders>
              <w:top w:val="single" w:sz="4" w:space="0" w:color="auto"/>
              <w:left w:val="single" w:sz="4" w:space="0" w:color="auto"/>
              <w:bottom w:val="single" w:sz="4" w:space="0" w:color="auto"/>
              <w:right w:val="single" w:sz="4" w:space="0" w:color="auto"/>
            </w:tcBorders>
            <w:hideMark/>
          </w:tcPr>
          <w:p w14:paraId="53FF9085" w14:textId="77777777" w:rsidR="00215A6E" w:rsidRPr="004153EA" w:rsidRDefault="00215A6E" w:rsidP="000B018C">
            <w:pPr>
              <w:rPr>
                <w:rFonts w:eastAsia="Calibri"/>
                <w:sz w:val="20"/>
                <w:szCs w:val="20"/>
              </w:rPr>
            </w:pPr>
            <w:r w:rsidRPr="004153EA">
              <w:rPr>
                <w:rFonts w:eastAsia="Calibri"/>
                <w:b/>
                <w:bCs/>
                <w:sz w:val="20"/>
                <w:szCs w:val="20"/>
              </w:rPr>
              <w:t>TOP – Retired</w:t>
            </w:r>
          </w:p>
        </w:tc>
        <w:tc>
          <w:tcPr>
            <w:tcW w:w="719" w:type="pct"/>
            <w:tcBorders>
              <w:top w:val="single" w:sz="4" w:space="0" w:color="auto"/>
              <w:left w:val="single" w:sz="4" w:space="0" w:color="auto"/>
              <w:bottom w:val="single" w:sz="4" w:space="0" w:color="auto"/>
              <w:right w:val="single" w:sz="4" w:space="0" w:color="auto"/>
            </w:tcBorders>
            <w:hideMark/>
          </w:tcPr>
          <w:p w14:paraId="0E581250" w14:textId="77777777" w:rsidR="00215A6E" w:rsidRPr="004153EA" w:rsidRDefault="00215A6E" w:rsidP="000B018C">
            <w:pPr>
              <w:jc w:val="center"/>
              <w:rPr>
                <w:rFonts w:eastAsia="Calibri"/>
                <w:sz w:val="20"/>
                <w:szCs w:val="20"/>
              </w:rPr>
            </w:pPr>
            <w:r w:rsidRPr="004153EA">
              <w:rPr>
                <w:rFonts w:eastAsia="Calibri"/>
                <w:sz w:val="20"/>
                <w:szCs w:val="20"/>
              </w:rPr>
              <w:t>165</w:t>
            </w:r>
          </w:p>
        </w:tc>
        <w:tc>
          <w:tcPr>
            <w:tcW w:w="723" w:type="pct"/>
            <w:tcBorders>
              <w:top w:val="single" w:sz="4" w:space="0" w:color="auto"/>
              <w:left w:val="single" w:sz="4" w:space="0" w:color="auto"/>
              <w:bottom w:val="single" w:sz="4" w:space="0" w:color="auto"/>
              <w:right w:val="single" w:sz="4" w:space="0" w:color="auto"/>
            </w:tcBorders>
            <w:hideMark/>
          </w:tcPr>
          <w:p w14:paraId="63C3524A" w14:textId="77777777" w:rsidR="00215A6E" w:rsidRPr="004153EA" w:rsidRDefault="00215A6E" w:rsidP="000B018C">
            <w:pPr>
              <w:jc w:val="center"/>
              <w:rPr>
                <w:rFonts w:eastAsia="Calibri"/>
                <w:sz w:val="20"/>
                <w:szCs w:val="20"/>
              </w:rPr>
            </w:pPr>
            <w:r w:rsidRPr="004153EA">
              <w:rPr>
                <w:rFonts w:eastAsia="Calibri"/>
                <w:sz w:val="20"/>
                <w:szCs w:val="20"/>
              </w:rPr>
              <w:t>1</w:t>
            </w:r>
          </w:p>
        </w:tc>
        <w:tc>
          <w:tcPr>
            <w:tcW w:w="681" w:type="pct"/>
            <w:tcBorders>
              <w:top w:val="single" w:sz="4" w:space="0" w:color="auto"/>
              <w:left w:val="single" w:sz="4" w:space="0" w:color="auto"/>
              <w:bottom w:val="single" w:sz="4" w:space="0" w:color="auto"/>
              <w:right w:val="single" w:sz="4" w:space="0" w:color="auto"/>
            </w:tcBorders>
            <w:hideMark/>
          </w:tcPr>
          <w:p w14:paraId="5738C8CF" w14:textId="77777777" w:rsidR="00215A6E" w:rsidRPr="004153EA" w:rsidRDefault="00215A6E" w:rsidP="000B018C">
            <w:pPr>
              <w:jc w:val="right"/>
              <w:rPr>
                <w:rFonts w:eastAsia="Calibri"/>
                <w:sz w:val="20"/>
                <w:szCs w:val="20"/>
              </w:rPr>
            </w:pPr>
            <w:r w:rsidRPr="004153EA">
              <w:rPr>
                <w:rFonts w:eastAsia="Calibri"/>
                <w:sz w:val="20"/>
                <w:szCs w:val="20"/>
              </w:rPr>
              <w:t>165</w:t>
            </w:r>
          </w:p>
        </w:tc>
        <w:tc>
          <w:tcPr>
            <w:tcW w:w="629" w:type="pct"/>
            <w:tcBorders>
              <w:top w:val="single" w:sz="4" w:space="0" w:color="auto"/>
              <w:left w:val="single" w:sz="4" w:space="0" w:color="auto"/>
              <w:bottom w:val="single" w:sz="4" w:space="0" w:color="auto"/>
              <w:right w:val="single" w:sz="4" w:space="0" w:color="auto"/>
            </w:tcBorders>
            <w:hideMark/>
          </w:tcPr>
          <w:p w14:paraId="387C8491" w14:textId="77777777" w:rsidR="00215A6E" w:rsidRPr="004153EA" w:rsidRDefault="00215A6E" w:rsidP="000B018C">
            <w:pPr>
              <w:spacing w:line="276" w:lineRule="auto"/>
              <w:jc w:val="right"/>
              <w:rPr>
                <w:rFonts w:eastAsia="Calibri"/>
                <w:sz w:val="20"/>
                <w:szCs w:val="20"/>
              </w:rPr>
            </w:pPr>
            <w:r w:rsidRPr="004153EA">
              <w:rPr>
                <w:rFonts w:eastAsia="Calibri"/>
                <w:sz w:val="20"/>
                <w:szCs w:val="20"/>
              </w:rPr>
              <w:t>60 hrs.;</w:t>
            </w:r>
          </w:p>
          <w:p w14:paraId="1BF68093" w14:textId="77777777" w:rsidR="00215A6E" w:rsidRPr="004153EA" w:rsidRDefault="00215A6E" w:rsidP="000B018C">
            <w:pPr>
              <w:jc w:val="right"/>
              <w:rPr>
                <w:rFonts w:eastAsia="Calibri"/>
                <w:sz w:val="20"/>
                <w:szCs w:val="20"/>
              </w:rPr>
            </w:pPr>
            <w:r w:rsidRPr="004153EA">
              <w:rPr>
                <w:rFonts w:eastAsia="Calibri"/>
                <w:sz w:val="20"/>
                <w:szCs w:val="20"/>
              </w:rPr>
              <w:t>$4,072.20</w:t>
            </w:r>
          </w:p>
        </w:tc>
        <w:tc>
          <w:tcPr>
            <w:tcW w:w="796" w:type="pct"/>
            <w:tcBorders>
              <w:top w:val="single" w:sz="4" w:space="0" w:color="auto"/>
              <w:left w:val="single" w:sz="4" w:space="0" w:color="auto"/>
              <w:bottom w:val="single" w:sz="4" w:space="0" w:color="auto"/>
              <w:right w:val="single" w:sz="4" w:space="0" w:color="auto"/>
            </w:tcBorders>
            <w:hideMark/>
          </w:tcPr>
          <w:p w14:paraId="5AAF4F55" w14:textId="77777777" w:rsidR="00215A6E" w:rsidRPr="004153EA" w:rsidRDefault="00215A6E" w:rsidP="000B018C">
            <w:pPr>
              <w:jc w:val="right"/>
              <w:rPr>
                <w:rFonts w:eastAsia="Calibri"/>
                <w:sz w:val="20"/>
                <w:szCs w:val="20"/>
              </w:rPr>
            </w:pPr>
            <w:r w:rsidRPr="004153EA">
              <w:rPr>
                <w:rFonts w:eastAsia="Calibri"/>
                <w:sz w:val="20"/>
                <w:szCs w:val="20"/>
              </w:rPr>
              <w:t>9,900 hrs.;</w:t>
            </w:r>
          </w:p>
          <w:p w14:paraId="1283581B" w14:textId="77777777" w:rsidR="00215A6E" w:rsidRPr="004153EA" w:rsidRDefault="00215A6E" w:rsidP="000B018C">
            <w:pPr>
              <w:jc w:val="right"/>
              <w:rPr>
                <w:rFonts w:eastAsia="Calibri"/>
                <w:sz w:val="20"/>
                <w:szCs w:val="20"/>
              </w:rPr>
            </w:pPr>
            <w:r w:rsidRPr="004153EA">
              <w:rPr>
                <w:rFonts w:eastAsia="Calibri"/>
                <w:sz w:val="20"/>
                <w:szCs w:val="20"/>
              </w:rPr>
              <w:t>$671,913</w:t>
            </w:r>
          </w:p>
        </w:tc>
        <w:tc>
          <w:tcPr>
            <w:tcW w:w="446" w:type="pct"/>
            <w:tcBorders>
              <w:top w:val="single" w:sz="4" w:space="0" w:color="auto"/>
              <w:left w:val="single" w:sz="4" w:space="0" w:color="auto"/>
              <w:bottom w:val="single" w:sz="4" w:space="0" w:color="auto"/>
              <w:right w:val="single" w:sz="4" w:space="0" w:color="auto"/>
            </w:tcBorders>
            <w:hideMark/>
          </w:tcPr>
          <w:p w14:paraId="53D7D0AF" w14:textId="77777777" w:rsidR="00215A6E" w:rsidRPr="004153EA" w:rsidRDefault="00215A6E" w:rsidP="000B018C">
            <w:pPr>
              <w:jc w:val="right"/>
              <w:rPr>
                <w:rFonts w:eastAsia="Calibri"/>
                <w:sz w:val="20"/>
                <w:szCs w:val="20"/>
              </w:rPr>
            </w:pPr>
          </w:p>
        </w:tc>
      </w:tr>
      <w:tr w:rsidR="00215A6E" w:rsidRPr="004153EA" w14:paraId="213A54FB" w14:textId="77777777" w:rsidTr="004153EA">
        <w:trPr>
          <w:cantSplit/>
          <w:trHeight w:val="584"/>
        </w:trPr>
        <w:tc>
          <w:tcPr>
            <w:tcW w:w="1006" w:type="pct"/>
            <w:tcBorders>
              <w:top w:val="single" w:sz="4" w:space="0" w:color="auto"/>
              <w:left w:val="single" w:sz="4" w:space="0" w:color="auto"/>
              <w:bottom w:val="single" w:sz="4" w:space="0" w:color="auto"/>
              <w:right w:val="single" w:sz="4" w:space="0" w:color="auto"/>
            </w:tcBorders>
            <w:hideMark/>
          </w:tcPr>
          <w:p w14:paraId="20399321" w14:textId="77777777" w:rsidR="00215A6E" w:rsidRPr="004153EA" w:rsidRDefault="00215A6E" w:rsidP="000B018C">
            <w:pPr>
              <w:rPr>
                <w:rFonts w:eastAsia="Calibri"/>
                <w:sz w:val="20"/>
                <w:szCs w:val="20"/>
              </w:rPr>
            </w:pPr>
            <w:r w:rsidRPr="004153EA">
              <w:rPr>
                <w:rFonts w:eastAsia="Calibri"/>
                <w:b/>
                <w:bCs/>
                <w:sz w:val="20"/>
                <w:szCs w:val="20"/>
              </w:rPr>
              <w:t>TSP – Retired</w:t>
            </w:r>
          </w:p>
        </w:tc>
        <w:tc>
          <w:tcPr>
            <w:tcW w:w="719" w:type="pct"/>
            <w:tcBorders>
              <w:top w:val="single" w:sz="4" w:space="0" w:color="auto"/>
              <w:left w:val="single" w:sz="4" w:space="0" w:color="auto"/>
              <w:bottom w:val="single" w:sz="4" w:space="0" w:color="auto"/>
              <w:right w:val="single" w:sz="4" w:space="0" w:color="auto"/>
            </w:tcBorders>
          </w:tcPr>
          <w:p w14:paraId="5BCE0CC3" w14:textId="77777777" w:rsidR="00215A6E" w:rsidRPr="004153EA" w:rsidRDefault="00215A6E" w:rsidP="000B018C">
            <w:pPr>
              <w:jc w:val="center"/>
              <w:rPr>
                <w:rFonts w:eastAsia="Calibri"/>
                <w:sz w:val="20"/>
                <w:szCs w:val="20"/>
              </w:rPr>
            </w:pPr>
            <w:r w:rsidRPr="004153EA">
              <w:rPr>
                <w:rFonts w:eastAsia="Calibri"/>
                <w:sz w:val="20"/>
                <w:szCs w:val="20"/>
              </w:rPr>
              <w:t>71</w:t>
            </w:r>
          </w:p>
          <w:p w14:paraId="0ACC8263" w14:textId="77777777" w:rsidR="00215A6E" w:rsidRPr="004153EA" w:rsidRDefault="00215A6E" w:rsidP="000B018C">
            <w:pPr>
              <w:jc w:val="center"/>
              <w:rPr>
                <w:rFonts w:eastAsia="Calibri"/>
                <w:sz w:val="20"/>
                <w:szCs w:val="20"/>
              </w:rPr>
            </w:pPr>
          </w:p>
        </w:tc>
        <w:tc>
          <w:tcPr>
            <w:tcW w:w="723" w:type="pct"/>
            <w:tcBorders>
              <w:top w:val="single" w:sz="4" w:space="0" w:color="auto"/>
              <w:left w:val="single" w:sz="4" w:space="0" w:color="auto"/>
              <w:bottom w:val="single" w:sz="4" w:space="0" w:color="auto"/>
              <w:right w:val="single" w:sz="4" w:space="0" w:color="auto"/>
            </w:tcBorders>
            <w:hideMark/>
          </w:tcPr>
          <w:p w14:paraId="62B2D8DE" w14:textId="77777777" w:rsidR="00215A6E" w:rsidRPr="004153EA" w:rsidRDefault="00215A6E" w:rsidP="000B018C">
            <w:pPr>
              <w:jc w:val="center"/>
              <w:rPr>
                <w:rFonts w:eastAsia="Calibri"/>
                <w:sz w:val="20"/>
                <w:szCs w:val="20"/>
              </w:rPr>
            </w:pPr>
            <w:r w:rsidRPr="004153EA">
              <w:rPr>
                <w:rFonts w:eastAsia="Calibri"/>
                <w:sz w:val="20"/>
                <w:szCs w:val="20"/>
              </w:rPr>
              <w:t>1</w:t>
            </w:r>
          </w:p>
        </w:tc>
        <w:tc>
          <w:tcPr>
            <w:tcW w:w="681" w:type="pct"/>
            <w:tcBorders>
              <w:top w:val="single" w:sz="4" w:space="0" w:color="auto"/>
              <w:left w:val="single" w:sz="4" w:space="0" w:color="auto"/>
              <w:bottom w:val="single" w:sz="4" w:space="0" w:color="auto"/>
              <w:right w:val="single" w:sz="4" w:space="0" w:color="auto"/>
            </w:tcBorders>
            <w:hideMark/>
          </w:tcPr>
          <w:p w14:paraId="0236B2BD" w14:textId="77777777" w:rsidR="00215A6E" w:rsidRPr="004153EA" w:rsidRDefault="00215A6E" w:rsidP="000B018C">
            <w:pPr>
              <w:jc w:val="right"/>
              <w:rPr>
                <w:rFonts w:eastAsia="Calibri"/>
                <w:sz w:val="20"/>
                <w:szCs w:val="20"/>
              </w:rPr>
            </w:pPr>
            <w:r w:rsidRPr="004153EA">
              <w:rPr>
                <w:rFonts w:eastAsia="Calibri"/>
                <w:sz w:val="20"/>
                <w:szCs w:val="20"/>
              </w:rPr>
              <w:t>71</w:t>
            </w:r>
          </w:p>
        </w:tc>
        <w:tc>
          <w:tcPr>
            <w:tcW w:w="629" w:type="pct"/>
            <w:tcBorders>
              <w:top w:val="single" w:sz="4" w:space="0" w:color="auto"/>
              <w:left w:val="single" w:sz="4" w:space="0" w:color="auto"/>
              <w:bottom w:val="single" w:sz="4" w:space="0" w:color="auto"/>
              <w:right w:val="single" w:sz="4" w:space="0" w:color="auto"/>
            </w:tcBorders>
            <w:hideMark/>
          </w:tcPr>
          <w:p w14:paraId="0773BA54" w14:textId="77777777" w:rsidR="00215A6E" w:rsidRPr="004153EA" w:rsidRDefault="00215A6E" w:rsidP="000B018C">
            <w:pPr>
              <w:spacing w:line="276" w:lineRule="auto"/>
              <w:jc w:val="right"/>
              <w:rPr>
                <w:rFonts w:eastAsia="Calibri"/>
                <w:sz w:val="20"/>
                <w:szCs w:val="20"/>
              </w:rPr>
            </w:pPr>
            <w:r w:rsidRPr="004153EA">
              <w:rPr>
                <w:rFonts w:eastAsia="Calibri"/>
                <w:sz w:val="20"/>
                <w:szCs w:val="20"/>
              </w:rPr>
              <w:t>60 hrs.;</w:t>
            </w:r>
          </w:p>
          <w:p w14:paraId="7DBFEECC" w14:textId="77777777" w:rsidR="00215A6E" w:rsidRPr="004153EA" w:rsidRDefault="00215A6E" w:rsidP="000B018C">
            <w:pPr>
              <w:jc w:val="right"/>
              <w:rPr>
                <w:rFonts w:eastAsia="Calibri"/>
                <w:sz w:val="20"/>
                <w:szCs w:val="20"/>
              </w:rPr>
            </w:pPr>
            <w:r w:rsidRPr="004153EA">
              <w:rPr>
                <w:rFonts w:eastAsia="Calibri"/>
                <w:sz w:val="20"/>
                <w:szCs w:val="20"/>
              </w:rPr>
              <w:t>$4,072.20</w:t>
            </w:r>
          </w:p>
        </w:tc>
        <w:tc>
          <w:tcPr>
            <w:tcW w:w="796" w:type="pct"/>
            <w:tcBorders>
              <w:top w:val="single" w:sz="4" w:space="0" w:color="auto"/>
              <w:left w:val="single" w:sz="4" w:space="0" w:color="auto"/>
              <w:bottom w:val="single" w:sz="4" w:space="0" w:color="auto"/>
              <w:right w:val="single" w:sz="4" w:space="0" w:color="auto"/>
            </w:tcBorders>
            <w:hideMark/>
          </w:tcPr>
          <w:p w14:paraId="4739077A" w14:textId="77777777" w:rsidR="00215A6E" w:rsidRPr="004153EA" w:rsidRDefault="00215A6E" w:rsidP="000B018C">
            <w:pPr>
              <w:jc w:val="right"/>
              <w:rPr>
                <w:rFonts w:eastAsia="Calibri"/>
                <w:sz w:val="20"/>
                <w:szCs w:val="20"/>
              </w:rPr>
            </w:pPr>
            <w:r w:rsidRPr="004153EA">
              <w:rPr>
                <w:rFonts w:eastAsia="Calibri"/>
                <w:sz w:val="20"/>
                <w:szCs w:val="20"/>
              </w:rPr>
              <w:t>4,260 hrs.;</w:t>
            </w:r>
          </w:p>
          <w:p w14:paraId="71E0BC4B" w14:textId="77777777" w:rsidR="00215A6E" w:rsidRPr="004153EA" w:rsidRDefault="00215A6E" w:rsidP="000B018C">
            <w:pPr>
              <w:jc w:val="right"/>
              <w:rPr>
                <w:rFonts w:eastAsia="Calibri"/>
                <w:sz w:val="20"/>
                <w:szCs w:val="20"/>
              </w:rPr>
            </w:pPr>
            <w:r w:rsidRPr="004153EA">
              <w:rPr>
                <w:rFonts w:eastAsia="Calibri"/>
                <w:sz w:val="20"/>
                <w:szCs w:val="20"/>
              </w:rPr>
              <w:t xml:space="preserve">$289,126.20 </w:t>
            </w:r>
          </w:p>
        </w:tc>
        <w:tc>
          <w:tcPr>
            <w:tcW w:w="446" w:type="pct"/>
            <w:tcBorders>
              <w:top w:val="single" w:sz="4" w:space="0" w:color="auto"/>
              <w:left w:val="single" w:sz="4" w:space="0" w:color="auto"/>
              <w:bottom w:val="single" w:sz="4" w:space="0" w:color="auto"/>
              <w:right w:val="single" w:sz="4" w:space="0" w:color="auto"/>
            </w:tcBorders>
          </w:tcPr>
          <w:p w14:paraId="55A47571" w14:textId="77777777" w:rsidR="00215A6E" w:rsidRPr="004153EA" w:rsidRDefault="00215A6E" w:rsidP="000B018C">
            <w:pPr>
              <w:jc w:val="right"/>
              <w:rPr>
                <w:rFonts w:eastAsia="Calibri"/>
                <w:sz w:val="20"/>
                <w:szCs w:val="20"/>
              </w:rPr>
            </w:pPr>
          </w:p>
        </w:tc>
      </w:tr>
      <w:tr w:rsidR="00215A6E" w:rsidRPr="004153EA" w14:paraId="02009660" w14:textId="77777777" w:rsidTr="004153EA">
        <w:trPr>
          <w:cantSplit/>
          <w:trHeight w:val="485"/>
        </w:trPr>
        <w:tc>
          <w:tcPr>
            <w:tcW w:w="1006" w:type="pct"/>
            <w:tcBorders>
              <w:top w:val="single" w:sz="4" w:space="0" w:color="auto"/>
              <w:left w:val="single" w:sz="4" w:space="0" w:color="auto"/>
              <w:bottom w:val="single" w:sz="4" w:space="0" w:color="auto"/>
              <w:right w:val="single" w:sz="4" w:space="0" w:color="auto"/>
            </w:tcBorders>
            <w:hideMark/>
          </w:tcPr>
          <w:p w14:paraId="55DAEE5C" w14:textId="77777777" w:rsidR="00215A6E" w:rsidRPr="004153EA" w:rsidRDefault="00215A6E" w:rsidP="000B018C">
            <w:pPr>
              <w:rPr>
                <w:rFonts w:eastAsia="Calibri"/>
                <w:b/>
                <w:sz w:val="20"/>
                <w:szCs w:val="20"/>
              </w:rPr>
            </w:pPr>
            <w:r w:rsidRPr="004153EA">
              <w:rPr>
                <w:rFonts w:eastAsia="Calibri"/>
                <w:b/>
                <w:sz w:val="20"/>
                <w:szCs w:val="20"/>
              </w:rPr>
              <w:t>FERC-725A for MOD-028-2 Total Retired</w:t>
            </w:r>
          </w:p>
        </w:tc>
        <w:tc>
          <w:tcPr>
            <w:tcW w:w="2752" w:type="pct"/>
            <w:gridSpan w:val="4"/>
            <w:tcBorders>
              <w:top w:val="single" w:sz="4" w:space="0" w:color="auto"/>
              <w:left w:val="single" w:sz="4" w:space="0" w:color="auto"/>
              <w:bottom w:val="single" w:sz="4" w:space="0" w:color="auto"/>
              <w:right w:val="single" w:sz="4" w:space="0" w:color="auto"/>
            </w:tcBorders>
            <w:shd w:val="clear" w:color="auto" w:fill="D9D9D9"/>
          </w:tcPr>
          <w:p w14:paraId="4AF71CB5" w14:textId="77777777" w:rsidR="00215A6E" w:rsidRPr="004153EA" w:rsidRDefault="00215A6E" w:rsidP="000B018C">
            <w:pPr>
              <w:jc w:val="right"/>
              <w:rPr>
                <w:rFonts w:eastAsia="Calibri"/>
                <w:sz w:val="20"/>
                <w:szCs w:val="20"/>
              </w:rPr>
            </w:pPr>
          </w:p>
        </w:tc>
        <w:tc>
          <w:tcPr>
            <w:tcW w:w="796" w:type="pct"/>
            <w:tcBorders>
              <w:top w:val="single" w:sz="4" w:space="0" w:color="auto"/>
              <w:left w:val="single" w:sz="4" w:space="0" w:color="auto"/>
              <w:bottom w:val="single" w:sz="4" w:space="0" w:color="auto"/>
              <w:right w:val="single" w:sz="4" w:space="0" w:color="auto"/>
            </w:tcBorders>
            <w:hideMark/>
          </w:tcPr>
          <w:p w14:paraId="05152B11" w14:textId="77777777" w:rsidR="00215A6E" w:rsidRPr="004153EA" w:rsidRDefault="00215A6E" w:rsidP="000B018C">
            <w:pPr>
              <w:jc w:val="right"/>
              <w:rPr>
                <w:rFonts w:eastAsia="Calibri"/>
                <w:b/>
                <w:sz w:val="20"/>
                <w:szCs w:val="20"/>
              </w:rPr>
            </w:pPr>
            <w:r w:rsidRPr="004153EA">
              <w:rPr>
                <w:rFonts w:eastAsia="Calibri"/>
                <w:b/>
                <w:bCs/>
                <w:sz w:val="20"/>
                <w:szCs w:val="20"/>
              </w:rPr>
              <w:t>14,160 hrs</w:t>
            </w:r>
            <w:r w:rsidRPr="004153EA">
              <w:rPr>
                <w:rFonts w:eastAsia="Calibri"/>
                <w:b/>
                <w:sz w:val="20"/>
                <w:szCs w:val="20"/>
              </w:rPr>
              <w:t>.;</w:t>
            </w:r>
          </w:p>
          <w:p w14:paraId="1821E074" w14:textId="77777777" w:rsidR="00215A6E" w:rsidRPr="004153EA" w:rsidRDefault="00215A6E" w:rsidP="000B018C">
            <w:pPr>
              <w:jc w:val="right"/>
              <w:rPr>
                <w:rFonts w:eastAsia="Calibri"/>
                <w:b/>
                <w:sz w:val="20"/>
                <w:szCs w:val="20"/>
              </w:rPr>
            </w:pPr>
            <w:r w:rsidRPr="004153EA">
              <w:rPr>
                <w:rFonts w:eastAsia="Calibri"/>
                <w:b/>
                <w:sz w:val="20"/>
                <w:szCs w:val="20"/>
              </w:rPr>
              <w:t>$961,039.20</w:t>
            </w:r>
          </w:p>
        </w:tc>
        <w:tc>
          <w:tcPr>
            <w:tcW w:w="446" w:type="pct"/>
            <w:tcBorders>
              <w:top w:val="single" w:sz="4" w:space="0" w:color="auto"/>
              <w:left w:val="single" w:sz="4" w:space="0" w:color="auto"/>
              <w:bottom w:val="single" w:sz="4" w:space="0" w:color="auto"/>
              <w:right w:val="single" w:sz="4" w:space="0" w:color="auto"/>
            </w:tcBorders>
            <w:shd w:val="clear" w:color="auto" w:fill="D9D9D9"/>
          </w:tcPr>
          <w:p w14:paraId="66AC7B3C" w14:textId="77777777" w:rsidR="00215A6E" w:rsidRPr="004153EA" w:rsidRDefault="00215A6E" w:rsidP="000B018C">
            <w:pPr>
              <w:jc w:val="right"/>
              <w:rPr>
                <w:rFonts w:eastAsia="Calibri"/>
                <w:b/>
                <w:sz w:val="20"/>
                <w:szCs w:val="20"/>
              </w:rPr>
            </w:pPr>
          </w:p>
        </w:tc>
      </w:tr>
    </w:tbl>
    <w:p w14:paraId="6B9591BA" w14:textId="77777777" w:rsidR="00215A6E" w:rsidRDefault="00215A6E" w:rsidP="00215A6E"/>
    <w:tbl>
      <w:tblPr>
        <w:tblW w:w="5390"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039"/>
        <w:gridCol w:w="1381"/>
        <w:gridCol w:w="1349"/>
        <w:gridCol w:w="1322"/>
        <w:gridCol w:w="1246"/>
        <w:gridCol w:w="1776"/>
        <w:gridCol w:w="966"/>
      </w:tblGrid>
      <w:tr w:rsidR="00215A6E" w:rsidRPr="004153EA" w14:paraId="0D7D6CDA" w14:textId="77777777" w:rsidTr="000B018C">
        <w:trPr>
          <w:cantSplit/>
          <w:trHeight w:val="227"/>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14:paraId="5A30F28F" w14:textId="77777777" w:rsidR="00215A6E" w:rsidRPr="004153EA" w:rsidRDefault="00215A6E" w:rsidP="000B018C">
            <w:pPr>
              <w:spacing w:line="276" w:lineRule="auto"/>
              <w:jc w:val="center"/>
              <w:rPr>
                <w:rFonts w:eastAsia="Calibri"/>
                <w:b/>
                <w:sz w:val="20"/>
                <w:szCs w:val="20"/>
              </w:rPr>
            </w:pPr>
            <w:r w:rsidRPr="004153EA">
              <w:rPr>
                <w:rFonts w:eastAsia="Calibri"/>
                <w:b/>
                <w:sz w:val="20"/>
                <w:szCs w:val="20"/>
              </w:rPr>
              <w:t xml:space="preserve">MOD-029-2a – </w:t>
            </w:r>
            <w:proofErr w:type="spellStart"/>
            <w:r w:rsidRPr="004153EA">
              <w:rPr>
                <w:rFonts w:eastAsia="Calibri"/>
                <w:b/>
                <w:sz w:val="20"/>
                <w:szCs w:val="20"/>
              </w:rPr>
              <w:t>Flowgate</w:t>
            </w:r>
            <w:proofErr w:type="spellEnd"/>
            <w:r w:rsidRPr="004153EA">
              <w:rPr>
                <w:rFonts w:eastAsia="Calibri"/>
                <w:b/>
                <w:sz w:val="20"/>
                <w:szCs w:val="20"/>
              </w:rPr>
              <w:t xml:space="preserve"> Methodology </w:t>
            </w:r>
          </w:p>
          <w:p w14:paraId="22D62CB2" w14:textId="77777777" w:rsidR="00215A6E" w:rsidRPr="004153EA" w:rsidRDefault="00215A6E" w:rsidP="000B018C">
            <w:pPr>
              <w:spacing w:line="276" w:lineRule="auto"/>
              <w:jc w:val="center"/>
              <w:rPr>
                <w:rFonts w:eastAsia="Calibri"/>
                <w:b/>
                <w:sz w:val="20"/>
                <w:szCs w:val="20"/>
              </w:rPr>
            </w:pPr>
            <w:r w:rsidRPr="004153EA">
              <w:rPr>
                <w:b/>
                <w:bCs/>
                <w:sz w:val="20"/>
                <w:szCs w:val="20"/>
              </w:rPr>
              <w:t>Retirement (Burden Reduction)</w:t>
            </w:r>
          </w:p>
        </w:tc>
      </w:tr>
      <w:tr w:rsidR="00215A6E" w:rsidRPr="004153EA" w14:paraId="03C6D33B" w14:textId="77777777" w:rsidTr="004153EA">
        <w:trPr>
          <w:cantSplit/>
          <w:trHeight w:val="1385"/>
        </w:trPr>
        <w:tc>
          <w:tcPr>
            <w:tcW w:w="1012"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1FC5A5EA" w14:textId="77777777" w:rsidR="00215A6E" w:rsidRPr="004153EA" w:rsidRDefault="00215A6E" w:rsidP="000B018C">
            <w:pPr>
              <w:spacing w:line="276" w:lineRule="auto"/>
              <w:rPr>
                <w:rFonts w:eastAsia="Calibri"/>
                <w:b/>
                <w:sz w:val="20"/>
                <w:szCs w:val="20"/>
              </w:rPr>
            </w:pPr>
            <w:r w:rsidRPr="004153EA">
              <w:rPr>
                <w:b/>
                <w:bCs/>
                <w:color w:val="000000"/>
                <w:sz w:val="20"/>
                <w:szCs w:val="20"/>
              </w:rPr>
              <w:t>Applicable Entity (Respondent)</w:t>
            </w:r>
          </w:p>
        </w:tc>
        <w:tc>
          <w:tcPr>
            <w:tcW w:w="685"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7C7AB6C1" w14:textId="77777777" w:rsidR="00215A6E" w:rsidRPr="004153EA" w:rsidRDefault="00215A6E" w:rsidP="000B018C">
            <w:pPr>
              <w:spacing w:line="276" w:lineRule="auto"/>
              <w:rPr>
                <w:rFonts w:eastAsia="Calibri"/>
                <w:b/>
                <w:sz w:val="20"/>
                <w:szCs w:val="20"/>
              </w:rPr>
            </w:pPr>
            <w:r w:rsidRPr="004153EA">
              <w:rPr>
                <w:rFonts w:eastAsia="Calibri"/>
                <w:b/>
                <w:sz w:val="20"/>
                <w:szCs w:val="20"/>
              </w:rPr>
              <w:t>Number of Respondents</w:t>
            </w:r>
            <w:r w:rsidRPr="004153EA">
              <w:rPr>
                <w:rFonts w:eastAsia="Calibri"/>
                <w:b/>
                <w:sz w:val="20"/>
                <w:szCs w:val="20"/>
              </w:rPr>
              <w:br/>
              <w:t>(1)</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0AC20586" w14:textId="77777777" w:rsidR="00215A6E" w:rsidRPr="004153EA" w:rsidRDefault="00215A6E" w:rsidP="000B018C">
            <w:pPr>
              <w:spacing w:line="276" w:lineRule="auto"/>
              <w:rPr>
                <w:rFonts w:eastAsia="Calibri"/>
                <w:b/>
                <w:sz w:val="20"/>
                <w:szCs w:val="20"/>
              </w:rPr>
            </w:pPr>
            <w:r w:rsidRPr="004153EA">
              <w:rPr>
                <w:rFonts w:eastAsia="Calibri"/>
                <w:b/>
                <w:sz w:val="20"/>
                <w:szCs w:val="20"/>
              </w:rPr>
              <w:t>Annual Number of Responses per Respondent (2)</w:t>
            </w:r>
          </w:p>
        </w:tc>
        <w:tc>
          <w:tcPr>
            <w:tcW w:w="656"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505A9F73" w14:textId="77777777" w:rsidR="00215A6E" w:rsidRPr="004153EA" w:rsidRDefault="00215A6E" w:rsidP="000B018C">
            <w:pPr>
              <w:spacing w:line="252" w:lineRule="auto"/>
              <w:jc w:val="center"/>
              <w:rPr>
                <w:b/>
                <w:bCs/>
                <w:sz w:val="20"/>
                <w:szCs w:val="20"/>
              </w:rPr>
            </w:pPr>
            <w:r w:rsidRPr="004153EA">
              <w:rPr>
                <w:b/>
                <w:bCs/>
                <w:color w:val="000000"/>
                <w:sz w:val="20"/>
                <w:szCs w:val="20"/>
              </w:rPr>
              <w:t>Annual Number of Responses</w:t>
            </w:r>
          </w:p>
          <w:p w14:paraId="3FA3DA57" w14:textId="77777777" w:rsidR="00215A6E" w:rsidRPr="004153EA" w:rsidRDefault="00215A6E" w:rsidP="000B018C">
            <w:pPr>
              <w:spacing w:line="276" w:lineRule="auto"/>
              <w:rPr>
                <w:rFonts w:eastAsia="Calibri"/>
                <w:b/>
                <w:sz w:val="20"/>
                <w:szCs w:val="20"/>
              </w:rPr>
            </w:pPr>
            <w:r w:rsidRPr="004153EA">
              <w:rPr>
                <w:rFonts w:eastAsia="Calibri"/>
                <w:b/>
                <w:sz w:val="20"/>
                <w:szCs w:val="20"/>
              </w:rPr>
              <w:t>(1)*(2)=(3)</w:t>
            </w:r>
          </w:p>
        </w:tc>
        <w:tc>
          <w:tcPr>
            <w:tcW w:w="618"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0BFC1419" w14:textId="77777777" w:rsidR="00215A6E" w:rsidRPr="004153EA" w:rsidRDefault="00215A6E" w:rsidP="000B018C">
            <w:pPr>
              <w:spacing w:line="276" w:lineRule="auto"/>
              <w:rPr>
                <w:rFonts w:eastAsia="Calibri"/>
                <w:b/>
                <w:sz w:val="20"/>
                <w:szCs w:val="20"/>
              </w:rPr>
            </w:pPr>
            <w:r w:rsidRPr="004153EA">
              <w:rPr>
                <w:rFonts w:eastAsia="Calibri"/>
                <w:b/>
                <w:sz w:val="20"/>
                <w:szCs w:val="20"/>
              </w:rPr>
              <w:t>Avg. Burden &amp; Cost Per Response</w:t>
            </w:r>
            <w:r w:rsidRPr="004153EA">
              <w:rPr>
                <w:rFonts w:eastAsia="Calibri"/>
                <w:b/>
                <w:sz w:val="20"/>
                <w:szCs w:val="20"/>
                <w:vertAlign w:val="superscript"/>
              </w:rPr>
              <w:footnoteReference w:id="43"/>
            </w:r>
          </w:p>
          <w:p w14:paraId="609BCA69" w14:textId="77777777" w:rsidR="00215A6E" w:rsidRPr="004153EA" w:rsidRDefault="00215A6E" w:rsidP="000B018C">
            <w:pPr>
              <w:spacing w:line="276" w:lineRule="auto"/>
              <w:rPr>
                <w:rFonts w:eastAsia="Calibri"/>
                <w:b/>
                <w:sz w:val="20"/>
                <w:szCs w:val="20"/>
              </w:rPr>
            </w:pPr>
            <w:r w:rsidRPr="004153EA">
              <w:rPr>
                <w:rFonts w:eastAsia="Calibri"/>
                <w:b/>
                <w:sz w:val="20"/>
                <w:szCs w:val="20"/>
              </w:rPr>
              <w:t>(4)</w:t>
            </w:r>
          </w:p>
        </w:tc>
        <w:tc>
          <w:tcPr>
            <w:tcW w:w="881"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53B11B59" w14:textId="77777777" w:rsidR="00215A6E" w:rsidRPr="004153EA" w:rsidRDefault="00215A6E" w:rsidP="000B018C">
            <w:pPr>
              <w:spacing w:line="252" w:lineRule="auto"/>
              <w:jc w:val="center"/>
              <w:rPr>
                <w:b/>
                <w:bCs/>
                <w:sz w:val="20"/>
                <w:szCs w:val="20"/>
              </w:rPr>
            </w:pPr>
            <w:r w:rsidRPr="004153EA">
              <w:rPr>
                <w:b/>
                <w:bCs/>
                <w:color w:val="000000"/>
                <w:sz w:val="20"/>
                <w:szCs w:val="20"/>
              </w:rPr>
              <w:t>Total Annual Burden Hours and Cost Reduction (rounded)</w:t>
            </w:r>
          </w:p>
          <w:p w14:paraId="4C73132D" w14:textId="77777777" w:rsidR="00215A6E" w:rsidRPr="004153EA" w:rsidRDefault="00215A6E" w:rsidP="000B018C">
            <w:pPr>
              <w:spacing w:line="276" w:lineRule="auto"/>
              <w:rPr>
                <w:rFonts w:eastAsia="Calibri"/>
                <w:b/>
                <w:sz w:val="20"/>
                <w:szCs w:val="20"/>
              </w:rPr>
            </w:pPr>
            <w:r w:rsidRPr="004153EA">
              <w:rPr>
                <w:rFonts w:eastAsia="Calibri"/>
                <w:b/>
                <w:sz w:val="20"/>
                <w:szCs w:val="20"/>
              </w:rPr>
              <w:t>(3)*(4)=(5)</w:t>
            </w:r>
          </w:p>
        </w:tc>
        <w:tc>
          <w:tcPr>
            <w:tcW w:w="479"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75B38A20" w14:textId="77777777" w:rsidR="00215A6E" w:rsidRPr="004153EA" w:rsidRDefault="00215A6E" w:rsidP="000B018C">
            <w:pPr>
              <w:spacing w:line="276" w:lineRule="auto"/>
              <w:rPr>
                <w:rFonts w:eastAsia="Calibri"/>
                <w:b/>
                <w:sz w:val="20"/>
                <w:szCs w:val="20"/>
              </w:rPr>
            </w:pPr>
          </w:p>
        </w:tc>
      </w:tr>
      <w:tr w:rsidR="00215A6E" w:rsidRPr="004153EA" w14:paraId="5421F524" w14:textId="77777777" w:rsidTr="000B018C">
        <w:trPr>
          <w:cantSplit/>
          <w:trHeight w:val="368"/>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cPr>
          <w:p w14:paraId="7DA23D98" w14:textId="77777777" w:rsidR="00215A6E" w:rsidRPr="004153EA" w:rsidRDefault="00215A6E" w:rsidP="000B018C">
            <w:pPr>
              <w:spacing w:line="276" w:lineRule="auto"/>
              <w:jc w:val="center"/>
              <w:rPr>
                <w:rFonts w:eastAsia="Calibri"/>
                <w:b/>
                <w:sz w:val="20"/>
                <w:szCs w:val="20"/>
              </w:rPr>
            </w:pPr>
            <w:r w:rsidRPr="004153EA">
              <w:rPr>
                <w:rFonts w:eastAsia="Calibri"/>
                <w:b/>
                <w:sz w:val="20"/>
                <w:szCs w:val="20"/>
              </w:rPr>
              <w:t xml:space="preserve">FERC-725A, OMB Control No. </w:t>
            </w:r>
            <w:r w:rsidRPr="004153EA">
              <w:rPr>
                <w:rFonts w:eastAsia="Calibri"/>
                <w:b/>
                <w:bCs/>
                <w:iCs/>
                <w:sz w:val="20"/>
                <w:szCs w:val="20"/>
              </w:rPr>
              <w:t>1902-</w:t>
            </w:r>
            <w:r w:rsidRPr="004153EA">
              <w:rPr>
                <w:rFonts w:eastAsia="Calibri"/>
                <w:b/>
                <w:sz w:val="20"/>
                <w:szCs w:val="20"/>
              </w:rPr>
              <w:t>0244</w:t>
            </w:r>
          </w:p>
        </w:tc>
      </w:tr>
      <w:tr w:rsidR="00215A6E" w:rsidRPr="004153EA" w14:paraId="773FEB78" w14:textId="77777777" w:rsidTr="004153EA">
        <w:trPr>
          <w:cantSplit/>
          <w:trHeight w:val="566"/>
        </w:trPr>
        <w:tc>
          <w:tcPr>
            <w:tcW w:w="1012" w:type="pct"/>
            <w:tcBorders>
              <w:top w:val="single" w:sz="4" w:space="0" w:color="auto"/>
              <w:left w:val="single" w:sz="4" w:space="0" w:color="auto"/>
              <w:bottom w:val="single" w:sz="4" w:space="0" w:color="auto"/>
              <w:right w:val="single" w:sz="4" w:space="0" w:color="auto"/>
            </w:tcBorders>
            <w:hideMark/>
          </w:tcPr>
          <w:p w14:paraId="35C648E9" w14:textId="77777777" w:rsidR="00215A6E" w:rsidRPr="004153EA" w:rsidRDefault="00215A6E" w:rsidP="000B018C">
            <w:pPr>
              <w:spacing w:line="276" w:lineRule="auto"/>
              <w:rPr>
                <w:rFonts w:eastAsia="Calibri"/>
                <w:sz w:val="20"/>
                <w:szCs w:val="20"/>
              </w:rPr>
            </w:pPr>
            <w:r w:rsidRPr="004153EA">
              <w:rPr>
                <w:rFonts w:eastAsia="Calibri"/>
                <w:b/>
                <w:bCs/>
                <w:sz w:val="20"/>
                <w:szCs w:val="20"/>
              </w:rPr>
              <w:t>TOP – Retired</w:t>
            </w:r>
          </w:p>
        </w:tc>
        <w:tc>
          <w:tcPr>
            <w:tcW w:w="685" w:type="pct"/>
            <w:tcBorders>
              <w:top w:val="single" w:sz="4" w:space="0" w:color="auto"/>
              <w:left w:val="single" w:sz="4" w:space="0" w:color="auto"/>
              <w:bottom w:val="single" w:sz="4" w:space="0" w:color="auto"/>
              <w:right w:val="single" w:sz="4" w:space="0" w:color="auto"/>
            </w:tcBorders>
            <w:hideMark/>
          </w:tcPr>
          <w:p w14:paraId="12E7DC87" w14:textId="77777777" w:rsidR="00215A6E" w:rsidRPr="004153EA" w:rsidRDefault="00215A6E" w:rsidP="000B018C">
            <w:pPr>
              <w:spacing w:line="276" w:lineRule="auto"/>
              <w:jc w:val="center"/>
              <w:rPr>
                <w:rFonts w:eastAsia="Calibri"/>
                <w:sz w:val="20"/>
                <w:szCs w:val="20"/>
              </w:rPr>
            </w:pPr>
            <w:r w:rsidRPr="004153EA">
              <w:rPr>
                <w:rFonts w:eastAsia="Calibri"/>
                <w:sz w:val="20"/>
                <w:szCs w:val="20"/>
              </w:rPr>
              <w:t>165</w:t>
            </w:r>
          </w:p>
        </w:tc>
        <w:tc>
          <w:tcPr>
            <w:tcW w:w="669" w:type="pct"/>
            <w:tcBorders>
              <w:top w:val="single" w:sz="4" w:space="0" w:color="auto"/>
              <w:left w:val="single" w:sz="4" w:space="0" w:color="auto"/>
              <w:bottom w:val="single" w:sz="4" w:space="0" w:color="auto"/>
              <w:right w:val="single" w:sz="4" w:space="0" w:color="auto"/>
            </w:tcBorders>
            <w:hideMark/>
          </w:tcPr>
          <w:p w14:paraId="6403DE43" w14:textId="77777777" w:rsidR="00215A6E" w:rsidRPr="004153EA" w:rsidRDefault="00215A6E" w:rsidP="000B018C">
            <w:pPr>
              <w:spacing w:line="276" w:lineRule="auto"/>
              <w:jc w:val="center"/>
              <w:rPr>
                <w:rFonts w:eastAsia="Calibri"/>
                <w:sz w:val="20"/>
                <w:szCs w:val="20"/>
              </w:rPr>
            </w:pPr>
            <w:r w:rsidRPr="004153EA">
              <w:rPr>
                <w:rFonts w:eastAsia="Calibri"/>
                <w:sz w:val="20"/>
                <w:szCs w:val="20"/>
              </w:rPr>
              <w:t>1</w:t>
            </w:r>
          </w:p>
        </w:tc>
        <w:tc>
          <w:tcPr>
            <w:tcW w:w="656" w:type="pct"/>
            <w:tcBorders>
              <w:top w:val="single" w:sz="4" w:space="0" w:color="auto"/>
              <w:left w:val="single" w:sz="4" w:space="0" w:color="auto"/>
              <w:bottom w:val="single" w:sz="4" w:space="0" w:color="auto"/>
              <w:right w:val="single" w:sz="4" w:space="0" w:color="auto"/>
            </w:tcBorders>
            <w:hideMark/>
          </w:tcPr>
          <w:p w14:paraId="0372AB87" w14:textId="77777777" w:rsidR="00215A6E" w:rsidRPr="004153EA" w:rsidRDefault="00215A6E" w:rsidP="000B018C">
            <w:pPr>
              <w:spacing w:line="276" w:lineRule="auto"/>
              <w:jc w:val="right"/>
              <w:rPr>
                <w:rFonts w:eastAsia="Calibri"/>
                <w:sz w:val="20"/>
                <w:szCs w:val="20"/>
              </w:rPr>
            </w:pPr>
            <w:r w:rsidRPr="004153EA">
              <w:rPr>
                <w:rFonts w:eastAsia="Calibri"/>
                <w:sz w:val="20"/>
                <w:szCs w:val="20"/>
              </w:rPr>
              <w:t>165</w:t>
            </w:r>
          </w:p>
        </w:tc>
        <w:tc>
          <w:tcPr>
            <w:tcW w:w="618" w:type="pct"/>
            <w:tcBorders>
              <w:top w:val="single" w:sz="4" w:space="0" w:color="auto"/>
              <w:left w:val="single" w:sz="4" w:space="0" w:color="auto"/>
              <w:bottom w:val="single" w:sz="4" w:space="0" w:color="auto"/>
              <w:right w:val="single" w:sz="4" w:space="0" w:color="auto"/>
            </w:tcBorders>
            <w:hideMark/>
          </w:tcPr>
          <w:p w14:paraId="612AFED5" w14:textId="77777777" w:rsidR="00215A6E" w:rsidRPr="004153EA" w:rsidRDefault="00215A6E" w:rsidP="000B018C">
            <w:pPr>
              <w:spacing w:line="276" w:lineRule="auto"/>
              <w:jc w:val="right"/>
              <w:rPr>
                <w:rFonts w:eastAsia="Calibri"/>
                <w:sz w:val="20"/>
                <w:szCs w:val="20"/>
              </w:rPr>
            </w:pPr>
            <w:r w:rsidRPr="004153EA">
              <w:rPr>
                <w:rFonts w:eastAsia="Calibri"/>
                <w:sz w:val="20"/>
                <w:szCs w:val="20"/>
              </w:rPr>
              <w:t>60 hrs.;</w:t>
            </w:r>
          </w:p>
          <w:p w14:paraId="497F1256" w14:textId="77777777" w:rsidR="00215A6E" w:rsidRPr="004153EA" w:rsidRDefault="00215A6E" w:rsidP="000B018C">
            <w:pPr>
              <w:spacing w:line="276" w:lineRule="auto"/>
              <w:jc w:val="right"/>
              <w:rPr>
                <w:rFonts w:eastAsia="Calibri"/>
                <w:sz w:val="20"/>
                <w:szCs w:val="20"/>
              </w:rPr>
            </w:pPr>
            <w:r w:rsidRPr="004153EA">
              <w:rPr>
                <w:rFonts w:eastAsia="Calibri"/>
                <w:sz w:val="20"/>
                <w:szCs w:val="20"/>
              </w:rPr>
              <w:t>$4,072.20</w:t>
            </w:r>
          </w:p>
        </w:tc>
        <w:tc>
          <w:tcPr>
            <w:tcW w:w="881" w:type="pct"/>
            <w:tcBorders>
              <w:top w:val="single" w:sz="4" w:space="0" w:color="auto"/>
              <w:left w:val="single" w:sz="4" w:space="0" w:color="auto"/>
              <w:bottom w:val="single" w:sz="4" w:space="0" w:color="auto"/>
              <w:right w:val="single" w:sz="4" w:space="0" w:color="auto"/>
            </w:tcBorders>
            <w:hideMark/>
          </w:tcPr>
          <w:p w14:paraId="2AEF48BB" w14:textId="77777777" w:rsidR="00215A6E" w:rsidRPr="004153EA" w:rsidRDefault="00215A6E" w:rsidP="000B018C">
            <w:pPr>
              <w:jc w:val="right"/>
              <w:rPr>
                <w:rFonts w:eastAsia="Calibri"/>
                <w:sz w:val="20"/>
                <w:szCs w:val="20"/>
              </w:rPr>
            </w:pPr>
            <w:r w:rsidRPr="004153EA">
              <w:rPr>
                <w:rFonts w:eastAsia="Calibri"/>
                <w:sz w:val="20"/>
                <w:szCs w:val="20"/>
              </w:rPr>
              <w:t>9,900 hrs.;</w:t>
            </w:r>
          </w:p>
          <w:p w14:paraId="38C5FF75" w14:textId="77777777" w:rsidR="00215A6E" w:rsidRPr="004153EA" w:rsidRDefault="00215A6E" w:rsidP="000B018C">
            <w:pPr>
              <w:spacing w:line="276" w:lineRule="auto"/>
              <w:jc w:val="right"/>
              <w:rPr>
                <w:rFonts w:eastAsia="Calibri"/>
                <w:sz w:val="20"/>
                <w:szCs w:val="20"/>
              </w:rPr>
            </w:pPr>
            <w:r w:rsidRPr="004153EA">
              <w:rPr>
                <w:rFonts w:eastAsia="Calibri"/>
                <w:sz w:val="20"/>
                <w:szCs w:val="20"/>
              </w:rPr>
              <w:t>$671,913</w:t>
            </w:r>
          </w:p>
        </w:tc>
        <w:tc>
          <w:tcPr>
            <w:tcW w:w="479" w:type="pct"/>
            <w:tcBorders>
              <w:top w:val="single" w:sz="4" w:space="0" w:color="auto"/>
              <w:left w:val="single" w:sz="4" w:space="0" w:color="auto"/>
              <w:bottom w:val="single" w:sz="4" w:space="0" w:color="auto"/>
              <w:right w:val="single" w:sz="4" w:space="0" w:color="auto"/>
            </w:tcBorders>
            <w:hideMark/>
          </w:tcPr>
          <w:p w14:paraId="1EE5F6F6" w14:textId="77777777" w:rsidR="00215A6E" w:rsidRPr="004153EA" w:rsidRDefault="00215A6E" w:rsidP="000B018C">
            <w:pPr>
              <w:spacing w:line="276" w:lineRule="auto"/>
              <w:jc w:val="right"/>
              <w:rPr>
                <w:rFonts w:eastAsia="Calibri"/>
                <w:sz w:val="20"/>
                <w:szCs w:val="20"/>
              </w:rPr>
            </w:pPr>
          </w:p>
        </w:tc>
      </w:tr>
      <w:tr w:rsidR="00215A6E" w:rsidRPr="004153EA" w14:paraId="6F6E188F" w14:textId="77777777" w:rsidTr="004153EA">
        <w:trPr>
          <w:cantSplit/>
          <w:trHeight w:val="170"/>
        </w:trPr>
        <w:tc>
          <w:tcPr>
            <w:tcW w:w="1012" w:type="pct"/>
            <w:tcBorders>
              <w:top w:val="single" w:sz="4" w:space="0" w:color="auto"/>
              <w:left w:val="single" w:sz="4" w:space="0" w:color="auto"/>
              <w:bottom w:val="single" w:sz="4" w:space="0" w:color="auto"/>
              <w:right w:val="single" w:sz="4" w:space="0" w:color="auto"/>
            </w:tcBorders>
          </w:tcPr>
          <w:p w14:paraId="6A394BF5" w14:textId="77777777" w:rsidR="00215A6E" w:rsidRPr="004153EA" w:rsidRDefault="00215A6E" w:rsidP="000B018C">
            <w:pPr>
              <w:spacing w:line="276" w:lineRule="auto"/>
              <w:rPr>
                <w:rFonts w:eastAsia="Calibri"/>
                <w:sz w:val="20"/>
                <w:szCs w:val="20"/>
              </w:rPr>
            </w:pPr>
            <w:r w:rsidRPr="004153EA">
              <w:rPr>
                <w:rFonts w:eastAsia="Calibri"/>
                <w:b/>
                <w:bCs/>
                <w:sz w:val="20"/>
                <w:szCs w:val="20"/>
              </w:rPr>
              <w:lastRenderedPageBreak/>
              <w:t>TSP – Retired</w:t>
            </w:r>
          </w:p>
        </w:tc>
        <w:tc>
          <w:tcPr>
            <w:tcW w:w="685" w:type="pct"/>
            <w:tcBorders>
              <w:top w:val="single" w:sz="4" w:space="0" w:color="auto"/>
              <w:left w:val="single" w:sz="4" w:space="0" w:color="auto"/>
              <w:bottom w:val="single" w:sz="4" w:space="0" w:color="auto"/>
              <w:right w:val="single" w:sz="4" w:space="0" w:color="auto"/>
            </w:tcBorders>
          </w:tcPr>
          <w:p w14:paraId="3323EF77" w14:textId="77777777" w:rsidR="00215A6E" w:rsidRPr="004153EA" w:rsidRDefault="00215A6E" w:rsidP="000B018C">
            <w:pPr>
              <w:spacing w:line="276" w:lineRule="auto"/>
              <w:jc w:val="center"/>
              <w:rPr>
                <w:rFonts w:eastAsia="Calibri"/>
                <w:sz w:val="20"/>
                <w:szCs w:val="20"/>
              </w:rPr>
            </w:pPr>
            <w:r w:rsidRPr="004153EA">
              <w:rPr>
                <w:rFonts w:eastAsia="Calibri"/>
                <w:sz w:val="20"/>
                <w:szCs w:val="20"/>
              </w:rPr>
              <w:t>71</w:t>
            </w:r>
          </w:p>
        </w:tc>
        <w:tc>
          <w:tcPr>
            <w:tcW w:w="669" w:type="pct"/>
            <w:tcBorders>
              <w:top w:val="single" w:sz="4" w:space="0" w:color="auto"/>
              <w:left w:val="single" w:sz="4" w:space="0" w:color="auto"/>
              <w:bottom w:val="single" w:sz="4" w:space="0" w:color="auto"/>
              <w:right w:val="single" w:sz="4" w:space="0" w:color="auto"/>
            </w:tcBorders>
          </w:tcPr>
          <w:p w14:paraId="04A66C92" w14:textId="77777777" w:rsidR="00215A6E" w:rsidRPr="004153EA" w:rsidRDefault="00215A6E" w:rsidP="000B018C">
            <w:pPr>
              <w:spacing w:line="276" w:lineRule="auto"/>
              <w:jc w:val="center"/>
              <w:rPr>
                <w:rFonts w:eastAsia="Calibri"/>
                <w:sz w:val="20"/>
                <w:szCs w:val="20"/>
              </w:rPr>
            </w:pPr>
            <w:r w:rsidRPr="004153EA">
              <w:rPr>
                <w:rFonts w:eastAsia="Calibri"/>
                <w:sz w:val="20"/>
                <w:szCs w:val="20"/>
              </w:rPr>
              <w:t>1</w:t>
            </w:r>
          </w:p>
        </w:tc>
        <w:tc>
          <w:tcPr>
            <w:tcW w:w="656" w:type="pct"/>
            <w:tcBorders>
              <w:top w:val="single" w:sz="4" w:space="0" w:color="auto"/>
              <w:left w:val="single" w:sz="4" w:space="0" w:color="auto"/>
              <w:bottom w:val="single" w:sz="4" w:space="0" w:color="auto"/>
              <w:right w:val="single" w:sz="4" w:space="0" w:color="auto"/>
            </w:tcBorders>
          </w:tcPr>
          <w:p w14:paraId="7F9FC353" w14:textId="77777777" w:rsidR="00215A6E" w:rsidRPr="004153EA" w:rsidRDefault="00215A6E" w:rsidP="000B018C">
            <w:pPr>
              <w:spacing w:line="276" w:lineRule="auto"/>
              <w:jc w:val="right"/>
              <w:rPr>
                <w:rFonts w:eastAsia="Calibri"/>
                <w:sz w:val="20"/>
                <w:szCs w:val="20"/>
              </w:rPr>
            </w:pPr>
            <w:r w:rsidRPr="004153EA">
              <w:rPr>
                <w:rFonts w:eastAsia="Calibri"/>
                <w:sz w:val="20"/>
                <w:szCs w:val="20"/>
              </w:rPr>
              <w:t>71</w:t>
            </w:r>
          </w:p>
        </w:tc>
        <w:tc>
          <w:tcPr>
            <w:tcW w:w="618" w:type="pct"/>
            <w:tcBorders>
              <w:top w:val="single" w:sz="4" w:space="0" w:color="auto"/>
              <w:left w:val="single" w:sz="4" w:space="0" w:color="auto"/>
              <w:bottom w:val="single" w:sz="4" w:space="0" w:color="auto"/>
              <w:right w:val="single" w:sz="4" w:space="0" w:color="auto"/>
            </w:tcBorders>
          </w:tcPr>
          <w:p w14:paraId="2F154063" w14:textId="77777777" w:rsidR="00215A6E" w:rsidRPr="004153EA" w:rsidRDefault="00215A6E" w:rsidP="000B018C">
            <w:pPr>
              <w:spacing w:line="276" w:lineRule="auto"/>
              <w:jc w:val="right"/>
              <w:rPr>
                <w:rFonts w:eastAsia="Calibri"/>
                <w:sz w:val="20"/>
                <w:szCs w:val="20"/>
              </w:rPr>
            </w:pPr>
            <w:r w:rsidRPr="004153EA">
              <w:rPr>
                <w:rFonts w:eastAsia="Calibri"/>
                <w:sz w:val="20"/>
                <w:szCs w:val="20"/>
              </w:rPr>
              <w:t>60 hrs.;</w:t>
            </w:r>
          </w:p>
          <w:p w14:paraId="5D53EBE8" w14:textId="77777777" w:rsidR="00215A6E" w:rsidRPr="004153EA" w:rsidRDefault="00215A6E" w:rsidP="000B018C">
            <w:pPr>
              <w:spacing w:line="276" w:lineRule="auto"/>
              <w:jc w:val="right"/>
              <w:rPr>
                <w:rFonts w:eastAsia="Calibri"/>
                <w:sz w:val="20"/>
                <w:szCs w:val="20"/>
              </w:rPr>
            </w:pPr>
            <w:r w:rsidRPr="004153EA">
              <w:rPr>
                <w:rFonts w:eastAsia="Calibri"/>
                <w:sz w:val="20"/>
                <w:szCs w:val="20"/>
              </w:rPr>
              <w:t>$4,072.20</w:t>
            </w:r>
          </w:p>
        </w:tc>
        <w:tc>
          <w:tcPr>
            <w:tcW w:w="881" w:type="pct"/>
            <w:tcBorders>
              <w:top w:val="single" w:sz="4" w:space="0" w:color="auto"/>
              <w:left w:val="single" w:sz="4" w:space="0" w:color="auto"/>
              <w:bottom w:val="single" w:sz="4" w:space="0" w:color="auto"/>
              <w:right w:val="single" w:sz="4" w:space="0" w:color="auto"/>
            </w:tcBorders>
          </w:tcPr>
          <w:p w14:paraId="778E0A3B" w14:textId="77777777" w:rsidR="00215A6E" w:rsidRPr="004153EA" w:rsidRDefault="00215A6E" w:rsidP="000B018C">
            <w:pPr>
              <w:jc w:val="right"/>
              <w:rPr>
                <w:rFonts w:eastAsia="Calibri"/>
                <w:sz w:val="20"/>
                <w:szCs w:val="20"/>
              </w:rPr>
            </w:pPr>
            <w:r w:rsidRPr="004153EA">
              <w:rPr>
                <w:rFonts w:eastAsia="Calibri"/>
                <w:sz w:val="20"/>
                <w:szCs w:val="20"/>
              </w:rPr>
              <w:t>4,260 hrs.;</w:t>
            </w:r>
          </w:p>
          <w:p w14:paraId="1F2B694E" w14:textId="77777777" w:rsidR="00215A6E" w:rsidRPr="004153EA" w:rsidRDefault="00215A6E" w:rsidP="000B018C">
            <w:pPr>
              <w:spacing w:line="276" w:lineRule="auto"/>
              <w:jc w:val="right"/>
              <w:rPr>
                <w:rFonts w:eastAsia="Calibri"/>
                <w:sz w:val="20"/>
                <w:szCs w:val="20"/>
              </w:rPr>
            </w:pPr>
            <w:r w:rsidRPr="004153EA">
              <w:rPr>
                <w:rFonts w:eastAsia="Calibri"/>
                <w:sz w:val="20"/>
                <w:szCs w:val="20"/>
              </w:rPr>
              <w:t>$289,126.20</w:t>
            </w:r>
          </w:p>
        </w:tc>
        <w:tc>
          <w:tcPr>
            <w:tcW w:w="479" w:type="pct"/>
            <w:tcBorders>
              <w:top w:val="single" w:sz="4" w:space="0" w:color="auto"/>
              <w:left w:val="single" w:sz="4" w:space="0" w:color="auto"/>
              <w:bottom w:val="single" w:sz="4" w:space="0" w:color="auto"/>
              <w:right w:val="single" w:sz="4" w:space="0" w:color="auto"/>
            </w:tcBorders>
          </w:tcPr>
          <w:p w14:paraId="5F739027" w14:textId="77777777" w:rsidR="00215A6E" w:rsidRPr="004153EA" w:rsidRDefault="00215A6E" w:rsidP="000B018C">
            <w:pPr>
              <w:spacing w:line="276" w:lineRule="auto"/>
              <w:jc w:val="right"/>
              <w:rPr>
                <w:rFonts w:eastAsia="Calibri"/>
                <w:sz w:val="20"/>
                <w:szCs w:val="20"/>
              </w:rPr>
            </w:pPr>
          </w:p>
        </w:tc>
      </w:tr>
      <w:tr w:rsidR="00215A6E" w:rsidRPr="004153EA" w14:paraId="613057D4" w14:textId="77777777" w:rsidTr="004153EA">
        <w:trPr>
          <w:cantSplit/>
          <w:trHeight w:val="530"/>
        </w:trPr>
        <w:tc>
          <w:tcPr>
            <w:tcW w:w="1012" w:type="pct"/>
            <w:tcBorders>
              <w:top w:val="single" w:sz="4" w:space="0" w:color="auto"/>
              <w:left w:val="single" w:sz="4" w:space="0" w:color="auto"/>
              <w:bottom w:val="single" w:sz="4" w:space="0" w:color="auto"/>
              <w:right w:val="single" w:sz="4" w:space="0" w:color="auto"/>
            </w:tcBorders>
          </w:tcPr>
          <w:p w14:paraId="6DB11178" w14:textId="77777777" w:rsidR="00215A6E" w:rsidRPr="004153EA" w:rsidRDefault="00215A6E" w:rsidP="000B018C">
            <w:pPr>
              <w:spacing w:line="276" w:lineRule="auto"/>
              <w:rPr>
                <w:rFonts w:eastAsia="Calibri"/>
                <w:bCs/>
                <w:sz w:val="20"/>
                <w:szCs w:val="20"/>
              </w:rPr>
            </w:pPr>
            <w:r w:rsidRPr="004153EA">
              <w:rPr>
                <w:rFonts w:eastAsia="Calibri"/>
                <w:b/>
                <w:sz w:val="20"/>
                <w:szCs w:val="20"/>
              </w:rPr>
              <w:t>Total for MOD-029-2a for Retired</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F81B9C" w14:textId="77777777" w:rsidR="00215A6E" w:rsidRPr="004153EA" w:rsidRDefault="00215A6E" w:rsidP="000B018C">
            <w:pPr>
              <w:spacing w:line="276" w:lineRule="auto"/>
              <w:jc w:val="right"/>
              <w:rPr>
                <w:rFonts w:eastAsia="Calibri"/>
                <w:sz w:val="20"/>
                <w:szCs w:val="20"/>
              </w:rPr>
            </w:pPr>
          </w:p>
        </w:tc>
        <w:tc>
          <w:tcPr>
            <w:tcW w:w="66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48029F" w14:textId="77777777" w:rsidR="00215A6E" w:rsidRPr="004153EA" w:rsidRDefault="00215A6E" w:rsidP="000B018C">
            <w:pPr>
              <w:spacing w:line="276" w:lineRule="auto"/>
              <w:jc w:val="right"/>
              <w:rPr>
                <w:rFonts w:eastAsia="Calibri"/>
                <w:sz w:val="20"/>
                <w:szCs w:val="20"/>
              </w:rPr>
            </w:pPr>
          </w:p>
        </w:tc>
        <w:tc>
          <w:tcPr>
            <w:tcW w:w="65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99442A" w14:textId="77777777" w:rsidR="00215A6E" w:rsidRPr="004153EA" w:rsidRDefault="00215A6E" w:rsidP="000B018C">
            <w:pPr>
              <w:spacing w:line="276" w:lineRule="auto"/>
              <w:jc w:val="right"/>
              <w:rPr>
                <w:rFonts w:eastAsia="Calibri"/>
                <w:sz w:val="20"/>
                <w:szCs w:val="20"/>
              </w:rPr>
            </w:pPr>
          </w:p>
        </w:tc>
        <w:tc>
          <w:tcPr>
            <w:tcW w:w="61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D8ADCA" w14:textId="77777777" w:rsidR="00215A6E" w:rsidRPr="004153EA" w:rsidRDefault="00215A6E" w:rsidP="000B018C">
            <w:pPr>
              <w:spacing w:line="276" w:lineRule="auto"/>
              <w:jc w:val="right"/>
              <w:rPr>
                <w:rFonts w:eastAsia="Calibri"/>
                <w:sz w:val="20"/>
                <w:szCs w:val="20"/>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538FF081" w14:textId="77777777" w:rsidR="00215A6E" w:rsidRPr="004153EA" w:rsidRDefault="00215A6E" w:rsidP="000B018C">
            <w:pPr>
              <w:jc w:val="right"/>
              <w:rPr>
                <w:rFonts w:eastAsia="Calibri"/>
                <w:b/>
                <w:sz w:val="20"/>
                <w:szCs w:val="20"/>
              </w:rPr>
            </w:pPr>
            <w:r w:rsidRPr="004153EA">
              <w:rPr>
                <w:rFonts w:eastAsia="Calibri"/>
                <w:b/>
                <w:bCs/>
                <w:sz w:val="20"/>
                <w:szCs w:val="20"/>
              </w:rPr>
              <w:t>14,160 hrs</w:t>
            </w:r>
            <w:r w:rsidRPr="004153EA">
              <w:rPr>
                <w:rFonts w:eastAsia="Calibri"/>
                <w:b/>
                <w:sz w:val="20"/>
                <w:szCs w:val="20"/>
              </w:rPr>
              <w:t>.;</w:t>
            </w:r>
          </w:p>
          <w:p w14:paraId="540A61B3" w14:textId="77777777" w:rsidR="00215A6E" w:rsidRPr="004153EA" w:rsidRDefault="00215A6E" w:rsidP="000B018C">
            <w:pPr>
              <w:spacing w:line="276" w:lineRule="auto"/>
              <w:jc w:val="right"/>
              <w:rPr>
                <w:rFonts w:eastAsia="Calibri"/>
                <w:sz w:val="20"/>
                <w:szCs w:val="20"/>
              </w:rPr>
            </w:pPr>
            <w:r w:rsidRPr="004153EA">
              <w:rPr>
                <w:rFonts w:eastAsia="Calibri"/>
                <w:b/>
                <w:sz w:val="20"/>
                <w:szCs w:val="20"/>
              </w:rPr>
              <w:t>$961,039.20</w:t>
            </w:r>
          </w:p>
        </w:tc>
        <w:tc>
          <w:tcPr>
            <w:tcW w:w="47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52EBE4" w14:textId="77777777" w:rsidR="00215A6E" w:rsidRPr="004153EA" w:rsidRDefault="00215A6E" w:rsidP="000B018C">
            <w:pPr>
              <w:spacing w:line="276" w:lineRule="auto"/>
              <w:jc w:val="right"/>
              <w:rPr>
                <w:rFonts w:eastAsia="Calibri"/>
                <w:sz w:val="20"/>
                <w:szCs w:val="20"/>
                <w:highlight w:val="lightGray"/>
              </w:rPr>
            </w:pPr>
          </w:p>
        </w:tc>
      </w:tr>
    </w:tbl>
    <w:p w14:paraId="16A63D3B" w14:textId="77777777" w:rsidR="00215A6E" w:rsidRDefault="00215A6E" w:rsidP="00215A6E"/>
    <w:tbl>
      <w:tblPr>
        <w:tblW w:w="5390"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038"/>
        <w:gridCol w:w="1383"/>
        <w:gridCol w:w="1530"/>
        <w:gridCol w:w="1709"/>
        <w:gridCol w:w="1530"/>
        <w:gridCol w:w="1889"/>
      </w:tblGrid>
      <w:tr w:rsidR="00215A6E" w:rsidRPr="004153EA" w14:paraId="5A769A19" w14:textId="77777777" w:rsidTr="000B018C">
        <w:trPr>
          <w:cantSplit/>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14:paraId="2AD445E8" w14:textId="77777777" w:rsidR="00215A6E" w:rsidRPr="004153EA" w:rsidRDefault="00215A6E" w:rsidP="004153EA">
            <w:pPr>
              <w:keepLines/>
              <w:spacing w:line="276" w:lineRule="auto"/>
              <w:jc w:val="center"/>
              <w:rPr>
                <w:rFonts w:eastAsia="Calibri"/>
                <w:b/>
                <w:sz w:val="20"/>
                <w:szCs w:val="20"/>
              </w:rPr>
            </w:pPr>
            <w:r w:rsidRPr="004153EA">
              <w:rPr>
                <w:rFonts w:eastAsia="Calibri"/>
                <w:b/>
                <w:sz w:val="20"/>
                <w:szCs w:val="20"/>
              </w:rPr>
              <w:t xml:space="preserve">MOD-030-2 – </w:t>
            </w:r>
            <w:proofErr w:type="spellStart"/>
            <w:r w:rsidRPr="004153EA">
              <w:rPr>
                <w:rFonts w:eastAsia="Calibri"/>
                <w:b/>
                <w:sz w:val="20"/>
                <w:szCs w:val="20"/>
              </w:rPr>
              <w:t>Flowgate</w:t>
            </w:r>
            <w:proofErr w:type="spellEnd"/>
            <w:r w:rsidRPr="004153EA">
              <w:rPr>
                <w:rFonts w:eastAsia="Calibri"/>
                <w:b/>
                <w:sz w:val="20"/>
                <w:szCs w:val="20"/>
              </w:rPr>
              <w:t xml:space="preserve"> Methodology </w:t>
            </w:r>
          </w:p>
          <w:p w14:paraId="2C8A8E01" w14:textId="77777777" w:rsidR="00215A6E" w:rsidRPr="004153EA" w:rsidRDefault="00215A6E" w:rsidP="004153EA">
            <w:pPr>
              <w:keepLines/>
              <w:spacing w:line="276" w:lineRule="auto"/>
              <w:jc w:val="center"/>
              <w:rPr>
                <w:rFonts w:eastAsia="Calibri"/>
                <w:b/>
                <w:sz w:val="20"/>
                <w:szCs w:val="20"/>
              </w:rPr>
            </w:pPr>
            <w:r w:rsidRPr="004153EA">
              <w:rPr>
                <w:b/>
                <w:bCs/>
                <w:sz w:val="20"/>
                <w:szCs w:val="20"/>
              </w:rPr>
              <w:t>Retirement (Burden Reduction)</w:t>
            </w:r>
          </w:p>
        </w:tc>
      </w:tr>
      <w:tr w:rsidR="00215A6E" w:rsidRPr="004153EA" w14:paraId="5928567C" w14:textId="77777777" w:rsidTr="004153EA">
        <w:trPr>
          <w:cantSplit/>
          <w:trHeight w:val="1385"/>
        </w:trPr>
        <w:tc>
          <w:tcPr>
            <w:tcW w:w="1011"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130293D7" w14:textId="77777777" w:rsidR="00215A6E" w:rsidRPr="004153EA" w:rsidRDefault="00215A6E" w:rsidP="004153EA">
            <w:pPr>
              <w:keepLines/>
              <w:spacing w:line="276" w:lineRule="auto"/>
              <w:rPr>
                <w:rFonts w:eastAsia="Calibri"/>
                <w:b/>
                <w:sz w:val="20"/>
                <w:szCs w:val="20"/>
              </w:rPr>
            </w:pPr>
            <w:r w:rsidRPr="004153EA">
              <w:rPr>
                <w:b/>
                <w:bCs/>
                <w:color w:val="000000"/>
                <w:sz w:val="20"/>
                <w:szCs w:val="20"/>
              </w:rPr>
              <w:t>Applicable Entity (Respondent)</w:t>
            </w:r>
          </w:p>
        </w:tc>
        <w:tc>
          <w:tcPr>
            <w:tcW w:w="686"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64EE6204" w14:textId="77777777" w:rsidR="00215A6E" w:rsidRPr="004153EA" w:rsidRDefault="00215A6E" w:rsidP="004153EA">
            <w:pPr>
              <w:keepLines/>
              <w:spacing w:line="276" w:lineRule="auto"/>
              <w:rPr>
                <w:rFonts w:eastAsia="Calibri"/>
                <w:b/>
                <w:sz w:val="20"/>
                <w:szCs w:val="20"/>
              </w:rPr>
            </w:pPr>
            <w:r w:rsidRPr="004153EA">
              <w:rPr>
                <w:rFonts w:eastAsia="Calibri"/>
                <w:b/>
                <w:sz w:val="20"/>
                <w:szCs w:val="20"/>
              </w:rPr>
              <w:t>Number of Respondents</w:t>
            </w:r>
            <w:r w:rsidRPr="004153EA">
              <w:rPr>
                <w:rFonts w:eastAsia="Calibri"/>
                <w:b/>
                <w:sz w:val="20"/>
                <w:szCs w:val="20"/>
              </w:rPr>
              <w:br/>
              <w:t>(1)</w:t>
            </w:r>
          </w:p>
        </w:tc>
        <w:tc>
          <w:tcPr>
            <w:tcW w:w="759"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28331529" w14:textId="77777777" w:rsidR="00215A6E" w:rsidRPr="004153EA" w:rsidRDefault="00215A6E" w:rsidP="004153EA">
            <w:pPr>
              <w:keepLines/>
              <w:spacing w:line="276" w:lineRule="auto"/>
              <w:rPr>
                <w:rFonts w:eastAsia="Calibri"/>
                <w:b/>
                <w:sz w:val="20"/>
                <w:szCs w:val="20"/>
              </w:rPr>
            </w:pPr>
            <w:r w:rsidRPr="004153EA">
              <w:rPr>
                <w:rFonts w:eastAsia="Calibri"/>
                <w:b/>
                <w:sz w:val="20"/>
                <w:szCs w:val="20"/>
              </w:rPr>
              <w:t>Annual Number of Responses per Respondent (2)</w:t>
            </w:r>
          </w:p>
        </w:tc>
        <w:tc>
          <w:tcPr>
            <w:tcW w:w="848"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4ABF9A57" w14:textId="77777777" w:rsidR="00215A6E" w:rsidRPr="004153EA" w:rsidRDefault="00215A6E" w:rsidP="004153EA">
            <w:pPr>
              <w:keepLines/>
              <w:spacing w:line="252" w:lineRule="auto"/>
              <w:jc w:val="center"/>
              <w:rPr>
                <w:b/>
                <w:bCs/>
                <w:sz w:val="20"/>
                <w:szCs w:val="20"/>
              </w:rPr>
            </w:pPr>
            <w:r w:rsidRPr="004153EA">
              <w:rPr>
                <w:b/>
                <w:bCs/>
                <w:color w:val="000000"/>
                <w:sz w:val="20"/>
                <w:szCs w:val="20"/>
              </w:rPr>
              <w:t>Annual Number of Responses</w:t>
            </w:r>
          </w:p>
          <w:p w14:paraId="3390CA48" w14:textId="77777777" w:rsidR="00215A6E" w:rsidRPr="004153EA" w:rsidRDefault="00215A6E" w:rsidP="004153EA">
            <w:pPr>
              <w:keepLines/>
              <w:spacing w:line="276" w:lineRule="auto"/>
              <w:rPr>
                <w:rFonts w:eastAsia="Calibri"/>
                <w:b/>
                <w:sz w:val="20"/>
                <w:szCs w:val="20"/>
              </w:rPr>
            </w:pPr>
            <w:r w:rsidRPr="004153EA">
              <w:rPr>
                <w:rFonts w:eastAsia="Calibri"/>
                <w:b/>
                <w:sz w:val="20"/>
                <w:szCs w:val="20"/>
              </w:rPr>
              <w:t>(1)*(2)=(3)</w:t>
            </w:r>
          </w:p>
        </w:tc>
        <w:tc>
          <w:tcPr>
            <w:tcW w:w="759"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54ACFB5B" w14:textId="77777777" w:rsidR="00215A6E" w:rsidRPr="004153EA" w:rsidRDefault="00215A6E" w:rsidP="004153EA">
            <w:pPr>
              <w:keepLines/>
              <w:spacing w:line="276" w:lineRule="auto"/>
              <w:rPr>
                <w:rFonts w:eastAsia="Calibri"/>
                <w:b/>
                <w:sz w:val="20"/>
                <w:szCs w:val="20"/>
              </w:rPr>
            </w:pPr>
            <w:r w:rsidRPr="004153EA">
              <w:rPr>
                <w:rFonts w:eastAsia="Calibri"/>
                <w:b/>
                <w:sz w:val="20"/>
                <w:szCs w:val="20"/>
              </w:rPr>
              <w:t>Avg. Burden &amp; Cost Per Response</w:t>
            </w:r>
            <w:r w:rsidRPr="004153EA">
              <w:rPr>
                <w:rFonts w:eastAsia="Calibri"/>
                <w:b/>
                <w:sz w:val="20"/>
                <w:szCs w:val="20"/>
                <w:vertAlign w:val="superscript"/>
              </w:rPr>
              <w:footnoteReference w:id="44"/>
            </w:r>
          </w:p>
          <w:p w14:paraId="0B33ABAD" w14:textId="77777777" w:rsidR="00215A6E" w:rsidRPr="004153EA" w:rsidRDefault="00215A6E" w:rsidP="004153EA">
            <w:pPr>
              <w:keepLines/>
              <w:spacing w:line="276" w:lineRule="auto"/>
              <w:rPr>
                <w:rFonts w:eastAsia="Calibri"/>
                <w:b/>
                <w:sz w:val="20"/>
                <w:szCs w:val="20"/>
              </w:rPr>
            </w:pPr>
            <w:r w:rsidRPr="004153EA">
              <w:rPr>
                <w:rFonts w:eastAsia="Calibri"/>
                <w:b/>
                <w:sz w:val="20"/>
                <w:szCs w:val="20"/>
              </w:rPr>
              <w:t>(4)</w:t>
            </w:r>
          </w:p>
        </w:tc>
        <w:tc>
          <w:tcPr>
            <w:tcW w:w="937"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584DC89D" w14:textId="77777777" w:rsidR="00215A6E" w:rsidRPr="004153EA" w:rsidRDefault="00215A6E" w:rsidP="004153EA">
            <w:pPr>
              <w:keepLines/>
              <w:spacing w:line="252" w:lineRule="auto"/>
              <w:jc w:val="center"/>
              <w:rPr>
                <w:b/>
                <w:bCs/>
                <w:sz w:val="20"/>
                <w:szCs w:val="20"/>
              </w:rPr>
            </w:pPr>
            <w:r w:rsidRPr="004153EA">
              <w:rPr>
                <w:b/>
                <w:bCs/>
                <w:color w:val="000000"/>
                <w:sz w:val="20"/>
                <w:szCs w:val="20"/>
              </w:rPr>
              <w:t>Total Annual Burden Hours and Cost Reduction (rounded)</w:t>
            </w:r>
          </w:p>
          <w:p w14:paraId="3B1614CA" w14:textId="77777777" w:rsidR="00215A6E" w:rsidRPr="004153EA" w:rsidRDefault="00215A6E" w:rsidP="004153EA">
            <w:pPr>
              <w:keepLines/>
              <w:spacing w:line="276" w:lineRule="auto"/>
              <w:rPr>
                <w:rFonts w:eastAsia="Calibri"/>
                <w:b/>
                <w:sz w:val="20"/>
                <w:szCs w:val="20"/>
              </w:rPr>
            </w:pPr>
            <w:r w:rsidRPr="004153EA">
              <w:rPr>
                <w:rFonts w:eastAsia="Calibri"/>
                <w:b/>
                <w:sz w:val="20"/>
                <w:szCs w:val="20"/>
              </w:rPr>
              <w:t>(3)*(4)=(5)</w:t>
            </w:r>
          </w:p>
        </w:tc>
      </w:tr>
      <w:tr w:rsidR="00215A6E" w:rsidRPr="004153EA" w14:paraId="11903838" w14:textId="77777777" w:rsidTr="000B018C">
        <w:trPr>
          <w:cantSplit/>
          <w:trHeight w:val="368"/>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cPr>
          <w:p w14:paraId="7B8AA95C" w14:textId="77777777" w:rsidR="00215A6E" w:rsidRPr="004153EA" w:rsidRDefault="00215A6E" w:rsidP="004153EA">
            <w:pPr>
              <w:keepLines/>
              <w:spacing w:line="276" w:lineRule="auto"/>
              <w:jc w:val="center"/>
              <w:rPr>
                <w:rFonts w:eastAsia="Calibri"/>
                <w:b/>
                <w:sz w:val="20"/>
                <w:szCs w:val="20"/>
              </w:rPr>
            </w:pPr>
            <w:r w:rsidRPr="004153EA">
              <w:rPr>
                <w:rFonts w:eastAsia="Calibri"/>
                <w:b/>
                <w:sz w:val="20"/>
                <w:szCs w:val="20"/>
              </w:rPr>
              <w:t xml:space="preserve">FERC-725A, OMB Control No. </w:t>
            </w:r>
            <w:r w:rsidRPr="004153EA">
              <w:rPr>
                <w:rFonts w:eastAsia="Calibri"/>
                <w:b/>
                <w:bCs/>
                <w:iCs/>
                <w:sz w:val="20"/>
                <w:szCs w:val="20"/>
              </w:rPr>
              <w:t>1902-</w:t>
            </w:r>
            <w:r w:rsidRPr="004153EA">
              <w:rPr>
                <w:rFonts w:eastAsia="Calibri"/>
                <w:b/>
                <w:sz w:val="20"/>
                <w:szCs w:val="20"/>
              </w:rPr>
              <w:t>0244</w:t>
            </w:r>
          </w:p>
        </w:tc>
      </w:tr>
      <w:tr w:rsidR="00215A6E" w:rsidRPr="004153EA" w14:paraId="7FA38BA6" w14:textId="77777777" w:rsidTr="004153EA">
        <w:trPr>
          <w:cantSplit/>
          <w:trHeight w:val="620"/>
        </w:trPr>
        <w:tc>
          <w:tcPr>
            <w:tcW w:w="1011" w:type="pct"/>
            <w:tcBorders>
              <w:top w:val="single" w:sz="4" w:space="0" w:color="auto"/>
              <w:left w:val="single" w:sz="4" w:space="0" w:color="auto"/>
              <w:bottom w:val="single" w:sz="4" w:space="0" w:color="auto"/>
              <w:right w:val="single" w:sz="4" w:space="0" w:color="auto"/>
            </w:tcBorders>
            <w:hideMark/>
          </w:tcPr>
          <w:p w14:paraId="64C97151" w14:textId="77777777" w:rsidR="00215A6E" w:rsidRPr="004153EA" w:rsidRDefault="00215A6E" w:rsidP="004153EA">
            <w:pPr>
              <w:keepLines/>
              <w:spacing w:line="276" w:lineRule="auto"/>
              <w:rPr>
                <w:rFonts w:eastAsia="Calibri"/>
                <w:sz w:val="20"/>
                <w:szCs w:val="20"/>
              </w:rPr>
            </w:pPr>
            <w:r w:rsidRPr="004153EA">
              <w:rPr>
                <w:rFonts w:eastAsia="Calibri"/>
                <w:b/>
                <w:bCs/>
                <w:sz w:val="20"/>
                <w:szCs w:val="20"/>
              </w:rPr>
              <w:t>TOP – Retired</w:t>
            </w:r>
          </w:p>
        </w:tc>
        <w:tc>
          <w:tcPr>
            <w:tcW w:w="686" w:type="pct"/>
            <w:tcBorders>
              <w:top w:val="single" w:sz="4" w:space="0" w:color="auto"/>
              <w:left w:val="single" w:sz="4" w:space="0" w:color="auto"/>
              <w:bottom w:val="single" w:sz="4" w:space="0" w:color="auto"/>
              <w:right w:val="single" w:sz="4" w:space="0" w:color="auto"/>
            </w:tcBorders>
            <w:hideMark/>
          </w:tcPr>
          <w:p w14:paraId="1F0D1A60" w14:textId="77777777" w:rsidR="00215A6E" w:rsidRPr="004153EA" w:rsidRDefault="00215A6E" w:rsidP="004153EA">
            <w:pPr>
              <w:keepLines/>
              <w:spacing w:line="276" w:lineRule="auto"/>
              <w:jc w:val="center"/>
              <w:rPr>
                <w:rFonts w:eastAsia="Calibri"/>
                <w:sz w:val="20"/>
                <w:szCs w:val="20"/>
              </w:rPr>
            </w:pPr>
            <w:r w:rsidRPr="004153EA">
              <w:rPr>
                <w:rFonts w:eastAsia="Calibri"/>
                <w:sz w:val="20"/>
                <w:szCs w:val="20"/>
              </w:rPr>
              <w:t>165</w:t>
            </w:r>
          </w:p>
        </w:tc>
        <w:tc>
          <w:tcPr>
            <w:tcW w:w="759" w:type="pct"/>
            <w:tcBorders>
              <w:top w:val="single" w:sz="4" w:space="0" w:color="auto"/>
              <w:left w:val="single" w:sz="4" w:space="0" w:color="auto"/>
              <w:bottom w:val="single" w:sz="4" w:space="0" w:color="auto"/>
              <w:right w:val="single" w:sz="4" w:space="0" w:color="auto"/>
            </w:tcBorders>
            <w:hideMark/>
          </w:tcPr>
          <w:p w14:paraId="54B9A892" w14:textId="77777777" w:rsidR="00215A6E" w:rsidRPr="004153EA" w:rsidRDefault="00215A6E" w:rsidP="004153EA">
            <w:pPr>
              <w:keepLines/>
              <w:spacing w:line="276" w:lineRule="auto"/>
              <w:jc w:val="center"/>
              <w:rPr>
                <w:rFonts w:eastAsia="Calibri"/>
                <w:sz w:val="20"/>
                <w:szCs w:val="20"/>
              </w:rPr>
            </w:pPr>
            <w:r w:rsidRPr="004153EA">
              <w:rPr>
                <w:rFonts w:eastAsia="Calibri"/>
                <w:sz w:val="20"/>
                <w:szCs w:val="20"/>
              </w:rPr>
              <w:t>1</w:t>
            </w:r>
          </w:p>
        </w:tc>
        <w:tc>
          <w:tcPr>
            <w:tcW w:w="848" w:type="pct"/>
            <w:tcBorders>
              <w:top w:val="single" w:sz="4" w:space="0" w:color="auto"/>
              <w:left w:val="single" w:sz="4" w:space="0" w:color="auto"/>
              <w:bottom w:val="single" w:sz="4" w:space="0" w:color="auto"/>
              <w:right w:val="single" w:sz="4" w:space="0" w:color="auto"/>
            </w:tcBorders>
            <w:hideMark/>
          </w:tcPr>
          <w:p w14:paraId="7184BEC1" w14:textId="77777777" w:rsidR="00215A6E" w:rsidRPr="004153EA" w:rsidRDefault="00215A6E" w:rsidP="004153EA">
            <w:pPr>
              <w:keepLines/>
              <w:spacing w:line="276" w:lineRule="auto"/>
              <w:jc w:val="center"/>
              <w:rPr>
                <w:rFonts w:eastAsia="Calibri"/>
                <w:sz w:val="20"/>
                <w:szCs w:val="20"/>
              </w:rPr>
            </w:pPr>
            <w:r w:rsidRPr="004153EA">
              <w:rPr>
                <w:rFonts w:eastAsia="Calibri"/>
                <w:sz w:val="20"/>
                <w:szCs w:val="20"/>
              </w:rPr>
              <w:t>165</w:t>
            </w:r>
          </w:p>
        </w:tc>
        <w:tc>
          <w:tcPr>
            <w:tcW w:w="759" w:type="pct"/>
            <w:tcBorders>
              <w:top w:val="single" w:sz="4" w:space="0" w:color="auto"/>
              <w:left w:val="single" w:sz="4" w:space="0" w:color="auto"/>
              <w:bottom w:val="single" w:sz="4" w:space="0" w:color="auto"/>
              <w:right w:val="single" w:sz="4" w:space="0" w:color="auto"/>
            </w:tcBorders>
            <w:hideMark/>
          </w:tcPr>
          <w:p w14:paraId="0C96EA87" w14:textId="77777777" w:rsidR="00215A6E" w:rsidRPr="004153EA" w:rsidRDefault="00215A6E" w:rsidP="004153EA">
            <w:pPr>
              <w:keepLines/>
              <w:spacing w:line="276" w:lineRule="auto"/>
              <w:jc w:val="right"/>
              <w:rPr>
                <w:rFonts w:eastAsia="Calibri"/>
                <w:sz w:val="20"/>
                <w:szCs w:val="20"/>
              </w:rPr>
            </w:pPr>
            <w:r w:rsidRPr="004153EA">
              <w:rPr>
                <w:rFonts w:eastAsia="Calibri"/>
                <w:sz w:val="20"/>
                <w:szCs w:val="20"/>
              </w:rPr>
              <w:t>60 hrs.;</w:t>
            </w:r>
          </w:p>
          <w:p w14:paraId="14AFECA0" w14:textId="77777777" w:rsidR="00215A6E" w:rsidRPr="004153EA" w:rsidRDefault="00215A6E" w:rsidP="004153EA">
            <w:pPr>
              <w:keepLines/>
              <w:spacing w:line="276" w:lineRule="auto"/>
              <w:jc w:val="right"/>
              <w:rPr>
                <w:rFonts w:eastAsia="Calibri"/>
                <w:sz w:val="20"/>
                <w:szCs w:val="20"/>
              </w:rPr>
            </w:pPr>
            <w:r w:rsidRPr="004153EA">
              <w:rPr>
                <w:rFonts w:eastAsia="Calibri"/>
                <w:sz w:val="20"/>
                <w:szCs w:val="20"/>
              </w:rPr>
              <w:t>$4,072.20</w:t>
            </w:r>
          </w:p>
        </w:tc>
        <w:tc>
          <w:tcPr>
            <w:tcW w:w="937" w:type="pct"/>
            <w:tcBorders>
              <w:top w:val="single" w:sz="4" w:space="0" w:color="auto"/>
              <w:left w:val="single" w:sz="4" w:space="0" w:color="auto"/>
              <w:bottom w:val="single" w:sz="4" w:space="0" w:color="auto"/>
              <w:right w:val="single" w:sz="4" w:space="0" w:color="auto"/>
            </w:tcBorders>
            <w:hideMark/>
          </w:tcPr>
          <w:p w14:paraId="3C1576B7" w14:textId="77777777" w:rsidR="00215A6E" w:rsidRPr="004153EA" w:rsidRDefault="00215A6E" w:rsidP="004153EA">
            <w:pPr>
              <w:keepLines/>
              <w:jc w:val="right"/>
              <w:rPr>
                <w:rFonts w:eastAsia="Calibri"/>
                <w:sz w:val="20"/>
                <w:szCs w:val="20"/>
              </w:rPr>
            </w:pPr>
            <w:r w:rsidRPr="004153EA">
              <w:rPr>
                <w:rFonts w:eastAsia="Calibri"/>
                <w:sz w:val="20"/>
                <w:szCs w:val="20"/>
              </w:rPr>
              <w:t>9,900 hrs.;</w:t>
            </w:r>
          </w:p>
          <w:p w14:paraId="1E7813FD" w14:textId="77777777" w:rsidR="00215A6E" w:rsidRPr="004153EA" w:rsidRDefault="00215A6E" w:rsidP="004153EA">
            <w:pPr>
              <w:keepLines/>
              <w:spacing w:line="276" w:lineRule="auto"/>
              <w:jc w:val="right"/>
              <w:rPr>
                <w:rFonts w:eastAsia="Calibri"/>
                <w:sz w:val="20"/>
                <w:szCs w:val="20"/>
              </w:rPr>
            </w:pPr>
            <w:r w:rsidRPr="004153EA">
              <w:rPr>
                <w:rFonts w:eastAsia="Calibri"/>
                <w:sz w:val="20"/>
                <w:szCs w:val="20"/>
              </w:rPr>
              <w:t>$671,913</w:t>
            </w:r>
          </w:p>
        </w:tc>
      </w:tr>
      <w:tr w:rsidR="00215A6E" w:rsidRPr="004153EA" w14:paraId="7E69E80D" w14:textId="77777777" w:rsidTr="004153EA">
        <w:trPr>
          <w:cantSplit/>
          <w:trHeight w:val="449"/>
        </w:trPr>
        <w:tc>
          <w:tcPr>
            <w:tcW w:w="1011" w:type="pct"/>
            <w:tcBorders>
              <w:top w:val="single" w:sz="4" w:space="0" w:color="auto"/>
              <w:left w:val="single" w:sz="4" w:space="0" w:color="auto"/>
              <w:bottom w:val="single" w:sz="4" w:space="0" w:color="auto"/>
              <w:right w:val="single" w:sz="4" w:space="0" w:color="auto"/>
            </w:tcBorders>
          </w:tcPr>
          <w:p w14:paraId="40316F18" w14:textId="77777777" w:rsidR="00215A6E" w:rsidRPr="004153EA" w:rsidRDefault="00215A6E" w:rsidP="004153EA">
            <w:pPr>
              <w:keepLines/>
              <w:spacing w:line="276" w:lineRule="auto"/>
              <w:rPr>
                <w:rFonts w:eastAsia="Calibri"/>
                <w:sz w:val="20"/>
                <w:szCs w:val="20"/>
              </w:rPr>
            </w:pPr>
            <w:r w:rsidRPr="004153EA">
              <w:rPr>
                <w:rFonts w:eastAsia="Calibri"/>
                <w:b/>
                <w:bCs/>
                <w:sz w:val="20"/>
                <w:szCs w:val="20"/>
              </w:rPr>
              <w:t>TSP – Retired</w:t>
            </w:r>
          </w:p>
        </w:tc>
        <w:tc>
          <w:tcPr>
            <w:tcW w:w="686" w:type="pct"/>
            <w:tcBorders>
              <w:top w:val="single" w:sz="4" w:space="0" w:color="auto"/>
              <w:left w:val="single" w:sz="4" w:space="0" w:color="auto"/>
              <w:bottom w:val="single" w:sz="4" w:space="0" w:color="auto"/>
              <w:right w:val="single" w:sz="4" w:space="0" w:color="auto"/>
            </w:tcBorders>
          </w:tcPr>
          <w:p w14:paraId="437FB513" w14:textId="77777777" w:rsidR="00215A6E" w:rsidRPr="004153EA" w:rsidRDefault="00215A6E" w:rsidP="004153EA">
            <w:pPr>
              <w:keepLines/>
              <w:spacing w:line="276" w:lineRule="auto"/>
              <w:jc w:val="center"/>
              <w:rPr>
                <w:rFonts w:eastAsia="Calibri"/>
                <w:sz w:val="20"/>
                <w:szCs w:val="20"/>
              </w:rPr>
            </w:pPr>
            <w:r w:rsidRPr="004153EA">
              <w:rPr>
                <w:rFonts w:eastAsia="Calibri"/>
                <w:sz w:val="20"/>
                <w:szCs w:val="20"/>
              </w:rPr>
              <w:t>71</w:t>
            </w:r>
          </w:p>
        </w:tc>
        <w:tc>
          <w:tcPr>
            <w:tcW w:w="759" w:type="pct"/>
            <w:tcBorders>
              <w:top w:val="single" w:sz="4" w:space="0" w:color="auto"/>
              <w:left w:val="single" w:sz="4" w:space="0" w:color="auto"/>
              <w:bottom w:val="single" w:sz="4" w:space="0" w:color="auto"/>
              <w:right w:val="single" w:sz="4" w:space="0" w:color="auto"/>
            </w:tcBorders>
          </w:tcPr>
          <w:p w14:paraId="15526D13" w14:textId="77777777" w:rsidR="00215A6E" w:rsidRPr="004153EA" w:rsidRDefault="00215A6E" w:rsidP="004153EA">
            <w:pPr>
              <w:keepLines/>
              <w:spacing w:line="276" w:lineRule="auto"/>
              <w:jc w:val="center"/>
              <w:rPr>
                <w:rFonts w:eastAsia="Calibri"/>
                <w:sz w:val="20"/>
                <w:szCs w:val="20"/>
              </w:rPr>
            </w:pPr>
            <w:r w:rsidRPr="004153EA">
              <w:rPr>
                <w:rFonts w:eastAsia="Calibri"/>
                <w:sz w:val="20"/>
                <w:szCs w:val="20"/>
              </w:rPr>
              <w:t>1</w:t>
            </w:r>
          </w:p>
        </w:tc>
        <w:tc>
          <w:tcPr>
            <w:tcW w:w="848" w:type="pct"/>
            <w:tcBorders>
              <w:top w:val="single" w:sz="4" w:space="0" w:color="auto"/>
              <w:left w:val="single" w:sz="4" w:space="0" w:color="auto"/>
              <w:bottom w:val="single" w:sz="4" w:space="0" w:color="auto"/>
              <w:right w:val="single" w:sz="4" w:space="0" w:color="auto"/>
            </w:tcBorders>
          </w:tcPr>
          <w:p w14:paraId="162F3D35" w14:textId="77777777" w:rsidR="00215A6E" w:rsidRPr="004153EA" w:rsidRDefault="00215A6E" w:rsidP="004153EA">
            <w:pPr>
              <w:keepLines/>
              <w:spacing w:line="276" w:lineRule="auto"/>
              <w:jc w:val="center"/>
              <w:rPr>
                <w:rFonts w:eastAsia="Calibri"/>
                <w:sz w:val="20"/>
                <w:szCs w:val="20"/>
              </w:rPr>
            </w:pPr>
            <w:r w:rsidRPr="004153EA">
              <w:rPr>
                <w:rFonts w:eastAsia="Calibri"/>
                <w:sz w:val="20"/>
                <w:szCs w:val="20"/>
              </w:rPr>
              <w:t>71</w:t>
            </w:r>
          </w:p>
        </w:tc>
        <w:tc>
          <w:tcPr>
            <w:tcW w:w="759" w:type="pct"/>
            <w:tcBorders>
              <w:top w:val="single" w:sz="4" w:space="0" w:color="auto"/>
              <w:left w:val="single" w:sz="4" w:space="0" w:color="auto"/>
              <w:bottom w:val="single" w:sz="4" w:space="0" w:color="auto"/>
              <w:right w:val="single" w:sz="4" w:space="0" w:color="auto"/>
            </w:tcBorders>
          </w:tcPr>
          <w:p w14:paraId="2D4BE2C9" w14:textId="77777777" w:rsidR="00215A6E" w:rsidRPr="004153EA" w:rsidRDefault="00215A6E" w:rsidP="004153EA">
            <w:pPr>
              <w:keepLines/>
              <w:spacing w:line="276" w:lineRule="auto"/>
              <w:jc w:val="right"/>
              <w:rPr>
                <w:rFonts w:eastAsia="Calibri"/>
                <w:sz w:val="20"/>
                <w:szCs w:val="20"/>
              </w:rPr>
            </w:pPr>
            <w:r w:rsidRPr="004153EA">
              <w:rPr>
                <w:rFonts w:eastAsia="Calibri"/>
                <w:sz w:val="20"/>
                <w:szCs w:val="20"/>
              </w:rPr>
              <w:t>60 hrs.;</w:t>
            </w:r>
          </w:p>
          <w:p w14:paraId="53480C44" w14:textId="77777777" w:rsidR="00215A6E" w:rsidRPr="004153EA" w:rsidRDefault="00215A6E" w:rsidP="004153EA">
            <w:pPr>
              <w:keepLines/>
              <w:spacing w:line="276" w:lineRule="auto"/>
              <w:jc w:val="right"/>
              <w:rPr>
                <w:rFonts w:eastAsia="Calibri"/>
                <w:sz w:val="20"/>
                <w:szCs w:val="20"/>
              </w:rPr>
            </w:pPr>
            <w:r w:rsidRPr="004153EA">
              <w:rPr>
                <w:rFonts w:eastAsia="Calibri"/>
                <w:sz w:val="20"/>
                <w:szCs w:val="20"/>
              </w:rPr>
              <w:t>$4,072.20</w:t>
            </w:r>
          </w:p>
        </w:tc>
        <w:tc>
          <w:tcPr>
            <w:tcW w:w="937" w:type="pct"/>
            <w:tcBorders>
              <w:top w:val="single" w:sz="4" w:space="0" w:color="auto"/>
              <w:left w:val="single" w:sz="4" w:space="0" w:color="auto"/>
              <w:bottom w:val="single" w:sz="4" w:space="0" w:color="auto"/>
              <w:right w:val="single" w:sz="4" w:space="0" w:color="auto"/>
            </w:tcBorders>
          </w:tcPr>
          <w:p w14:paraId="0E0B5EFA" w14:textId="77777777" w:rsidR="00215A6E" w:rsidRPr="004153EA" w:rsidRDefault="00215A6E" w:rsidP="004153EA">
            <w:pPr>
              <w:keepLines/>
              <w:jc w:val="right"/>
              <w:rPr>
                <w:rFonts w:eastAsia="Calibri"/>
                <w:sz w:val="20"/>
                <w:szCs w:val="20"/>
              </w:rPr>
            </w:pPr>
            <w:r w:rsidRPr="004153EA">
              <w:rPr>
                <w:rFonts w:eastAsia="Calibri"/>
                <w:sz w:val="20"/>
                <w:szCs w:val="20"/>
              </w:rPr>
              <w:t>4,260 hrs.;</w:t>
            </w:r>
          </w:p>
          <w:p w14:paraId="6547613A" w14:textId="77777777" w:rsidR="00215A6E" w:rsidRPr="004153EA" w:rsidRDefault="00215A6E" w:rsidP="004153EA">
            <w:pPr>
              <w:keepLines/>
              <w:spacing w:line="276" w:lineRule="auto"/>
              <w:jc w:val="right"/>
              <w:rPr>
                <w:rFonts w:eastAsia="Calibri"/>
                <w:sz w:val="20"/>
                <w:szCs w:val="20"/>
              </w:rPr>
            </w:pPr>
            <w:r w:rsidRPr="004153EA">
              <w:rPr>
                <w:rFonts w:eastAsia="Calibri"/>
                <w:sz w:val="20"/>
                <w:szCs w:val="20"/>
              </w:rPr>
              <w:t>$289,126.20</w:t>
            </w:r>
          </w:p>
        </w:tc>
      </w:tr>
      <w:tr w:rsidR="00215A6E" w:rsidRPr="004153EA" w14:paraId="3503CD41" w14:textId="77777777" w:rsidTr="004153EA">
        <w:trPr>
          <w:cantSplit/>
          <w:trHeight w:val="530"/>
        </w:trPr>
        <w:tc>
          <w:tcPr>
            <w:tcW w:w="1011" w:type="pct"/>
            <w:tcBorders>
              <w:top w:val="single" w:sz="4" w:space="0" w:color="auto"/>
              <w:left w:val="single" w:sz="4" w:space="0" w:color="auto"/>
              <w:bottom w:val="single" w:sz="4" w:space="0" w:color="auto"/>
              <w:right w:val="single" w:sz="4" w:space="0" w:color="auto"/>
            </w:tcBorders>
          </w:tcPr>
          <w:p w14:paraId="3FF82FD6" w14:textId="77777777" w:rsidR="00215A6E" w:rsidRPr="004153EA" w:rsidRDefault="00215A6E" w:rsidP="004153EA">
            <w:pPr>
              <w:keepLines/>
              <w:spacing w:line="276" w:lineRule="auto"/>
              <w:rPr>
                <w:rFonts w:eastAsia="Calibri"/>
                <w:bCs/>
                <w:sz w:val="20"/>
                <w:szCs w:val="20"/>
              </w:rPr>
            </w:pPr>
            <w:r w:rsidRPr="004153EA">
              <w:rPr>
                <w:rFonts w:eastAsia="Calibri"/>
                <w:b/>
                <w:sz w:val="20"/>
                <w:szCs w:val="20"/>
              </w:rPr>
              <w:t>Total for MOD-030-2 for Retired</w:t>
            </w:r>
          </w:p>
        </w:tc>
        <w:tc>
          <w:tcPr>
            <w:tcW w:w="68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4FFAFC" w14:textId="77777777" w:rsidR="00215A6E" w:rsidRPr="004153EA" w:rsidRDefault="00215A6E" w:rsidP="004153EA">
            <w:pPr>
              <w:keepLines/>
              <w:spacing w:line="276" w:lineRule="auto"/>
              <w:jc w:val="right"/>
              <w:rPr>
                <w:rFonts w:eastAsia="Calibri"/>
                <w:sz w:val="20"/>
                <w:szCs w:val="20"/>
              </w:rPr>
            </w:pPr>
          </w:p>
        </w:tc>
        <w:tc>
          <w:tcPr>
            <w:tcW w:w="75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5C7203" w14:textId="77777777" w:rsidR="00215A6E" w:rsidRPr="004153EA" w:rsidRDefault="00215A6E" w:rsidP="004153EA">
            <w:pPr>
              <w:keepLines/>
              <w:spacing w:line="276" w:lineRule="auto"/>
              <w:jc w:val="right"/>
              <w:rPr>
                <w:rFonts w:eastAsia="Calibri"/>
                <w:sz w:val="20"/>
                <w:szCs w:val="20"/>
              </w:rPr>
            </w:pP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8E961C" w14:textId="77777777" w:rsidR="00215A6E" w:rsidRPr="004153EA" w:rsidRDefault="00215A6E" w:rsidP="004153EA">
            <w:pPr>
              <w:keepLines/>
              <w:spacing w:line="276" w:lineRule="auto"/>
              <w:jc w:val="right"/>
              <w:rPr>
                <w:rFonts w:eastAsia="Calibri"/>
                <w:sz w:val="20"/>
                <w:szCs w:val="20"/>
              </w:rPr>
            </w:pPr>
          </w:p>
        </w:tc>
        <w:tc>
          <w:tcPr>
            <w:tcW w:w="75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2192C6" w14:textId="77777777" w:rsidR="00215A6E" w:rsidRPr="004153EA" w:rsidRDefault="00215A6E" w:rsidP="004153EA">
            <w:pPr>
              <w:keepLines/>
              <w:spacing w:line="276" w:lineRule="auto"/>
              <w:jc w:val="right"/>
              <w:rPr>
                <w:rFonts w:eastAsia="Calibri"/>
                <w:sz w:val="20"/>
                <w:szCs w:val="20"/>
              </w:rPr>
            </w:pPr>
          </w:p>
        </w:tc>
        <w:tc>
          <w:tcPr>
            <w:tcW w:w="937" w:type="pct"/>
            <w:tcBorders>
              <w:top w:val="single" w:sz="4" w:space="0" w:color="auto"/>
              <w:left w:val="single" w:sz="4" w:space="0" w:color="auto"/>
              <w:bottom w:val="single" w:sz="4" w:space="0" w:color="auto"/>
              <w:right w:val="single" w:sz="4" w:space="0" w:color="auto"/>
            </w:tcBorders>
            <w:shd w:val="clear" w:color="auto" w:fill="auto"/>
          </w:tcPr>
          <w:p w14:paraId="4708B7A1" w14:textId="77777777" w:rsidR="00215A6E" w:rsidRPr="004153EA" w:rsidRDefault="00215A6E" w:rsidP="004153EA">
            <w:pPr>
              <w:keepLines/>
              <w:jc w:val="right"/>
              <w:rPr>
                <w:rFonts w:eastAsia="Calibri"/>
                <w:b/>
                <w:sz w:val="20"/>
                <w:szCs w:val="20"/>
              </w:rPr>
            </w:pPr>
            <w:r w:rsidRPr="004153EA">
              <w:rPr>
                <w:rFonts w:eastAsia="Calibri"/>
                <w:b/>
                <w:bCs/>
                <w:sz w:val="20"/>
                <w:szCs w:val="20"/>
              </w:rPr>
              <w:t>14,160 hrs</w:t>
            </w:r>
            <w:r w:rsidRPr="004153EA">
              <w:rPr>
                <w:rFonts w:eastAsia="Calibri"/>
                <w:b/>
                <w:sz w:val="20"/>
                <w:szCs w:val="20"/>
              </w:rPr>
              <w:t>.;</w:t>
            </w:r>
          </w:p>
          <w:p w14:paraId="34798583" w14:textId="77777777" w:rsidR="00215A6E" w:rsidRPr="004153EA" w:rsidRDefault="00215A6E" w:rsidP="004153EA">
            <w:pPr>
              <w:keepLines/>
              <w:spacing w:line="276" w:lineRule="auto"/>
              <w:jc w:val="right"/>
              <w:rPr>
                <w:rFonts w:eastAsia="Calibri"/>
                <w:sz w:val="20"/>
                <w:szCs w:val="20"/>
              </w:rPr>
            </w:pPr>
            <w:r w:rsidRPr="004153EA">
              <w:rPr>
                <w:rFonts w:eastAsia="Calibri"/>
                <w:b/>
                <w:sz w:val="20"/>
                <w:szCs w:val="20"/>
              </w:rPr>
              <w:t>$961,039.20</w:t>
            </w:r>
          </w:p>
        </w:tc>
      </w:tr>
    </w:tbl>
    <w:p w14:paraId="6DE60835" w14:textId="77777777" w:rsidR="00215A6E" w:rsidRPr="008212DA" w:rsidRDefault="00215A6E" w:rsidP="00215A6E"/>
    <w:p w14:paraId="21E79BFB" w14:textId="77777777" w:rsidR="00215A6E" w:rsidRDefault="00215A6E" w:rsidP="00215A6E">
      <w:pPr>
        <w:rPr>
          <w:iCs/>
        </w:rPr>
      </w:pPr>
      <w:r w:rsidRPr="008475CE">
        <w:rPr>
          <w:iCs/>
          <w:u w:val="single"/>
        </w:rPr>
        <w:t>Title</w:t>
      </w:r>
      <w:r w:rsidRPr="008475CE">
        <w:rPr>
          <w:iCs/>
        </w:rPr>
        <w:t>:  FERC-725</w:t>
      </w:r>
      <w:r>
        <w:rPr>
          <w:iCs/>
        </w:rPr>
        <w:t>A</w:t>
      </w:r>
      <w:r w:rsidRPr="008475CE">
        <w:rPr>
          <w:iCs/>
        </w:rPr>
        <w:t>, Mandatory Reliability Standards for the Bulk-Power System.</w:t>
      </w:r>
    </w:p>
    <w:p w14:paraId="4D57B790" w14:textId="77777777" w:rsidR="00215A6E" w:rsidRPr="008475CE" w:rsidRDefault="00215A6E" w:rsidP="00215A6E">
      <w:pPr>
        <w:rPr>
          <w:iCs/>
        </w:rPr>
      </w:pPr>
    </w:p>
    <w:p w14:paraId="3929DED0" w14:textId="77777777" w:rsidR="00215A6E" w:rsidRDefault="00215A6E" w:rsidP="00215A6E">
      <w:pPr>
        <w:rPr>
          <w:iCs/>
        </w:rPr>
      </w:pPr>
      <w:r w:rsidRPr="008475CE">
        <w:rPr>
          <w:iCs/>
          <w:u w:val="single"/>
        </w:rPr>
        <w:t>Action</w:t>
      </w:r>
      <w:r w:rsidRPr="008475CE">
        <w:rPr>
          <w:iCs/>
        </w:rPr>
        <w:t>:  Modifications to Existing Collections of Information in FERC-725</w:t>
      </w:r>
      <w:r>
        <w:rPr>
          <w:iCs/>
        </w:rPr>
        <w:t>A</w:t>
      </w:r>
      <w:r w:rsidRPr="008475CE">
        <w:rPr>
          <w:iCs/>
        </w:rPr>
        <w:t>.</w:t>
      </w:r>
    </w:p>
    <w:p w14:paraId="1655A0B1" w14:textId="77777777" w:rsidR="00215A6E" w:rsidRPr="008475CE" w:rsidRDefault="00215A6E" w:rsidP="00215A6E">
      <w:pPr>
        <w:rPr>
          <w:iCs/>
        </w:rPr>
      </w:pPr>
    </w:p>
    <w:p w14:paraId="6E025295" w14:textId="71574C2D" w:rsidR="00215A6E" w:rsidRDefault="00215A6E" w:rsidP="00215A6E">
      <w:pPr>
        <w:rPr>
          <w:iCs/>
        </w:rPr>
      </w:pPr>
      <w:r w:rsidRPr="008475CE">
        <w:rPr>
          <w:iCs/>
          <w:u w:val="single"/>
        </w:rPr>
        <w:t>OMB Control No</w:t>
      </w:r>
      <w:r w:rsidRPr="008475CE">
        <w:rPr>
          <w:iCs/>
        </w:rPr>
        <w:t xml:space="preserve">: </w:t>
      </w:r>
      <w:r w:rsidR="005659AC">
        <w:rPr>
          <w:iCs/>
        </w:rPr>
        <w:t xml:space="preserve"> </w:t>
      </w:r>
      <w:r w:rsidRPr="008212DA">
        <w:t>1902-02</w:t>
      </w:r>
      <w:r>
        <w:t>44</w:t>
      </w:r>
      <w:r w:rsidRPr="008475CE">
        <w:rPr>
          <w:iCs/>
        </w:rPr>
        <w:t xml:space="preserve"> (FERC-725</w:t>
      </w:r>
      <w:r>
        <w:rPr>
          <w:iCs/>
        </w:rPr>
        <w:t>A</w:t>
      </w:r>
      <w:r w:rsidRPr="008475CE">
        <w:rPr>
          <w:iCs/>
        </w:rPr>
        <w:t>).</w:t>
      </w:r>
    </w:p>
    <w:p w14:paraId="6A270561" w14:textId="77777777" w:rsidR="00215A6E" w:rsidRPr="008475CE" w:rsidRDefault="00215A6E" w:rsidP="00215A6E">
      <w:pPr>
        <w:rPr>
          <w:iCs/>
        </w:rPr>
      </w:pPr>
    </w:p>
    <w:p w14:paraId="76063FC3" w14:textId="77777777" w:rsidR="00215A6E" w:rsidRDefault="00215A6E" w:rsidP="00215A6E">
      <w:pPr>
        <w:rPr>
          <w:iCs/>
        </w:rPr>
      </w:pPr>
      <w:r w:rsidRPr="008475CE">
        <w:rPr>
          <w:iCs/>
          <w:u w:val="single"/>
        </w:rPr>
        <w:t>Respondents</w:t>
      </w:r>
      <w:r w:rsidRPr="008475CE">
        <w:rPr>
          <w:iCs/>
        </w:rPr>
        <w:t>:  Business or other for profit, and not for profit institutions.</w:t>
      </w:r>
    </w:p>
    <w:p w14:paraId="68C920C3" w14:textId="77777777" w:rsidR="00215A6E" w:rsidRPr="008475CE" w:rsidRDefault="00215A6E" w:rsidP="00215A6E">
      <w:pPr>
        <w:rPr>
          <w:iCs/>
        </w:rPr>
      </w:pPr>
    </w:p>
    <w:p w14:paraId="06FABBAD" w14:textId="77777777" w:rsidR="00215A6E" w:rsidRDefault="00215A6E" w:rsidP="00215A6E">
      <w:pPr>
        <w:rPr>
          <w:iCs/>
        </w:rPr>
      </w:pPr>
      <w:r w:rsidRPr="008475CE">
        <w:rPr>
          <w:iCs/>
          <w:u w:val="single"/>
        </w:rPr>
        <w:t>Frequency of Responses</w:t>
      </w:r>
      <w:r w:rsidRPr="008475CE">
        <w:rPr>
          <w:iCs/>
        </w:rPr>
        <w:t>:  On occasion (and proposed for deletion).</w:t>
      </w:r>
    </w:p>
    <w:p w14:paraId="5BFE7F5D" w14:textId="77777777" w:rsidR="00215A6E" w:rsidRPr="008475CE" w:rsidRDefault="00215A6E" w:rsidP="00215A6E">
      <w:pPr>
        <w:rPr>
          <w:iCs/>
        </w:rPr>
      </w:pPr>
    </w:p>
    <w:p w14:paraId="4D68F05F" w14:textId="6BD66CE0" w:rsidR="00215A6E" w:rsidRDefault="00215A6E" w:rsidP="00215A6E">
      <w:pPr>
        <w:spacing w:line="480" w:lineRule="auto"/>
        <w:rPr>
          <w:iCs/>
        </w:rPr>
      </w:pPr>
      <w:r w:rsidRPr="008475CE">
        <w:rPr>
          <w:iCs/>
          <w:u w:val="single"/>
        </w:rPr>
        <w:t>Necessity of the Information</w:t>
      </w:r>
      <w:r w:rsidRPr="008475CE">
        <w:rPr>
          <w:iCs/>
        </w:rPr>
        <w:t xml:space="preserve">: </w:t>
      </w:r>
      <w:r>
        <w:rPr>
          <w:iCs/>
        </w:rPr>
        <w:t xml:space="preserve"> </w:t>
      </w:r>
      <w:r w:rsidRPr="008475CE">
        <w:rPr>
          <w:iCs/>
        </w:rPr>
        <w:t xml:space="preserve">Reliability Standards </w:t>
      </w:r>
      <w:r>
        <w:rPr>
          <w:iCs/>
        </w:rPr>
        <w:t>MOD-001-1a (Available Transmission System Capability), MOD-004-1 (Capacity Benefit Margin), MOD-008-1 (Transmission Reliability Margin Calculation Methodology), MOD-028-2 (Area Interchange Methodology), MOD-029-2a (Rated System Path Methodology), and MOD030-3 (</w:t>
      </w:r>
      <w:proofErr w:type="spellStart"/>
      <w:r>
        <w:rPr>
          <w:iCs/>
        </w:rPr>
        <w:t>Flowgate</w:t>
      </w:r>
      <w:proofErr w:type="spellEnd"/>
      <w:r>
        <w:rPr>
          <w:iCs/>
        </w:rPr>
        <w:t xml:space="preserve"> Methodology) (</w:t>
      </w:r>
      <w:r w:rsidRPr="000B7FA9">
        <w:rPr>
          <w:iCs/>
        </w:rPr>
        <w:t>the MOD A Reliability Standards</w:t>
      </w:r>
      <w:r>
        <w:rPr>
          <w:iCs/>
        </w:rPr>
        <w:t xml:space="preserve">) </w:t>
      </w:r>
      <w:r w:rsidRPr="001A6DC6">
        <w:rPr>
          <w:iCs/>
        </w:rPr>
        <w:t xml:space="preserve">were </w:t>
      </w:r>
      <w:r w:rsidRPr="008475CE">
        <w:rPr>
          <w:iCs/>
        </w:rPr>
        <w:t xml:space="preserve">part of the </w:t>
      </w:r>
      <w:r w:rsidRPr="008475CE">
        <w:rPr>
          <w:iCs/>
        </w:rPr>
        <w:lastRenderedPageBreak/>
        <w:t xml:space="preserve">implementation of the Congressional mandate of the Energy Policy Act of 2005 to develop mandatory and enforceable Reliability Standards to better ensure the reliability of the nation’s Bulk-Power system.  </w:t>
      </w:r>
      <w:r>
        <w:rPr>
          <w:iCs/>
        </w:rPr>
        <w:t>As these Reliability Standards are retired</w:t>
      </w:r>
      <w:r w:rsidR="00C80598">
        <w:rPr>
          <w:iCs/>
        </w:rPr>
        <w:t>,</w:t>
      </w:r>
      <w:r>
        <w:rPr>
          <w:iCs/>
        </w:rPr>
        <w:t xml:space="preserve"> their purpose and requirements have been move</w:t>
      </w:r>
      <w:r w:rsidR="00C80598">
        <w:rPr>
          <w:iCs/>
        </w:rPr>
        <w:t>d</w:t>
      </w:r>
      <w:r>
        <w:rPr>
          <w:iCs/>
        </w:rPr>
        <w:t xml:space="preserve"> into the NAESB </w:t>
      </w:r>
      <w:r>
        <w:t>business practice standards.</w:t>
      </w:r>
    </w:p>
    <w:p w14:paraId="4DDA4154" w14:textId="15FBEFC5" w:rsidR="00215A6E" w:rsidRPr="008475CE" w:rsidRDefault="00215A6E" w:rsidP="00215A6E">
      <w:pPr>
        <w:spacing w:line="480" w:lineRule="auto"/>
        <w:rPr>
          <w:iCs/>
        </w:rPr>
      </w:pPr>
      <w:r w:rsidRPr="008475CE">
        <w:rPr>
          <w:iCs/>
          <w:u w:val="single"/>
        </w:rPr>
        <w:t>Internal review</w:t>
      </w:r>
      <w:r w:rsidRPr="008475CE">
        <w:rPr>
          <w:iCs/>
        </w:rPr>
        <w:t xml:space="preserve">:  The Commission has reviewed NERC’s proposal and determined that </w:t>
      </w:r>
      <w:r w:rsidR="00C80598">
        <w:rPr>
          <w:iCs/>
        </w:rPr>
        <w:t>this</w:t>
      </w:r>
      <w:r w:rsidRPr="008475CE">
        <w:rPr>
          <w:iCs/>
        </w:rPr>
        <w:t xml:space="preserve"> action is necessary to implement section 215 of the FPA.</w:t>
      </w:r>
    </w:p>
    <w:p w14:paraId="49092508" w14:textId="77777777" w:rsidR="00215A6E" w:rsidRPr="008475CE" w:rsidRDefault="00215A6E" w:rsidP="008A4DBD">
      <w:pPr>
        <w:pStyle w:val="FERCparanumber"/>
      </w:pPr>
      <w:r w:rsidRPr="008475CE">
        <w:t>Interested persons may obtain information on the reporting requirements by contacting the Federal Energy Regulatory Commission, Office of the Executive Director, 888 First Street, NE, Washington, DC 20426 [Attention: Ellen Brown, e-mail: DataClearance@ferc.gov, phone: (202) 502-8663, fax: (202) 273-0873].</w:t>
      </w:r>
    </w:p>
    <w:p w14:paraId="7EDE84DC" w14:textId="0188033C" w:rsidR="00215A6E" w:rsidRDefault="00215A6E" w:rsidP="008A4DBD">
      <w:pPr>
        <w:pStyle w:val="FERCparanumber"/>
      </w:pPr>
      <w:r w:rsidRPr="008475CE">
        <w:t xml:space="preserve">Comments concerning the information collections and requirements approved for retirement in this </w:t>
      </w:r>
      <w:r w:rsidR="000E6E8D">
        <w:t>f</w:t>
      </w:r>
      <w:r w:rsidRPr="008475CE">
        <w:t xml:space="preserve">inal </w:t>
      </w:r>
      <w:r w:rsidR="000E6E8D">
        <w:t>r</w:t>
      </w:r>
      <w:r w:rsidRPr="008475CE">
        <w:t xml:space="preserve">ule and the associated burden estimates, should be sent to the Commission in this docket and may also be sent to the Office of Management and Budget, Office of Information and Regulatory Affairs [Attention:  Desk Officer for the Federal Energy Regulatory Commission].  For security reasons, comments should be sent by e-mail to OMB at the following e-mail address:  </w:t>
      </w:r>
      <w:r w:rsidR="00FA2AA8" w:rsidRPr="00FA2AA8">
        <w:rPr>
          <w:iCs/>
        </w:rPr>
        <w:t>oira_submission@omb.eop.gov</w:t>
      </w:r>
      <w:r w:rsidRPr="008475CE">
        <w:t>.</w:t>
      </w:r>
    </w:p>
    <w:p w14:paraId="6285665C" w14:textId="77777777" w:rsidR="00F665C7" w:rsidRPr="00395600" w:rsidRDefault="00F665C7" w:rsidP="00F665C7">
      <w:pPr>
        <w:pStyle w:val="Heading1"/>
        <w:spacing w:after="0" w:line="480" w:lineRule="auto"/>
      </w:pPr>
      <w:r w:rsidRPr="00395600">
        <w:t>Environmental Analysis</w:t>
      </w:r>
    </w:p>
    <w:p w14:paraId="2398A0AB" w14:textId="77777777" w:rsidR="00272ADC" w:rsidRDefault="00F665C7" w:rsidP="008A4DBD">
      <w:pPr>
        <w:pStyle w:val="FERCparanumber"/>
      </w:pPr>
      <w:r w:rsidRPr="00395600">
        <w:t>The Commission is required to prepare an Environmental Assessment or an Environmental Impact Statement for any action that may have a significant adverse effect</w:t>
      </w:r>
    </w:p>
    <w:p w14:paraId="2E091032" w14:textId="77777777" w:rsidR="00272ADC" w:rsidRDefault="00272ADC">
      <w:pPr>
        <w:widowControl/>
        <w:spacing w:after="160" w:line="259" w:lineRule="auto"/>
      </w:pPr>
      <w:r>
        <w:br w:type="page"/>
      </w:r>
    </w:p>
    <w:p w14:paraId="32B4C08C" w14:textId="38A5731C" w:rsidR="00F665C7" w:rsidRPr="00395600" w:rsidRDefault="00F665C7" w:rsidP="00272ADC">
      <w:pPr>
        <w:pStyle w:val="FERCparanumber"/>
        <w:numPr>
          <w:ilvl w:val="0"/>
          <w:numId w:val="0"/>
        </w:numPr>
      </w:pPr>
      <w:r w:rsidRPr="00395600">
        <w:lastRenderedPageBreak/>
        <w:t>on the human environment.</w:t>
      </w:r>
      <w:r w:rsidRPr="00F665C7">
        <w:rPr>
          <w:rStyle w:val="FootnoteReference"/>
        </w:rPr>
        <w:footnoteReference w:id="45"/>
      </w:r>
      <w:r w:rsidRPr="00395600">
        <w:t xml:space="preserve"> </w:t>
      </w:r>
      <w:r w:rsidR="00E9700D">
        <w:t xml:space="preserve"> </w:t>
      </w:r>
      <w:r w:rsidR="00E9700D" w:rsidRPr="00E9700D">
        <w:t>The Commission has categorically excluded certain actions from this requirement as not having a significant effect on the human environment. Included in the exclusion are rules that are clarifying, corrective, or procedural or that do not substantially change the effect of the regulations being amended.</w:t>
      </w:r>
      <w:r w:rsidR="00E9700D">
        <w:rPr>
          <w:rStyle w:val="FootnoteReference"/>
        </w:rPr>
        <w:footnoteReference w:id="46"/>
      </w:r>
      <w:r w:rsidR="00E9700D" w:rsidRPr="00E9700D">
        <w:t xml:space="preserve"> </w:t>
      </w:r>
      <w:r w:rsidR="00E9700D">
        <w:t xml:space="preserve"> </w:t>
      </w:r>
      <w:r w:rsidR="00E9700D" w:rsidRPr="00E9700D">
        <w:t>The actions approved here fall within this categorical exclusion in the Commission’s regulations.</w:t>
      </w:r>
    </w:p>
    <w:p w14:paraId="5B4B8EA1" w14:textId="77777777" w:rsidR="00F665C7" w:rsidRPr="00395600" w:rsidRDefault="00F665C7" w:rsidP="00F665C7">
      <w:pPr>
        <w:pStyle w:val="Heading1"/>
        <w:spacing w:after="0" w:line="480" w:lineRule="auto"/>
      </w:pPr>
      <w:r w:rsidRPr="00395600">
        <w:t>Regulatory Flexibility Act</w:t>
      </w:r>
    </w:p>
    <w:p w14:paraId="654F1362" w14:textId="77777777" w:rsidR="00215A6E" w:rsidRPr="00215A6E" w:rsidRDefault="00F665C7" w:rsidP="008A4DBD">
      <w:pPr>
        <w:pStyle w:val="FERCparanumber"/>
        <w:rPr>
          <w:iCs/>
        </w:rPr>
      </w:pPr>
      <w:r w:rsidRPr="00395600">
        <w:t>The Regulatory Flexibilit</w:t>
      </w:r>
      <w:r w:rsidRPr="00550FF9">
        <w:rPr>
          <w:rStyle w:val="FERCparanumberChar"/>
        </w:rPr>
        <w:t>y</w:t>
      </w:r>
      <w:r w:rsidRPr="00395600">
        <w:t xml:space="preserve"> Act of 1980 (RFA)</w:t>
      </w:r>
      <w:r w:rsidRPr="00F665C7">
        <w:rPr>
          <w:rStyle w:val="FootnoteReference"/>
        </w:rPr>
        <w:footnoteReference w:id="47"/>
      </w:r>
      <w:r w:rsidRPr="00395600">
        <w:t xml:space="preserve"> generally requires a description and analysis of final rules that will have significant economic impact on a substantial number of small entities.</w:t>
      </w:r>
    </w:p>
    <w:p w14:paraId="5EB9A60F" w14:textId="59F0D409" w:rsidR="00215A6E" w:rsidRPr="00215A6E" w:rsidRDefault="00215A6E" w:rsidP="008A4DBD">
      <w:pPr>
        <w:pStyle w:val="FERCparanumber"/>
      </w:pPr>
      <w:r w:rsidRPr="00215A6E">
        <w:t>The RFA mandates consideration of regulatory alternatives that accomplish the stated objectives of a rule and that minimize any significant economic impact on a substantial number of small entities. The Small Business Administration’s Office of Size Standards develops the numerical definition of a small business.</w:t>
      </w:r>
      <w:r w:rsidR="004240CD">
        <w:rPr>
          <w:rStyle w:val="FootnoteReference"/>
          <w:iCs/>
        </w:rPr>
        <w:footnoteReference w:id="48"/>
      </w:r>
      <w:r w:rsidR="004240CD">
        <w:t xml:space="preserve"> </w:t>
      </w:r>
      <w:r w:rsidR="0050082E">
        <w:t xml:space="preserve"> </w:t>
      </w:r>
      <w:r w:rsidRPr="00215A6E">
        <w:t>The Small Business Administration has established size standards, for the types of affected entities that range from a maximum of 250–1,000 employees for an entity and its affiliates to be considered small.</w:t>
      </w:r>
    </w:p>
    <w:p w14:paraId="13246BA3" w14:textId="77777777" w:rsidR="00215A6E" w:rsidRPr="00215A6E" w:rsidRDefault="00215A6E" w:rsidP="008A4DBD">
      <w:pPr>
        <w:pStyle w:val="FERCparanumber"/>
      </w:pPr>
      <w:r w:rsidRPr="00215A6E">
        <w:lastRenderedPageBreak/>
        <w:t xml:space="preserve">This final rule accepts the request of NERC, the Commission-certified ERO, to retire the MOD A Reliability Standards and recognizes that NAESB business practice standards will cover the obligations.  This final rule reduces paperwork burdens for both large and small business entities. The Commission estimates the total industry reduction in burden for all entities (large and small) to be 112,560 hours or 68.5 hours per response. </w:t>
      </w:r>
    </w:p>
    <w:p w14:paraId="7CAB932C" w14:textId="3EB0EDA9" w:rsidR="00F665C7" w:rsidRPr="004153EA" w:rsidRDefault="00215A6E" w:rsidP="008A4DBD">
      <w:pPr>
        <w:pStyle w:val="FERCparanumber"/>
        <w:rPr>
          <w:b/>
        </w:rPr>
      </w:pPr>
      <w:r w:rsidRPr="00215A6E">
        <w:t>Based on the information above, the Commission certifies that the proposed reductions will not have a significant impact on a substantial number of small entities. Accordingly, no initial regulatory flexibility analysis is required. The Commission certifies that this final rule will not have a significant economic impact on a substantial number of small entities.</w:t>
      </w:r>
      <w:r w:rsidRPr="00215A6E" w:rsidDel="001D0E26">
        <w:rPr>
          <w:b/>
        </w:rPr>
        <w:t xml:space="preserve"> </w:t>
      </w:r>
    </w:p>
    <w:p w14:paraId="5D39F346" w14:textId="77777777" w:rsidR="00F665C7" w:rsidRPr="00395600" w:rsidRDefault="00F665C7" w:rsidP="00F665C7">
      <w:pPr>
        <w:pStyle w:val="Heading1"/>
        <w:spacing w:after="0" w:line="480" w:lineRule="auto"/>
      </w:pPr>
      <w:r w:rsidRPr="00395600">
        <w:t xml:space="preserve">Document </w:t>
      </w:r>
      <w:r w:rsidRPr="00550FF9">
        <w:t>Availability</w:t>
      </w:r>
    </w:p>
    <w:p w14:paraId="13369AAD" w14:textId="158ED105" w:rsidR="00F665C7" w:rsidRPr="00395600" w:rsidRDefault="00F665C7" w:rsidP="008A4DBD">
      <w:pPr>
        <w:pStyle w:val="FERCparanumber"/>
      </w:pPr>
      <w:r w:rsidRPr="001D5F89">
        <w:t>In addition to publishing the full text of this document in the Federal Register, the Commission provides all interested persons an opportunity to view and/or print the contents of this document via the Internet through the Commission</w:t>
      </w:r>
      <w:r w:rsidR="00190C90">
        <w:t>’</w:t>
      </w:r>
      <w:r w:rsidRPr="001D5F89">
        <w:t>s Home Page</w:t>
      </w:r>
      <w:r w:rsidR="0020072E" w:rsidDel="0020072E">
        <w:t xml:space="preserve"> </w:t>
      </w:r>
      <w:bookmarkStart w:id="10" w:name="_Hlk149136958"/>
      <w:r w:rsidR="00254682" w:rsidRPr="00FA2AA8">
        <w:t>(</w:t>
      </w:r>
      <w:r w:rsidR="00FA2AA8" w:rsidRPr="00FA2AA8">
        <w:t>http://www.ferc.gov</w:t>
      </w:r>
      <w:r w:rsidR="00254682" w:rsidRPr="00FA2AA8">
        <w:t>)</w:t>
      </w:r>
      <w:bookmarkEnd w:id="10"/>
      <w:r w:rsidRPr="00FA2AA8">
        <w:t>.</w:t>
      </w:r>
      <w:r w:rsidRPr="001D5F89">
        <w:t xml:space="preserve">  </w:t>
      </w:r>
    </w:p>
    <w:p w14:paraId="30D894F2" w14:textId="3A14FD88" w:rsidR="00F665C7" w:rsidRPr="00395600" w:rsidRDefault="00F665C7" w:rsidP="008A4DBD">
      <w:pPr>
        <w:pStyle w:val="FERCparanumber"/>
      </w:pPr>
      <w:r w:rsidRPr="00395600">
        <w:t>From FERC</w:t>
      </w:r>
      <w:r w:rsidR="00190C90">
        <w:t>’</w:t>
      </w:r>
      <w:r w:rsidRPr="00395600">
        <w:t>s Home Page on the Internet, this information is available on eLibrary.  The full text of this document is available on eLibrary in PDF and Microsoft Word format for viewing, printing, and/or downloading. To access this document in eLibrary, type the docket number excluding the last three digits of this document in the docket number field.</w:t>
      </w:r>
    </w:p>
    <w:p w14:paraId="7FD6E74B" w14:textId="3E23599B" w:rsidR="00F665C7" w:rsidRPr="00395600" w:rsidRDefault="00F665C7" w:rsidP="008A4DBD">
      <w:pPr>
        <w:pStyle w:val="FERCparanumber"/>
      </w:pPr>
      <w:r w:rsidRPr="00395600">
        <w:t xml:space="preserve">User assistance is available for eLibrary and the FERC’s website during normal business hours from FERC Online Support at 202-502-6652 (toll free at 1-866-208-3676) </w:t>
      </w:r>
      <w:r w:rsidRPr="00395600">
        <w:lastRenderedPageBreak/>
        <w:t xml:space="preserve">or email at </w:t>
      </w:r>
      <w:r w:rsidR="00FA2AA8" w:rsidRPr="00FA2AA8">
        <w:t>ferconlinesupport@ferc.gov</w:t>
      </w:r>
      <w:r w:rsidRPr="00395600">
        <w:t xml:space="preserve">, or the Public Reference Room at (202) 502-8371, TTY (202)502-8659.  E-mail the Public Reference Room at </w:t>
      </w:r>
      <w:r w:rsidR="00FA2AA8" w:rsidRPr="00FA2AA8">
        <w:t>public.referenceroom@ferc.gov</w:t>
      </w:r>
      <w:r w:rsidRPr="00395600">
        <w:t>.</w:t>
      </w:r>
    </w:p>
    <w:p w14:paraId="72743136" w14:textId="77777777" w:rsidR="00F665C7" w:rsidRPr="00395600" w:rsidRDefault="00F665C7" w:rsidP="00F665C7">
      <w:pPr>
        <w:pStyle w:val="Heading1"/>
        <w:spacing w:after="0" w:line="480" w:lineRule="auto"/>
      </w:pPr>
      <w:r w:rsidRPr="00395600">
        <w:t>Effective Date and Congressional Notification</w:t>
      </w:r>
    </w:p>
    <w:p w14:paraId="6E90E651" w14:textId="747AAFF6" w:rsidR="00F665C7" w:rsidRPr="00395600" w:rsidRDefault="00F665C7" w:rsidP="008A4DBD">
      <w:pPr>
        <w:pStyle w:val="FERCparanumber"/>
      </w:pPr>
      <w:r w:rsidRPr="00395600">
        <w:t xml:space="preserve">These regulations are effective </w:t>
      </w:r>
      <w:r w:rsidR="00E9700D">
        <w:t>February 1, 2024</w:t>
      </w:r>
      <w:r w:rsidRPr="00395600">
        <w:t xml:space="preserve">. The Commission has determined, with the concurrence of the Administrator of the Office of Information and Regulatory Affairs of OMB, that this rule </w:t>
      </w:r>
      <w:r w:rsidR="00E24ABA">
        <w:t>is not</w:t>
      </w:r>
      <w:r w:rsidRPr="00395600">
        <w:t xml:space="preserve"> a “major rule” as defined in section 351 of the Small Business Regulatory Enforcement Fairness Act of 1996.</w:t>
      </w:r>
    </w:p>
    <w:p w14:paraId="5A13299D" w14:textId="24000F01" w:rsidR="00F665C7" w:rsidRDefault="00F665C7" w:rsidP="00922940">
      <w:r w:rsidRPr="00395600">
        <w:t>By the Commission.</w:t>
      </w:r>
    </w:p>
    <w:p w14:paraId="314C6724" w14:textId="5B1D9862" w:rsidR="00AD37FB" w:rsidRDefault="00AD37FB" w:rsidP="00922940"/>
    <w:p w14:paraId="196BCC4F" w14:textId="76FA92C0" w:rsidR="00AD37FB" w:rsidRDefault="00AD37FB" w:rsidP="00AD37FB">
      <w:pPr>
        <w:widowControl/>
      </w:pPr>
      <w:r w:rsidRPr="00AD37FB">
        <w:t>( S E A L )</w:t>
      </w:r>
    </w:p>
    <w:p w14:paraId="05DCBC66" w14:textId="7302C1BA" w:rsidR="00AD37FB" w:rsidRDefault="00AD37FB" w:rsidP="00AD37FB">
      <w:pPr>
        <w:widowControl/>
      </w:pPr>
    </w:p>
    <w:p w14:paraId="4BCEFA3A" w14:textId="5E625C75" w:rsidR="00AD37FB" w:rsidRDefault="00AD37FB" w:rsidP="00AD37FB">
      <w:pPr>
        <w:widowControl/>
      </w:pPr>
    </w:p>
    <w:p w14:paraId="7E81E917" w14:textId="58D80978" w:rsidR="00AD37FB" w:rsidRDefault="00AD37FB" w:rsidP="00AD37FB">
      <w:pPr>
        <w:widowControl/>
      </w:pPr>
    </w:p>
    <w:p w14:paraId="72F03302" w14:textId="03E1BB95" w:rsidR="00AD37FB" w:rsidRDefault="00AD37FB" w:rsidP="00AD37FB">
      <w:pPr>
        <w:widowControl/>
      </w:pPr>
    </w:p>
    <w:p w14:paraId="05E5ED51" w14:textId="1B2CAE1B" w:rsidR="00AD37FB" w:rsidRPr="00AD37FB" w:rsidRDefault="00AD37FB" w:rsidP="00AD37FB">
      <w:pPr>
        <w:widowControl/>
        <w:ind w:firstLine="2174"/>
        <w:jc w:val="center"/>
      </w:pPr>
      <w:r w:rsidRPr="00AD37FB">
        <w:t>Kimberly D. Bose,</w:t>
      </w:r>
    </w:p>
    <w:p w14:paraId="2C30651F" w14:textId="4B45BB68" w:rsidR="00F665C7" w:rsidRPr="00395600" w:rsidRDefault="00AD37FB" w:rsidP="00AD37FB">
      <w:pPr>
        <w:widowControl/>
        <w:ind w:firstLine="2174"/>
        <w:jc w:val="center"/>
      </w:pPr>
      <w:r w:rsidRPr="00AD37FB">
        <w:t>Secretary.</w:t>
      </w:r>
    </w:p>
    <w:p w14:paraId="57A41E1E" w14:textId="00345738" w:rsidR="00F665C7" w:rsidRPr="00395600" w:rsidRDefault="00F665C7" w:rsidP="00922940">
      <w:r w:rsidRPr="00395600">
        <w:tab/>
      </w:r>
      <w:r w:rsidRPr="00395600">
        <w:tab/>
      </w:r>
      <w:r w:rsidRPr="00395600">
        <w:tab/>
      </w:r>
      <w:r w:rsidRPr="00395600">
        <w:tab/>
      </w:r>
      <w:r w:rsidRPr="00395600">
        <w:tab/>
      </w:r>
    </w:p>
    <w:p w14:paraId="4E244628" w14:textId="77777777" w:rsidR="00F665C7" w:rsidRPr="00395600" w:rsidRDefault="00F665C7" w:rsidP="00922940"/>
    <w:p w14:paraId="17D94B72" w14:textId="77777777" w:rsidR="00F665C7" w:rsidRPr="005E13DF" w:rsidRDefault="00F665C7" w:rsidP="00922940"/>
    <w:p w14:paraId="0630215F" w14:textId="77777777" w:rsidR="00F665C7" w:rsidRPr="005E13DF" w:rsidRDefault="00F665C7" w:rsidP="00922940"/>
    <w:p w14:paraId="7F7CDB87" w14:textId="77777777" w:rsidR="00F665C7" w:rsidRPr="003C789D" w:rsidRDefault="00F665C7" w:rsidP="00922940"/>
    <w:p w14:paraId="73FEB5B6" w14:textId="77777777" w:rsidR="00F665C7" w:rsidRPr="00454A58" w:rsidRDefault="00F665C7" w:rsidP="00454A58"/>
    <w:p w14:paraId="0D8E0812" w14:textId="77777777" w:rsidR="00F665C7" w:rsidRPr="00456136" w:rsidRDefault="00F665C7" w:rsidP="00456136"/>
    <w:p w14:paraId="1CD8653F" w14:textId="77777777" w:rsidR="00F665C7" w:rsidRPr="00FF32A1" w:rsidRDefault="00F665C7" w:rsidP="00FF32A1"/>
    <w:p w14:paraId="34B0D909" w14:textId="77777777" w:rsidR="00F665C7" w:rsidRPr="0003382F" w:rsidRDefault="00F665C7" w:rsidP="0003382F"/>
    <w:p w14:paraId="7F82FC1E" w14:textId="77777777" w:rsidR="00FF32A1" w:rsidRPr="0003382F" w:rsidRDefault="00FF32A1" w:rsidP="00F665C7">
      <w:pPr>
        <w:pStyle w:val="FootnoteText"/>
        <w:ind w:firstLine="0"/>
        <w:jc w:val="right"/>
      </w:pPr>
    </w:p>
    <w:sectPr w:rsidR="00FF32A1" w:rsidRPr="0003382F" w:rsidSect="00F665C7">
      <w:headerReference w:type="even" r:id="rId18"/>
      <w:headerReference w:type="default" r:id="rId19"/>
      <w:headerReference w:type="first" r:id="rId20"/>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E7666" w14:textId="77777777" w:rsidR="009C3755" w:rsidRDefault="009C3755" w:rsidP="0048020B">
      <w:r>
        <w:separator/>
      </w:r>
    </w:p>
  </w:endnote>
  <w:endnote w:type="continuationSeparator" w:id="0">
    <w:p w14:paraId="2F44A785" w14:textId="77777777" w:rsidR="009C3755" w:rsidRDefault="009C3755" w:rsidP="0048020B">
      <w:r>
        <w:continuationSeparator/>
      </w:r>
    </w:p>
  </w:endnote>
  <w:endnote w:type="continuationNotice" w:id="1">
    <w:p w14:paraId="3808E0C6" w14:textId="77777777" w:rsidR="009C3755" w:rsidRDefault="009C37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A513" w14:textId="77777777" w:rsidR="00272ADC" w:rsidRDefault="00272A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9627" w14:textId="77777777" w:rsidR="0043135D" w:rsidRDefault="004313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B13B7" w14:textId="77777777" w:rsidR="00272ADC" w:rsidRDefault="00272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14E7E" w14:textId="77777777" w:rsidR="009C3755" w:rsidRDefault="009C3755" w:rsidP="0048020B">
      <w:r>
        <w:separator/>
      </w:r>
    </w:p>
  </w:footnote>
  <w:footnote w:type="continuationSeparator" w:id="0">
    <w:p w14:paraId="52D4B012" w14:textId="77777777" w:rsidR="009C3755" w:rsidRDefault="009C3755" w:rsidP="0048020B">
      <w:r>
        <w:continuationSeparator/>
      </w:r>
    </w:p>
  </w:footnote>
  <w:footnote w:type="continuationNotice" w:id="1">
    <w:p w14:paraId="1F828F60" w14:textId="77777777" w:rsidR="009C3755" w:rsidRPr="00872C18" w:rsidRDefault="009C3755" w:rsidP="00872C18">
      <w:pPr>
        <w:spacing w:line="14" w:lineRule="exact"/>
        <w:rPr>
          <w:sz w:val="2"/>
        </w:rPr>
      </w:pPr>
    </w:p>
  </w:footnote>
  <w:footnote w:id="2">
    <w:p w14:paraId="656401E1" w14:textId="5CDBBD00" w:rsidR="006C4D54" w:rsidRDefault="006C4D54">
      <w:pPr>
        <w:pStyle w:val="FootnoteText"/>
      </w:pPr>
      <w:r>
        <w:rPr>
          <w:rStyle w:val="FootnoteReference"/>
        </w:rPr>
        <w:footnoteRef/>
      </w:r>
      <w:r>
        <w:t xml:space="preserve"> </w:t>
      </w:r>
      <w:r w:rsidR="000153F6" w:rsidRPr="000153F6">
        <w:t>16 U.S.C. 824o(d)(2).</w:t>
      </w:r>
    </w:p>
  </w:footnote>
  <w:footnote w:id="3">
    <w:p w14:paraId="0D3197B7" w14:textId="3E72A2B2" w:rsidR="000078BC" w:rsidRDefault="000078BC">
      <w:pPr>
        <w:pStyle w:val="FootnoteText"/>
      </w:pPr>
      <w:r>
        <w:rPr>
          <w:rStyle w:val="FootnoteReference"/>
        </w:rPr>
        <w:footnoteRef/>
      </w:r>
      <w:r>
        <w:t xml:space="preserve"> Reliability Standards </w:t>
      </w:r>
      <w:r w:rsidR="00F75B8C" w:rsidRPr="00F75B8C">
        <w:t>MOD-001-1a (Available Transmission System Capability), MOD-004-1 (Capacity Benefit Margin), MOD-008-1 (Transmission Reliability Margin Calculation Methodology), MOD-028-2 (Area Interchange Methodology), MOD-029-2a (Rated System Path Methodology), and MOD-030-3 (</w:t>
      </w:r>
      <w:proofErr w:type="spellStart"/>
      <w:r w:rsidR="00F75B8C" w:rsidRPr="00F75B8C">
        <w:t>Flowgate</w:t>
      </w:r>
      <w:proofErr w:type="spellEnd"/>
      <w:r w:rsidR="00F75B8C" w:rsidRPr="00F75B8C">
        <w:t xml:space="preserve"> Methodology)</w:t>
      </w:r>
      <w:r>
        <w:t>.</w:t>
      </w:r>
    </w:p>
  </w:footnote>
  <w:footnote w:id="4">
    <w:p w14:paraId="119A2EEF" w14:textId="77777777" w:rsidR="00AC4543" w:rsidRPr="00B31FE1" w:rsidRDefault="00AC4543" w:rsidP="00AC4543">
      <w:pPr>
        <w:pStyle w:val="FootnoteText"/>
      </w:pPr>
      <w:r w:rsidRPr="00B31FE1">
        <w:rPr>
          <w:rStyle w:val="FootnoteReference"/>
        </w:rPr>
        <w:footnoteRef/>
      </w:r>
      <w:r w:rsidRPr="00B31FE1">
        <w:t xml:space="preserve"> </w:t>
      </w:r>
      <w:r w:rsidRPr="00B31FE1">
        <w:rPr>
          <w:lang w:val="es-ES"/>
        </w:rPr>
        <w:t>16 U.S.C. 824o(c).</w:t>
      </w:r>
    </w:p>
  </w:footnote>
  <w:footnote w:id="5">
    <w:p w14:paraId="63073EA5" w14:textId="77777777" w:rsidR="00AC4543" w:rsidRPr="00B31FE1" w:rsidRDefault="00AC4543" w:rsidP="00AC4543">
      <w:pPr>
        <w:pStyle w:val="FootnoteText"/>
      </w:pPr>
      <w:r w:rsidRPr="00B31FE1">
        <w:rPr>
          <w:rStyle w:val="FootnoteReference"/>
        </w:rPr>
        <w:footnoteRef/>
      </w:r>
      <w:r w:rsidRPr="00B31FE1">
        <w:t xml:space="preserve"> </w:t>
      </w:r>
      <w:r w:rsidRPr="00B31FE1">
        <w:rPr>
          <w:i/>
          <w:iCs/>
        </w:rPr>
        <w:t>Id.</w:t>
      </w:r>
      <w:r w:rsidRPr="00B31FE1">
        <w:t xml:space="preserve"> 824o(e).</w:t>
      </w:r>
    </w:p>
  </w:footnote>
  <w:footnote w:id="6">
    <w:p w14:paraId="27FB2625" w14:textId="6E766B8E" w:rsidR="00AC4543" w:rsidRPr="00FA2AA8" w:rsidRDefault="00AC4543" w:rsidP="00AC4543">
      <w:pPr>
        <w:pStyle w:val="FootnoteText"/>
      </w:pPr>
      <w:r w:rsidRPr="00B31FE1">
        <w:rPr>
          <w:rStyle w:val="FootnoteReference"/>
        </w:rPr>
        <w:footnoteRef/>
      </w:r>
      <w:r w:rsidRPr="00B31FE1">
        <w:t xml:space="preserve"> </w:t>
      </w:r>
      <w:bookmarkStart w:id="3" w:name="_Hlk103322972"/>
      <w:r w:rsidRPr="00B31FE1">
        <w:rPr>
          <w:i/>
          <w:iCs/>
        </w:rPr>
        <w:t xml:space="preserve">Rules Concerning Certification of the Elec. Reliability Org. &amp; Procedures for </w:t>
      </w:r>
      <w:r w:rsidR="003238DE">
        <w:rPr>
          <w:i/>
          <w:iCs/>
        </w:rPr>
        <w:br/>
      </w:r>
      <w:r w:rsidRPr="00B31FE1">
        <w:rPr>
          <w:i/>
          <w:iCs/>
        </w:rPr>
        <w:t xml:space="preserve">the </w:t>
      </w:r>
      <w:r w:rsidRPr="00FA2AA8">
        <w:rPr>
          <w:i/>
          <w:iCs/>
        </w:rPr>
        <w:t xml:space="preserve">Establishment, Approval, &amp; </w:t>
      </w:r>
      <w:proofErr w:type="spellStart"/>
      <w:r w:rsidRPr="00FA2AA8">
        <w:rPr>
          <w:i/>
          <w:iCs/>
        </w:rPr>
        <w:t>Enf’t</w:t>
      </w:r>
      <w:proofErr w:type="spellEnd"/>
      <w:r w:rsidRPr="00FA2AA8">
        <w:rPr>
          <w:i/>
          <w:iCs/>
        </w:rPr>
        <w:t>. of Elec. Reliability Standards</w:t>
      </w:r>
      <w:r w:rsidRPr="00FA2AA8">
        <w:t>, Order No. 672, 114</w:t>
      </w:r>
      <w:r w:rsidR="0048394F" w:rsidRPr="00FA2AA8">
        <w:t> </w:t>
      </w:r>
      <w:r w:rsidRPr="00FA2AA8">
        <w:t xml:space="preserve">FERC ¶ 61,104, </w:t>
      </w:r>
      <w:r w:rsidRPr="00FA2AA8">
        <w:rPr>
          <w:i/>
          <w:iCs/>
        </w:rPr>
        <w:t>order on reh’g</w:t>
      </w:r>
      <w:r w:rsidRPr="00FA2AA8">
        <w:t>, Order No. 672-A, 114 FERC ¶ 61,328 (2006).</w:t>
      </w:r>
      <w:bookmarkEnd w:id="3"/>
    </w:p>
  </w:footnote>
  <w:footnote w:id="7">
    <w:p w14:paraId="68F329FD" w14:textId="77777777" w:rsidR="00AC4543" w:rsidRPr="00FA2AA8" w:rsidRDefault="00AC4543" w:rsidP="00AC4543">
      <w:pPr>
        <w:pStyle w:val="FootnoteText"/>
        <w:spacing w:after="0"/>
      </w:pPr>
      <w:r w:rsidRPr="00FA2AA8">
        <w:rPr>
          <w:rStyle w:val="FootnoteReference"/>
        </w:rPr>
        <w:footnoteRef/>
      </w:r>
      <w:r w:rsidRPr="00FA2AA8">
        <w:t xml:space="preserve"> </w:t>
      </w:r>
      <w:r w:rsidRPr="00FA2AA8">
        <w:rPr>
          <w:i/>
          <w:iCs/>
        </w:rPr>
        <w:t>N. Am. Elec. Reliability Corp.</w:t>
      </w:r>
      <w:r w:rsidRPr="00FA2AA8">
        <w:t xml:space="preserve">, 116 FERC ¶ 61,062, </w:t>
      </w:r>
      <w:r w:rsidRPr="00FA2AA8">
        <w:rPr>
          <w:i/>
          <w:iCs/>
        </w:rPr>
        <w:t>order on reh’g</w:t>
      </w:r>
      <w:r w:rsidRPr="00FA2AA8">
        <w:t xml:space="preserve"> </w:t>
      </w:r>
      <w:r w:rsidRPr="00FA2AA8">
        <w:rPr>
          <w:i/>
          <w:iCs/>
        </w:rPr>
        <w:t>and compliance</w:t>
      </w:r>
      <w:r w:rsidRPr="00FA2AA8">
        <w:t xml:space="preserve">, 117 FERC ¶ 61,126 (2006), </w:t>
      </w:r>
      <w:r w:rsidRPr="00FA2AA8">
        <w:rPr>
          <w:i/>
          <w:iCs/>
        </w:rPr>
        <w:t>aff’d sub nom. Alcoa, Inc. v. FERC</w:t>
      </w:r>
      <w:r w:rsidRPr="00FA2AA8">
        <w:t>, 564 F.3d 1342 (D.C. Cir. 2009).</w:t>
      </w:r>
    </w:p>
    <w:p w14:paraId="539EB2DD" w14:textId="77777777" w:rsidR="00AC4543" w:rsidRPr="00FA2AA8" w:rsidRDefault="00AC4543" w:rsidP="00AC4543">
      <w:pPr>
        <w:pStyle w:val="FootnoteText"/>
        <w:spacing w:after="0"/>
      </w:pPr>
    </w:p>
  </w:footnote>
  <w:footnote w:id="8">
    <w:p w14:paraId="3C3E6906" w14:textId="42A8D577" w:rsidR="00BD16D7" w:rsidRPr="00BD16D7" w:rsidRDefault="00BD16D7">
      <w:pPr>
        <w:pStyle w:val="FootnoteText"/>
      </w:pPr>
      <w:r>
        <w:rPr>
          <w:rStyle w:val="FootnoteReference"/>
        </w:rPr>
        <w:footnoteRef/>
      </w:r>
      <w:r>
        <w:t xml:space="preserve"> </w:t>
      </w:r>
      <w:r>
        <w:rPr>
          <w:i/>
          <w:iCs/>
        </w:rPr>
        <w:t xml:space="preserve">Id. </w:t>
      </w:r>
      <w:r>
        <w:t xml:space="preserve">at </w:t>
      </w:r>
      <w:r w:rsidR="00871869">
        <w:t>21-</w:t>
      </w:r>
      <w:r>
        <w:t>22.</w:t>
      </w:r>
    </w:p>
  </w:footnote>
  <w:footnote w:id="9">
    <w:p w14:paraId="028FAACB" w14:textId="3D0939CC" w:rsidR="000078BC" w:rsidRDefault="000078BC" w:rsidP="000078BC">
      <w:pPr>
        <w:pStyle w:val="FootnoteText"/>
      </w:pPr>
      <w:r>
        <w:rPr>
          <w:rStyle w:val="FootnoteReference"/>
        </w:rPr>
        <w:footnoteRef/>
      </w:r>
      <w:r>
        <w:t xml:space="preserve"> </w:t>
      </w:r>
      <w:r w:rsidR="00FB7254">
        <w:t>NERC Petition at 18 (</w:t>
      </w:r>
      <w:r w:rsidR="00FB7254">
        <w:rPr>
          <w:i/>
          <w:iCs/>
        </w:rPr>
        <w:t xml:space="preserve">citing </w:t>
      </w:r>
      <w:r w:rsidR="00FB7254" w:rsidRPr="00BD16D7">
        <w:rPr>
          <w:i/>
          <w:iCs/>
        </w:rPr>
        <w:t xml:space="preserve">Preventing Undue Discrimination </w:t>
      </w:r>
      <w:r w:rsidR="00FB7254">
        <w:rPr>
          <w:i/>
          <w:iCs/>
        </w:rPr>
        <w:t>&amp;</w:t>
      </w:r>
      <w:r w:rsidR="00FB7254" w:rsidRPr="00BD16D7">
        <w:rPr>
          <w:i/>
          <w:iCs/>
        </w:rPr>
        <w:t xml:space="preserve"> Preference in Transmission Serv</w:t>
      </w:r>
      <w:r w:rsidR="00FB7254">
        <w:rPr>
          <w:i/>
          <w:iCs/>
        </w:rPr>
        <w:t>.</w:t>
      </w:r>
      <w:r w:rsidR="00FB7254">
        <w:t xml:space="preserve">, Order No. 890, 72 FR 12266 (Mar. 15, 2007),118 FERC ¶ 61,119 , </w:t>
      </w:r>
      <w:r w:rsidR="00FB7254" w:rsidRPr="00BD16D7">
        <w:rPr>
          <w:i/>
          <w:iCs/>
        </w:rPr>
        <w:t>order on reh’g</w:t>
      </w:r>
      <w:r w:rsidR="00FB7254">
        <w:t>, Order No. 890-A,73 FR 2984 (Jan. 16,</w:t>
      </w:r>
      <w:r w:rsidR="00872C18">
        <w:t xml:space="preserve"> </w:t>
      </w:r>
      <w:r w:rsidR="00FB7254">
        <w:t xml:space="preserve">2008) 121 FERC ¶ 61,297 (2007), </w:t>
      </w:r>
      <w:r w:rsidR="00FB7254" w:rsidRPr="00BD16D7">
        <w:rPr>
          <w:i/>
          <w:iCs/>
        </w:rPr>
        <w:t>order on reh’g</w:t>
      </w:r>
      <w:r w:rsidR="00FB7254">
        <w:t xml:space="preserve">, Order No. 890-B, 123 FERC ¶ 61,299 (2008), </w:t>
      </w:r>
      <w:r w:rsidR="00FB7254" w:rsidRPr="00BD16D7">
        <w:rPr>
          <w:i/>
          <w:iCs/>
        </w:rPr>
        <w:t>order on reh’g</w:t>
      </w:r>
      <w:r w:rsidR="00FB7254">
        <w:t xml:space="preserve">, Order </w:t>
      </w:r>
      <w:r w:rsidR="00FB7254">
        <w:br/>
        <w:t xml:space="preserve">No. 890-C, 74 FR 12540 (Mar. 25, 2009), 126 FERC ¶ 61,228 (2009); </w:t>
      </w:r>
      <w:r w:rsidR="00FB7254" w:rsidRPr="00BD16D7">
        <w:rPr>
          <w:i/>
          <w:iCs/>
        </w:rPr>
        <w:t>Mandatory Reliability Standards for the Bulk-Power Sys</w:t>
      </w:r>
      <w:r w:rsidR="00FB7254">
        <w:rPr>
          <w:i/>
          <w:iCs/>
        </w:rPr>
        <w:t>.</w:t>
      </w:r>
      <w:r w:rsidR="00FB7254" w:rsidRPr="00BD16D7">
        <w:t>, Order No. 693</w:t>
      </w:r>
      <w:r w:rsidR="00FB7254">
        <w:t xml:space="preserve">, </w:t>
      </w:r>
      <w:r w:rsidR="00FB7254" w:rsidRPr="0066077B">
        <w:t>72 FR 16416</w:t>
      </w:r>
      <w:r w:rsidR="00FB7254">
        <w:t xml:space="preserve"> (Apr. 4, 2007), </w:t>
      </w:r>
      <w:r w:rsidR="00FB7254" w:rsidRPr="00FE1A76">
        <w:t>118 FERC ¶ 61,218,</w:t>
      </w:r>
      <w:r w:rsidR="00FB7254" w:rsidRPr="00BD16D7">
        <w:t xml:space="preserve"> </w:t>
      </w:r>
      <w:r w:rsidR="00FB7254">
        <w:t xml:space="preserve">at </w:t>
      </w:r>
      <w:r w:rsidR="00FB7254" w:rsidRPr="00BD16D7">
        <w:t xml:space="preserve">PP 1020-1126 </w:t>
      </w:r>
      <w:r w:rsidR="00FB7254" w:rsidRPr="00FE1A76">
        <w:rPr>
          <w:i/>
          <w:iCs/>
        </w:rPr>
        <w:t>order on reh’g</w:t>
      </w:r>
      <w:r w:rsidR="00FB7254" w:rsidRPr="00FE1A76">
        <w:t>, Order No. 693-A, 120 FERC ¶ 61,053 (2007)</w:t>
      </w:r>
      <w:r w:rsidR="00FB7254">
        <w:t xml:space="preserve">).  In 2009, the Commission approved the six MOD Reliability Standards containing methodologies for calculating Available Transfer Capability (ATC) or Available </w:t>
      </w:r>
      <w:proofErr w:type="spellStart"/>
      <w:r w:rsidR="00FB7254">
        <w:t>Flowgate</w:t>
      </w:r>
      <w:proofErr w:type="spellEnd"/>
      <w:r w:rsidR="00FB7254">
        <w:t xml:space="preserve"> Capacity (AFC). </w:t>
      </w:r>
      <w:r w:rsidR="00FB7254">
        <w:rPr>
          <w:i/>
          <w:iCs/>
        </w:rPr>
        <w:t>See,</w:t>
      </w:r>
      <w:r w:rsidR="00FB7254">
        <w:t xml:space="preserve"> </w:t>
      </w:r>
      <w:r w:rsidR="00FB7254" w:rsidRPr="00BD16D7">
        <w:rPr>
          <w:i/>
          <w:iCs/>
        </w:rPr>
        <w:t xml:space="preserve">Mandatory Reliability Standards for the Calculation of Available Transfer Capability, Capacity Benefit Margins, Transmission Reliability Margins, Total Transfer Capability, </w:t>
      </w:r>
      <w:r w:rsidR="00FB7254">
        <w:rPr>
          <w:i/>
          <w:iCs/>
        </w:rPr>
        <w:t>&amp;</w:t>
      </w:r>
      <w:r w:rsidR="00FB7254" w:rsidRPr="00BD16D7">
        <w:rPr>
          <w:i/>
          <w:iCs/>
        </w:rPr>
        <w:t xml:space="preserve"> Existing Transmission Commitments </w:t>
      </w:r>
      <w:r w:rsidR="00FB7254">
        <w:rPr>
          <w:i/>
          <w:iCs/>
        </w:rPr>
        <w:t xml:space="preserve">&amp; </w:t>
      </w:r>
      <w:r w:rsidR="00FB7254" w:rsidRPr="00BD16D7">
        <w:rPr>
          <w:i/>
          <w:iCs/>
        </w:rPr>
        <w:t>Mandatory Reliability</w:t>
      </w:r>
      <w:r w:rsidR="00FB7254" w:rsidRPr="00BD16D7">
        <w:rPr>
          <w:i/>
          <w:iCs/>
          <w:szCs w:val="22"/>
        </w:rPr>
        <w:t xml:space="preserve"> </w:t>
      </w:r>
      <w:r w:rsidR="00FB7254" w:rsidRPr="00BD16D7">
        <w:rPr>
          <w:i/>
          <w:iCs/>
        </w:rPr>
        <w:t>Standards for the Bulk-Power Sys</w:t>
      </w:r>
      <w:r w:rsidR="00FB7254">
        <w:rPr>
          <w:i/>
          <w:iCs/>
        </w:rPr>
        <w:t>.</w:t>
      </w:r>
      <w:r w:rsidR="00FB7254" w:rsidRPr="00BD16D7">
        <w:t xml:space="preserve">, Order No. 729, </w:t>
      </w:r>
      <w:r w:rsidR="00FB7254" w:rsidRPr="0066077B">
        <w:t>74 FR 64884</w:t>
      </w:r>
      <w:r w:rsidR="00FB7254">
        <w:t xml:space="preserve"> (Dec 8, 2009), </w:t>
      </w:r>
      <w:r w:rsidR="00FB7254" w:rsidRPr="00BD16D7">
        <w:t xml:space="preserve">129 FERC ¶ 61,155 (2009), </w:t>
      </w:r>
      <w:r w:rsidR="00FB7254" w:rsidRPr="00BD16D7">
        <w:rPr>
          <w:i/>
          <w:iCs/>
        </w:rPr>
        <w:t>order on reh’g</w:t>
      </w:r>
      <w:r w:rsidR="00FB7254" w:rsidRPr="00BD16D7">
        <w:t>, Order No. 729-A,</w:t>
      </w:r>
      <w:r w:rsidR="00FB7254">
        <w:t xml:space="preserve">75 FR 26057 (May 11, </w:t>
      </w:r>
      <w:r w:rsidR="00FB7254" w:rsidRPr="00BD16D7">
        <w:t>131 FERC ¶ 61,109 (2010)</w:t>
      </w:r>
      <w:r w:rsidR="00FB7254">
        <w:t>.</w:t>
      </w:r>
    </w:p>
  </w:footnote>
  <w:footnote w:id="10">
    <w:p w14:paraId="50B09636" w14:textId="69405079" w:rsidR="0084643D" w:rsidRDefault="0084643D">
      <w:pPr>
        <w:pStyle w:val="FootnoteText"/>
      </w:pPr>
      <w:r>
        <w:rPr>
          <w:rStyle w:val="FootnoteReference"/>
        </w:rPr>
        <w:footnoteRef/>
      </w:r>
      <w:r>
        <w:t xml:space="preserve"> </w:t>
      </w:r>
      <w:r w:rsidR="00FE1A76">
        <w:t xml:space="preserve">NERC </w:t>
      </w:r>
      <w:r>
        <w:t>Petition at 21.</w:t>
      </w:r>
    </w:p>
  </w:footnote>
  <w:footnote w:id="11">
    <w:p w14:paraId="37A897BC" w14:textId="79A6900F" w:rsidR="00FE1A76" w:rsidRDefault="00FE1A76">
      <w:pPr>
        <w:pStyle w:val="FootnoteText"/>
      </w:pPr>
      <w:r>
        <w:rPr>
          <w:rStyle w:val="FootnoteReference"/>
        </w:rPr>
        <w:footnoteRef/>
      </w:r>
      <w:r>
        <w:t xml:space="preserve"> </w:t>
      </w:r>
      <w:r w:rsidR="00F13A6F" w:rsidRPr="00FE1A76">
        <w:rPr>
          <w:i/>
          <w:iCs/>
        </w:rPr>
        <w:t>Elec</w:t>
      </w:r>
      <w:r w:rsidR="00F13A6F">
        <w:rPr>
          <w:i/>
          <w:iCs/>
        </w:rPr>
        <w:t>.</w:t>
      </w:r>
      <w:r w:rsidR="00F13A6F" w:rsidRPr="00FE1A76">
        <w:rPr>
          <w:i/>
          <w:iCs/>
        </w:rPr>
        <w:t xml:space="preserve"> Reliability Org</w:t>
      </w:r>
      <w:r w:rsidR="00F13A6F">
        <w:rPr>
          <w:i/>
          <w:iCs/>
        </w:rPr>
        <w:t>.</w:t>
      </w:r>
      <w:r w:rsidR="00F13A6F" w:rsidRPr="00FE1A76">
        <w:rPr>
          <w:i/>
          <w:iCs/>
        </w:rPr>
        <w:t xml:space="preserve"> Proposal to Retire Requirements in Reliability Standards Under the NERC Standards Efficiency Rev</w:t>
      </w:r>
      <w:r w:rsidR="00F13A6F">
        <w:rPr>
          <w:i/>
          <w:iCs/>
        </w:rPr>
        <w:t>.</w:t>
      </w:r>
      <w:r w:rsidR="00F13A6F" w:rsidRPr="00FE1A76">
        <w:rPr>
          <w:i/>
          <w:iCs/>
        </w:rPr>
        <w:t xml:space="preserve">, </w:t>
      </w:r>
      <w:r w:rsidR="00F13A6F" w:rsidRPr="00657030">
        <w:t>Notice of Proposed Rulemaking</w:t>
      </w:r>
      <w:r w:rsidR="00F13A6F">
        <w:t>, 170 FERC ¶ 61,032 (Jan. 23, 2020) (NOPR)</w:t>
      </w:r>
      <w:r w:rsidR="000F7BBA">
        <w:t>.</w:t>
      </w:r>
    </w:p>
  </w:footnote>
  <w:footnote w:id="12">
    <w:p w14:paraId="1A0EBD4B" w14:textId="3D213E5E" w:rsidR="000078BC" w:rsidRDefault="000078BC" w:rsidP="000078BC">
      <w:pPr>
        <w:pStyle w:val="FootnoteText"/>
      </w:pPr>
      <w:r>
        <w:rPr>
          <w:rStyle w:val="FootnoteReference"/>
        </w:rPr>
        <w:footnoteRef/>
      </w:r>
      <w:r>
        <w:t xml:space="preserve"> </w:t>
      </w:r>
      <w:r w:rsidR="00FE1A76">
        <w:rPr>
          <w:i/>
          <w:iCs/>
        </w:rPr>
        <w:t>Id.</w:t>
      </w:r>
      <w:r>
        <w:t xml:space="preserve"> P 21 n.35.</w:t>
      </w:r>
    </w:p>
  </w:footnote>
  <w:footnote w:id="13">
    <w:p w14:paraId="18C62A26" w14:textId="3E5847F7" w:rsidR="00597BC0" w:rsidRDefault="00597BC0" w:rsidP="00597BC0">
      <w:pPr>
        <w:pStyle w:val="FootnoteText"/>
      </w:pPr>
      <w:r>
        <w:rPr>
          <w:rStyle w:val="FootnoteReference"/>
        </w:rPr>
        <w:footnoteRef/>
      </w:r>
      <w:r>
        <w:t xml:space="preserve"> </w:t>
      </w:r>
      <w:r>
        <w:rPr>
          <w:i/>
          <w:iCs/>
        </w:rPr>
        <w:t>Id</w:t>
      </w:r>
      <w:r>
        <w:t>.</w:t>
      </w:r>
    </w:p>
  </w:footnote>
  <w:footnote w:id="14">
    <w:p w14:paraId="7D74727B" w14:textId="2E4ECEAB" w:rsidR="000078BC" w:rsidRPr="00A1431B" w:rsidRDefault="000078BC" w:rsidP="000078BC">
      <w:pPr>
        <w:pStyle w:val="FootnoteText"/>
      </w:pPr>
      <w:r>
        <w:rPr>
          <w:rStyle w:val="FootnoteReference"/>
        </w:rPr>
        <w:footnoteRef/>
      </w:r>
      <w:r>
        <w:t xml:space="preserve"> </w:t>
      </w:r>
      <w:r w:rsidR="00F13A6F">
        <w:rPr>
          <w:i/>
          <w:iCs/>
        </w:rPr>
        <w:t>Id.</w:t>
      </w:r>
      <w:r w:rsidR="00F13A6F">
        <w:t xml:space="preserve"> P 1 (</w:t>
      </w:r>
      <w:r w:rsidR="00F13A6F">
        <w:rPr>
          <w:i/>
          <w:iCs/>
        </w:rPr>
        <w:t xml:space="preserve">citing N. Am. Elec. Reliability Corp., </w:t>
      </w:r>
      <w:r w:rsidR="00F13A6F">
        <w:t xml:space="preserve">138 FERC ¶ 61,193, at P 81 (March 2012 Order), </w:t>
      </w:r>
      <w:r w:rsidR="00F13A6F">
        <w:rPr>
          <w:i/>
          <w:iCs/>
        </w:rPr>
        <w:t xml:space="preserve">order on reh’g and clarification, </w:t>
      </w:r>
      <w:r w:rsidR="00F13A6F">
        <w:t xml:space="preserve">139 FERC ¶ 61,168 (2012); </w:t>
      </w:r>
      <w:r w:rsidR="00F13A6F">
        <w:rPr>
          <w:i/>
          <w:iCs/>
        </w:rPr>
        <w:t xml:space="preserve">Elec. Reliability Org. Proposal to Retire Requirements in Reliability Standards, </w:t>
      </w:r>
      <w:r w:rsidR="00F13A6F">
        <w:t>Order No. 788, 78 FR 73424 (Dec. 6, 2013), 145 FERC ¶ 61,147, at P 1 (2013)).</w:t>
      </w:r>
    </w:p>
  </w:footnote>
  <w:footnote w:id="15">
    <w:p w14:paraId="7758DE81" w14:textId="38D3250E" w:rsidR="000078BC" w:rsidRPr="00F17A82" w:rsidRDefault="000078BC" w:rsidP="000078BC">
      <w:pPr>
        <w:pStyle w:val="FootnoteText"/>
      </w:pPr>
      <w:r>
        <w:rPr>
          <w:rStyle w:val="FootnoteReference"/>
        </w:rPr>
        <w:footnoteRef/>
      </w:r>
      <w:r>
        <w:t xml:space="preserve"> </w:t>
      </w:r>
      <w:r>
        <w:rPr>
          <w:i/>
          <w:iCs/>
        </w:rPr>
        <w:t xml:space="preserve">Id. </w:t>
      </w:r>
      <w:r>
        <w:t>P 25.</w:t>
      </w:r>
    </w:p>
  </w:footnote>
  <w:footnote w:id="16">
    <w:p w14:paraId="275CE497" w14:textId="3B17F2D1" w:rsidR="000078BC" w:rsidRPr="008F03C6" w:rsidRDefault="000078BC" w:rsidP="000078BC">
      <w:pPr>
        <w:pStyle w:val="FootnoteText"/>
      </w:pPr>
      <w:r>
        <w:rPr>
          <w:rStyle w:val="FootnoteReference"/>
        </w:rPr>
        <w:footnoteRef/>
      </w:r>
      <w:r>
        <w:t xml:space="preserve"> </w:t>
      </w:r>
      <w:r>
        <w:rPr>
          <w:i/>
          <w:iCs/>
        </w:rPr>
        <w:t xml:space="preserve">Id. </w:t>
      </w:r>
      <w:r>
        <w:t>P 21.</w:t>
      </w:r>
    </w:p>
  </w:footnote>
  <w:footnote w:id="17">
    <w:p w14:paraId="4F5B50FE" w14:textId="77777777" w:rsidR="00597BC0" w:rsidRPr="0023747E" w:rsidRDefault="00597BC0" w:rsidP="00597BC0">
      <w:pPr>
        <w:pStyle w:val="FootnoteText"/>
      </w:pPr>
      <w:r>
        <w:rPr>
          <w:rStyle w:val="FootnoteReference"/>
        </w:rPr>
        <w:footnoteRef/>
      </w:r>
      <w:r>
        <w:t xml:space="preserve"> </w:t>
      </w:r>
      <w:r>
        <w:rPr>
          <w:i/>
          <w:iCs/>
        </w:rPr>
        <w:t>See id.</w:t>
      </w:r>
      <w:r>
        <w:t xml:space="preserve"> P 22 (</w:t>
      </w:r>
      <w:r w:rsidRPr="003A6D9D">
        <w:t>citing</w:t>
      </w:r>
      <w:r>
        <w:rPr>
          <w:i/>
          <w:iCs/>
        </w:rPr>
        <w:t xml:space="preserve"> </w:t>
      </w:r>
      <w:r>
        <w:t>NERC Petition at 21).</w:t>
      </w:r>
    </w:p>
  </w:footnote>
  <w:footnote w:id="18">
    <w:p w14:paraId="6A376F3F" w14:textId="65F7FC89" w:rsidR="000078BC" w:rsidRDefault="000078BC">
      <w:pPr>
        <w:pStyle w:val="FootnoteText"/>
      </w:pPr>
      <w:r>
        <w:rPr>
          <w:rStyle w:val="FootnoteReference"/>
        </w:rPr>
        <w:footnoteRef/>
      </w:r>
      <w:r>
        <w:t xml:space="preserve"> </w:t>
      </w:r>
      <w:r w:rsidR="00B841AA">
        <w:t xml:space="preserve">These two </w:t>
      </w:r>
      <w:r>
        <w:t xml:space="preserve">comments were received from the </w:t>
      </w:r>
      <w:r w:rsidRPr="000078BC">
        <w:t>Bonneville Power Administration (Bonneville)</w:t>
      </w:r>
      <w:r>
        <w:t xml:space="preserve"> and the </w:t>
      </w:r>
      <w:r w:rsidRPr="000078BC">
        <w:t>Western Area Power Administration (WAPA)</w:t>
      </w:r>
      <w:r>
        <w:t>.</w:t>
      </w:r>
    </w:p>
  </w:footnote>
  <w:footnote w:id="19">
    <w:p w14:paraId="075ED704" w14:textId="77777777" w:rsidR="00E9700D" w:rsidRDefault="00E9700D" w:rsidP="00E9700D">
      <w:pPr>
        <w:pStyle w:val="FootnoteText"/>
      </w:pPr>
      <w:r>
        <w:rPr>
          <w:rStyle w:val="FootnoteReference"/>
        </w:rPr>
        <w:footnoteRef/>
      </w:r>
      <w:r>
        <w:t xml:space="preserve"> Bonneville Comments at 3.</w:t>
      </w:r>
    </w:p>
  </w:footnote>
  <w:footnote w:id="20">
    <w:p w14:paraId="5C6B6395" w14:textId="77777777" w:rsidR="00E9700D" w:rsidRPr="00016768" w:rsidRDefault="00E9700D" w:rsidP="00E9700D">
      <w:pPr>
        <w:pStyle w:val="FootnoteText"/>
      </w:pPr>
      <w:r>
        <w:rPr>
          <w:rStyle w:val="FootnoteReference"/>
        </w:rPr>
        <w:footnoteRef/>
      </w:r>
      <w:r>
        <w:t xml:space="preserve"> </w:t>
      </w:r>
      <w:r>
        <w:rPr>
          <w:i/>
          <w:iCs/>
        </w:rPr>
        <w:t>Id.</w:t>
      </w:r>
    </w:p>
  </w:footnote>
  <w:footnote w:id="21">
    <w:p w14:paraId="1ED82EA3" w14:textId="77777777" w:rsidR="00E9700D" w:rsidRDefault="00E9700D" w:rsidP="00E9700D">
      <w:pPr>
        <w:pStyle w:val="FootnoteText"/>
      </w:pPr>
      <w:r>
        <w:rPr>
          <w:rStyle w:val="FootnoteReference"/>
        </w:rPr>
        <w:footnoteRef/>
      </w:r>
      <w:r>
        <w:t xml:space="preserve"> WAPA Comments at 3.</w:t>
      </w:r>
    </w:p>
  </w:footnote>
  <w:footnote w:id="22">
    <w:p w14:paraId="4205868B" w14:textId="77777777" w:rsidR="00377EA3" w:rsidRPr="0055238A" w:rsidRDefault="00377EA3" w:rsidP="00377EA3">
      <w:pPr>
        <w:pStyle w:val="FootnoteText"/>
      </w:pPr>
      <w:r>
        <w:rPr>
          <w:rStyle w:val="FootnoteReference"/>
        </w:rPr>
        <w:footnoteRef/>
      </w:r>
      <w:r>
        <w:t xml:space="preserve"> </w:t>
      </w:r>
      <w:r>
        <w:rPr>
          <w:i/>
          <w:iCs/>
        </w:rPr>
        <w:t xml:space="preserve">Id. </w:t>
      </w:r>
      <w:r>
        <w:t>at 5.</w:t>
      </w:r>
    </w:p>
  </w:footnote>
  <w:footnote w:id="23">
    <w:p w14:paraId="61063425" w14:textId="27844D76" w:rsidR="00762740" w:rsidRDefault="00762740">
      <w:pPr>
        <w:pStyle w:val="FootnoteText"/>
      </w:pPr>
      <w:r>
        <w:rPr>
          <w:rStyle w:val="FootnoteReference"/>
        </w:rPr>
        <w:footnoteRef/>
      </w:r>
      <w:r>
        <w:t xml:space="preserve"> </w:t>
      </w:r>
      <w:r w:rsidR="00F13A6F" w:rsidRPr="00762740">
        <w:rPr>
          <w:i/>
          <w:iCs/>
        </w:rPr>
        <w:t>Elec</w:t>
      </w:r>
      <w:r w:rsidR="00F13A6F">
        <w:rPr>
          <w:i/>
          <w:iCs/>
        </w:rPr>
        <w:t>.</w:t>
      </w:r>
      <w:r w:rsidR="00F13A6F" w:rsidRPr="00762740">
        <w:rPr>
          <w:i/>
          <w:iCs/>
        </w:rPr>
        <w:t xml:space="preserve"> Reliability Org</w:t>
      </w:r>
      <w:r w:rsidR="00F13A6F">
        <w:rPr>
          <w:i/>
          <w:iCs/>
        </w:rPr>
        <w:t>.</w:t>
      </w:r>
      <w:r w:rsidR="00F13A6F" w:rsidRPr="00762740">
        <w:rPr>
          <w:i/>
          <w:iCs/>
        </w:rPr>
        <w:t xml:space="preserve"> Proposal to Retire Requirements in Reliability Standards Under the NERC Standards Efficiency Rev</w:t>
      </w:r>
      <w:r w:rsidR="00F13A6F">
        <w:rPr>
          <w:i/>
          <w:iCs/>
        </w:rPr>
        <w:t>.</w:t>
      </w:r>
      <w:r w:rsidR="00F13A6F">
        <w:t xml:space="preserve">, Order No. 873, </w:t>
      </w:r>
      <w:r w:rsidR="00F13A6F" w:rsidRPr="00762740">
        <w:t>172 FERC ¶ 61,225</w:t>
      </w:r>
      <w:r w:rsidR="00F13A6F">
        <w:t xml:space="preserve"> (2020).</w:t>
      </w:r>
    </w:p>
  </w:footnote>
  <w:footnote w:id="24">
    <w:p w14:paraId="54D1C269" w14:textId="7B643E7D" w:rsidR="0022369F" w:rsidRDefault="0022369F">
      <w:pPr>
        <w:pStyle w:val="FootnoteText"/>
      </w:pPr>
      <w:r>
        <w:rPr>
          <w:rStyle w:val="FootnoteReference"/>
        </w:rPr>
        <w:footnoteRef/>
      </w:r>
      <w:r>
        <w:t xml:space="preserve"> </w:t>
      </w:r>
      <w:r w:rsidRPr="0022369F">
        <w:t>NERC withdrew the originally requested retirement of Reliability Standard VAR-001-6, Requirement R2 on May 14, 2020.</w:t>
      </w:r>
    </w:p>
  </w:footnote>
  <w:footnote w:id="25">
    <w:p w14:paraId="14D90BE4" w14:textId="762FFABF" w:rsidR="00365AA0" w:rsidRPr="005453EA" w:rsidRDefault="00365AA0">
      <w:pPr>
        <w:pStyle w:val="FootnoteText"/>
      </w:pPr>
      <w:r>
        <w:rPr>
          <w:rStyle w:val="FootnoteReference"/>
        </w:rPr>
        <w:footnoteRef/>
      </w:r>
      <w:r>
        <w:t xml:space="preserve"> </w:t>
      </w:r>
      <w:r w:rsidR="005453EA">
        <w:rPr>
          <w:i/>
          <w:iCs/>
        </w:rPr>
        <w:t xml:space="preserve">Id. </w:t>
      </w:r>
      <w:r w:rsidR="005453EA">
        <w:t>P 4.</w:t>
      </w:r>
    </w:p>
  </w:footnote>
  <w:footnote w:id="26">
    <w:p w14:paraId="50822BC5" w14:textId="6103C348" w:rsidR="00F75B8C" w:rsidRPr="0021188D" w:rsidRDefault="00F75B8C" w:rsidP="00F75B8C">
      <w:pPr>
        <w:pStyle w:val="FootnoteText"/>
      </w:pPr>
      <w:r>
        <w:rPr>
          <w:rStyle w:val="FootnoteReference"/>
        </w:rPr>
        <w:footnoteRef/>
      </w:r>
      <w:r>
        <w:t xml:space="preserve"> </w:t>
      </w:r>
      <w:r w:rsidR="00F13A6F">
        <w:rPr>
          <w:i/>
          <w:iCs/>
        </w:rPr>
        <w:t xml:space="preserve">Id. </w:t>
      </w:r>
      <w:r w:rsidR="00F13A6F">
        <w:t>(</w:t>
      </w:r>
      <w:r w:rsidR="00F13A6F">
        <w:rPr>
          <w:i/>
          <w:iCs/>
        </w:rPr>
        <w:t xml:space="preserve">citing </w:t>
      </w:r>
      <w:r w:rsidR="00F13A6F" w:rsidRPr="005453EA">
        <w:rPr>
          <w:i/>
          <w:iCs/>
        </w:rPr>
        <w:t>Standards for Bus</w:t>
      </w:r>
      <w:r w:rsidR="00F13A6F">
        <w:rPr>
          <w:i/>
          <w:iCs/>
        </w:rPr>
        <w:t>.</w:t>
      </w:r>
      <w:r w:rsidR="00F13A6F" w:rsidRPr="005453EA">
        <w:rPr>
          <w:i/>
          <w:iCs/>
        </w:rPr>
        <w:t xml:space="preserve"> </w:t>
      </w:r>
      <w:proofErr w:type="spellStart"/>
      <w:r w:rsidR="00F13A6F" w:rsidRPr="005453EA">
        <w:rPr>
          <w:i/>
          <w:iCs/>
        </w:rPr>
        <w:t>Pracs</w:t>
      </w:r>
      <w:proofErr w:type="spellEnd"/>
      <w:r w:rsidR="00F13A6F">
        <w:rPr>
          <w:i/>
          <w:iCs/>
        </w:rPr>
        <w:t>.</w:t>
      </w:r>
      <w:r w:rsidR="00F13A6F" w:rsidRPr="005453EA">
        <w:rPr>
          <w:i/>
          <w:iCs/>
        </w:rPr>
        <w:t xml:space="preserve"> </w:t>
      </w:r>
      <w:r w:rsidR="00F13A6F">
        <w:rPr>
          <w:i/>
          <w:iCs/>
        </w:rPr>
        <w:t>&amp;</w:t>
      </w:r>
      <w:r w:rsidR="00F13A6F" w:rsidRPr="005453EA">
        <w:rPr>
          <w:i/>
          <w:iCs/>
        </w:rPr>
        <w:t xml:space="preserve"> Commc</w:t>
      </w:r>
      <w:r w:rsidR="00F13A6F">
        <w:rPr>
          <w:i/>
          <w:iCs/>
        </w:rPr>
        <w:t>’</w:t>
      </w:r>
      <w:r w:rsidR="00F13A6F" w:rsidRPr="005453EA">
        <w:rPr>
          <w:i/>
          <w:iCs/>
        </w:rPr>
        <w:t>n Protocols for Pub</w:t>
      </w:r>
      <w:r w:rsidR="00F13A6F">
        <w:rPr>
          <w:i/>
          <w:iCs/>
        </w:rPr>
        <w:t>.</w:t>
      </w:r>
      <w:r w:rsidR="00F13A6F" w:rsidRPr="005453EA">
        <w:rPr>
          <w:i/>
          <w:iCs/>
        </w:rPr>
        <w:t xml:space="preserve"> Utils</w:t>
      </w:r>
      <w:r w:rsidR="00F13A6F">
        <w:rPr>
          <w:i/>
          <w:iCs/>
        </w:rPr>
        <w:t>.</w:t>
      </w:r>
      <w:r w:rsidR="00F13A6F" w:rsidRPr="005453EA">
        <w:t>, Notice of Proposed Rulemaking, 172 FERC ¶ 61,047 (2020)</w:t>
      </w:r>
      <w:r w:rsidR="00F13A6F">
        <w:t>)</w:t>
      </w:r>
      <w:r w:rsidR="00F13A6F" w:rsidRPr="005453EA">
        <w:t>.</w:t>
      </w:r>
    </w:p>
  </w:footnote>
  <w:footnote w:id="27">
    <w:p w14:paraId="1EEAB399" w14:textId="5DD5DFEC" w:rsidR="00F75B8C" w:rsidRPr="003E5D34" w:rsidRDefault="00F75B8C" w:rsidP="00F75B8C">
      <w:pPr>
        <w:pStyle w:val="FootnoteText"/>
      </w:pPr>
      <w:r>
        <w:rPr>
          <w:rStyle w:val="FootnoteReference"/>
        </w:rPr>
        <w:footnoteRef/>
      </w:r>
      <w:r>
        <w:t xml:space="preserve"> </w:t>
      </w:r>
      <w:r w:rsidR="005453EA">
        <w:rPr>
          <w:i/>
          <w:iCs/>
        </w:rPr>
        <w:t>Id.</w:t>
      </w:r>
    </w:p>
  </w:footnote>
  <w:footnote w:id="28">
    <w:p w14:paraId="680316E5" w14:textId="50603DE7" w:rsidR="00FE2DAD" w:rsidRDefault="00FE2DAD">
      <w:pPr>
        <w:pStyle w:val="FootnoteText"/>
      </w:pPr>
      <w:r>
        <w:rPr>
          <w:rStyle w:val="FootnoteReference"/>
        </w:rPr>
        <w:footnoteRef/>
      </w:r>
      <w:r>
        <w:t xml:space="preserve"> </w:t>
      </w:r>
      <w:r w:rsidR="00F13A6F" w:rsidRPr="00034B35">
        <w:rPr>
          <w:i/>
          <w:iCs/>
        </w:rPr>
        <w:t>Standards for Bus</w:t>
      </w:r>
      <w:r w:rsidR="00F13A6F">
        <w:rPr>
          <w:i/>
          <w:iCs/>
        </w:rPr>
        <w:t>.</w:t>
      </w:r>
      <w:r w:rsidR="00F13A6F" w:rsidRPr="00034B35">
        <w:rPr>
          <w:i/>
          <w:iCs/>
        </w:rPr>
        <w:t xml:space="preserve"> </w:t>
      </w:r>
      <w:proofErr w:type="spellStart"/>
      <w:r w:rsidR="00F13A6F" w:rsidRPr="00034B35">
        <w:rPr>
          <w:i/>
          <w:iCs/>
        </w:rPr>
        <w:t>Pracs</w:t>
      </w:r>
      <w:proofErr w:type="spellEnd"/>
      <w:r w:rsidR="00F13A6F">
        <w:rPr>
          <w:i/>
          <w:iCs/>
        </w:rPr>
        <w:t>.</w:t>
      </w:r>
      <w:r w:rsidR="00F13A6F" w:rsidRPr="00034B35">
        <w:rPr>
          <w:i/>
          <w:iCs/>
        </w:rPr>
        <w:t xml:space="preserve"> </w:t>
      </w:r>
      <w:r w:rsidR="00F13A6F">
        <w:rPr>
          <w:i/>
          <w:iCs/>
        </w:rPr>
        <w:t>&amp;</w:t>
      </w:r>
      <w:r w:rsidR="00F13A6F" w:rsidRPr="00034B35">
        <w:rPr>
          <w:i/>
          <w:iCs/>
        </w:rPr>
        <w:t xml:space="preserve"> Commc</w:t>
      </w:r>
      <w:r w:rsidR="00F13A6F">
        <w:rPr>
          <w:i/>
          <w:iCs/>
        </w:rPr>
        <w:t>’</w:t>
      </w:r>
      <w:r w:rsidR="00F13A6F" w:rsidRPr="00034B35">
        <w:rPr>
          <w:i/>
          <w:iCs/>
        </w:rPr>
        <w:t>n Protocols for Pub</w:t>
      </w:r>
      <w:r w:rsidR="00F13A6F">
        <w:rPr>
          <w:i/>
          <w:iCs/>
        </w:rPr>
        <w:t>.</w:t>
      </w:r>
      <w:r w:rsidR="00F13A6F" w:rsidRPr="00034B35">
        <w:rPr>
          <w:i/>
          <w:iCs/>
        </w:rPr>
        <w:t xml:space="preserve"> Utils</w:t>
      </w:r>
      <w:r w:rsidR="00F13A6F">
        <w:rPr>
          <w:i/>
          <w:iCs/>
        </w:rPr>
        <w:t>.</w:t>
      </w:r>
      <w:r w:rsidR="00F13A6F" w:rsidRPr="00034B35">
        <w:t>,</w:t>
      </w:r>
      <w:r w:rsidR="00F13A6F">
        <w:t xml:space="preserve"> </w:t>
      </w:r>
      <w:r w:rsidR="00F13A6F" w:rsidRPr="00034B35">
        <w:t xml:space="preserve">Order </w:t>
      </w:r>
      <w:r w:rsidR="00F13A6F">
        <w:br/>
      </w:r>
      <w:r w:rsidR="00F13A6F" w:rsidRPr="00034B35">
        <w:t xml:space="preserve">No. 676-J, </w:t>
      </w:r>
      <w:r w:rsidR="00F13A6F" w:rsidRPr="00E370DA">
        <w:t>86 FR 29491</w:t>
      </w:r>
      <w:r w:rsidR="00F13A6F">
        <w:t xml:space="preserve"> (June 2,</w:t>
      </w:r>
      <w:r w:rsidR="00A33243">
        <w:t xml:space="preserve"> </w:t>
      </w:r>
      <w:r w:rsidR="00F13A6F">
        <w:t xml:space="preserve">2021), </w:t>
      </w:r>
      <w:r w:rsidR="00F13A6F" w:rsidRPr="00034B35">
        <w:t>175 FERC ¶ 61,139 (2021).</w:t>
      </w:r>
      <w:r w:rsidR="00034B35" w:rsidRPr="00034B35">
        <w:t xml:space="preserve"> </w:t>
      </w:r>
    </w:p>
  </w:footnote>
  <w:footnote w:id="29">
    <w:p w14:paraId="66951BDF" w14:textId="79EE5BC8" w:rsidR="00E14F51" w:rsidRDefault="00E14F51">
      <w:pPr>
        <w:pStyle w:val="FootnoteText"/>
      </w:pPr>
      <w:r>
        <w:rPr>
          <w:rStyle w:val="FootnoteReference"/>
        </w:rPr>
        <w:footnoteRef/>
      </w:r>
      <w:r>
        <w:t xml:space="preserve"> </w:t>
      </w:r>
      <w:r w:rsidRPr="00E14F51">
        <w:rPr>
          <w:i/>
          <w:iCs/>
        </w:rPr>
        <w:t>Id</w:t>
      </w:r>
      <w:r w:rsidRPr="00E14F51">
        <w:t>. P</w:t>
      </w:r>
      <w:r>
        <w:t xml:space="preserve"> 33.</w:t>
      </w:r>
    </w:p>
  </w:footnote>
  <w:footnote w:id="30">
    <w:p w14:paraId="4BCE6A32" w14:textId="0C333D78" w:rsidR="00667EA6" w:rsidRPr="00B5391C" w:rsidRDefault="00667EA6" w:rsidP="00667EA6">
      <w:pPr>
        <w:pStyle w:val="FootnoteText"/>
      </w:pPr>
      <w:r w:rsidRPr="00B5391C">
        <w:rPr>
          <w:rStyle w:val="FootnoteReference"/>
        </w:rPr>
        <w:footnoteRef/>
      </w:r>
      <w:r w:rsidRPr="00B5391C">
        <w:t xml:space="preserve"> </w:t>
      </w:r>
      <w:r w:rsidRPr="00B5391C">
        <w:rPr>
          <w:i/>
          <w:iCs/>
          <w:szCs w:val="26"/>
        </w:rPr>
        <w:t xml:space="preserve">Id. </w:t>
      </w:r>
      <w:r w:rsidRPr="00B5391C">
        <w:rPr>
          <w:szCs w:val="26"/>
        </w:rPr>
        <w:t xml:space="preserve">PP 48, 50.  </w:t>
      </w:r>
      <w:bookmarkStart w:id="7" w:name="_Hlk144385924"/>
      <w:r w:rsidRPr="00B5391C">
        <w:rPr>
          <w:szCs w:val="26"/>
        </w:rPr>
        <w:t xml:space="preserve">The Commission noted that the </w:t>
      </w:r>
      <w:r w:rsidRPr="00B5391C">
        <w:rPr>
          <w:color w:val="000000"/>
          <w:szCs w:val="26"/>
        </w:rPr>
        <w:t xml:space="preserve">implementation of the NAESB </w:t>
      </w:r>
      <w:r w:rsidR="00E54183" w:rsidRPr="00E54183">
        <w:rPr>
          <w:color w:val="000000"/>
          <w:szCs w:val="26"/>
        </w:rPr>
        <w:t xml:space="preserve">Available Transfer Capability </w:t>
      </w:r>
      <w:r w:rsidRPr="00B5391C">
        <w:rPr>
          <w:color w:val="000000"/>
          <w:szCs w:val="26"/>
        </w:rPr>
        <w:t xml:space="preserve">-related standards contained in WEQ-023 will be coordinated with the retirement of the </w:t>
      </w:r>
      <w:r>
        <w:rPr>
          <w:color w:val="000000"/>
          <w:szCs w:val="26"/>
        </w:rPr>
        <w:t>NERC</w:t>
      </w:r>
      <w:r w:rsidRPr="00B5391C">
        <w:rPr>
          <w:color w:val="000000"/>
          <w:szCs w:val="26"/>
        </w:rPr>
        <w:t xml:space="preserve"> MOD A Reliability Standards.  </w:t>
      </w:r>
      <w:r w:rsidRPr="00B5391C">
        <w:rPr>
          <w:i/>
          <w:iCs/>
          <w:color w:val="000000"/>
          <w:szCs w:val="26"/>
        </w:rPr>
        <w:t>Id</w:t>
      </w:r>
      <w:r w:rsidRPr="00B5391C">
        <w:rPr>
          <w:color w:val="000000"/>
          <w:szCs w:val="26"/>
        </w:rPr>
        <w:t>. P 43 n.53.</w:t>
      </w:r>
      <w:bookmarkEnd w:id="7"/>
    </w:p>
  </w:footnote>
  <w:footnote w:id="31">
    <w:p w14:paraId="25AFC53D" w14:textId="77777777" w:rsidR="00F75B8C" w:rsidRDefault="00F75B8C" w:rsidP="00F75B8C">
      <w:pPr>
        <w:pStyle w:val="FootnoteText"/>
      </w:pPr>
      <w:r>
        <w:rPr>
          <w:rStyle w:val="FootnoteReference"/>
        </w:rPr>
        <w:footnoteRef/>
      </w:r>
      <w:r>
        <w:t xml:space="preserve"> 16 U.S.C. 824o(d)(2).</w:t>
      </w:r>
    </w:p>
  </w:footnote>
  <w:footnote w:id="32">
    <w:p w14:paraId="332A1C4D" w14:textId="5B4DA97D" w:rsidR="00E9700D" w:rsidRDefault="00E9700D" w:rsidP="000624B0">
      <w:pPr>
        <w:pStyle w:val="FootnoteText"/>
      </w:pPr>
      <w:r>
        <w:rPr>
          <w:rStyle w:val="FootnoteReference"/>
        </w:rPr>
        <w:footnoteRef/>
      </w:r>
      <w:r>
        <w:t xml:space="preserve"> </w:t>
      </w:r>
      <w:bookmarkStart w:id="8" w:name="_Hlk116913031"/>
      <w:r w:rsidR="007336BD" w:rsidRPr="007336BD">
        <w:rPr>
          <w:i/>
          <w:iCs/>
        </w:rPr>
        <w:t>See ISO-New England</w:t>
      </w:r>
      <w:r w:rsidR="007336BD" w:rsidRPr="007336BD">
        <w:t xml:space="preserve">, </w:t>
      </w:r>
      <w:r w:rsidR="00D633F5" w:rsidRPr="00D633F5">
        <w:t>185 FERC ¶ 61,0</w:t>
      </w:r>
      <w:r w:rsidR="00D633F5">
        <w:t>70</w:t>
      </w:r>
      <w:r w:rsidR="007336BD" w:rsidRPr="007336BD">
        <w:t xml:space="preserve"> (2023); </w:t>
      </w:r>
      <w:r w:rsidR="00FE3800" w:rsidRPr="00FA2AA8">
        <w:rPr>
          <w:i/>
          <w:iCs/>
        </w:rPr>
        <w:t>N.Y.</w:t>
      </w:r>
      <w:r w:rsidR="007336BD" w:rsidRPr="007336BD">
        <w:rPr>
          <w:i/>
          <w:iCs/>
        </w:rPr>
        <w:t xml:space="preserve"> </w:t>
      </w:r>
      <w:proofErr w:type="spellStart"/>
      <w:r w:rsidR="007336BD" w:rsidRPr="007336BD">
        <w:rPr>
          <w:i/>
          <w:iCs/>
        </w:rPr>
        <w:t>Indep</w:t>
      </w:r>
      <w:proofErr w:type="spellEnd"/>
      <w:r w:rsidR="007336BD">
        <w:rPr>
          <w:i/>
          <w:iCs/>
        </w:rPr>
        <w:t>.</w:t>
      </w:r>
      <w:r w:rsidR="007336BD" w:rsidRPr="007336BD">
        <w:rPr>
          <w:i/>
          <w:iCs/>
        </w:rPr>
        <w:t xml:space="preserve"> Sys. Operator, Inc.</w:t>
      </w:r>
      <w:r w:rsidR="007336BD" w:rsidRPr="007336BD">
        <w:t xml:space="preserve">, </w:t>
      </w:r>
      <w:r w:rsidR="00D633F5" w:rsidRPr="00D633F5">
        <w:rPr>
          <w:rFonts w:eastAsia="Calibri"/>
          <w:szCs w:val="22"/>
        </w:rPr>
        <w:t>185 FERC ¶ 61,0</w:t>
      </w:r>
      <w:r w:rsidR="00D633F5">
        <w:rPr>
          <w:rFonts w:eastAsia="Calibri"/>
          <w:szCs w:val="22"/>
        </w:rPr>
        <w:t>67</w:t>
      </w:r>
      <w:r w:rsidR="007336BD" w:rsidRPr="007336BD">
        <w:t xml:space="preserve"> (2023); </w:t>
      </w:r>
      <w:r w:rsidR="007336BD" w:rsidRPr="000D6D26">
        <w:rPr>
          <w:i/>
          <w:iCs/>
        </w:rPr>
        <w:t>PJM Interconnection, L</w:t>
      </w:r>
      <w:r w:rsidR="007336BD" w:rsidRPr="007336BD">
        <w:rPr>
          <w:i/>
          <w:iCs/>
        </w:rPr>
        <w:t>.</w:t>
      </w:r>
      <w:r w:rsidR="007336BD" w:rsidRPr="00623E10">
        <w:rPr>
          <w:i/>
          <w:iCs/>
        </w:rPr>
        <w:t>L</w:t>
      </w:r>
      <w:r w:rsidR="007336BD" w:rsidRPr="007336BD">
        <w:rPr>
          <w:i/>
          <w:iCs/>
        </w:rPr>
        <w:t>.</w:t>
      </w:r>
      <w:r w:rsidR="007336BD" w:rsidRPr="00031195">
        <w:rPr>
          <w:i/>
          <w:iCs/>
        </w:rPr>
        <w:t>C</w:t>
      </w:r>
      <w:r w:rsidR="007336BD" w:rsidRPr="007336BD">
        <w:rPr>
          <w:i/>
          <w:iCs/>
        </w:rPr>
        <w:t>.</w:t>
      </w:r>
      <w:r w:rsidR="007336BD" w:rsidRPr="007336BD">
        <w:t xml:space="preserve">, </w:t>
      </w:r>
      <w:r w:rsidR="00D633F5" w:rsidRPr="00D633F5">
        <w:rPr>
          <w:rFonts w:eastAsia="Calibri"/>
          <w:szCs w:val="22"/>
        </w:rPr>
        <w:t>185 FERC ¶ 61,0</w:t>
      </w:r>
      <w:r w:rsidR="00D633F5">
        <w:rPr>
          <w:rFonts w:eastAsia="Calibri"/>
          <w:szCs w:val="22"/>
        </w:rPr>
        <w:t>68</w:t>
      </w:r>
      <w:r w:rsidR="00D633F5" w:rsidRPr="007336BD">
        <w:t xml:space="preserve"> </w:t>
      </w:r>
      <w:r w:rsidR="007336BD" w:rsidRPr="007336BD">
        <w:t xml:space="preserve">(2023); </w:t>
      </w:r>
      <w:r w:rsidR="007336BD" w:rsidRPr="00FA2AA8">
        <w:rPr>
          <w:i/>
          <w:iCs/>
        </w:rPr>
        <w:t>Ala</w:t>
      </w:r>
      <w:r w:rsidR="00FE3800" w:rsidRPr="00FA2AA8">
        <w:rPr>
          <w:i/>
          <w:iCs/>
        </w:rPr>
        <w:t>.</w:t>
      </w:r>
      <w:r w:rsidR="007336BD" w:rsidRPr="007610AB">
        <w:rPr>
          <w:i/>
          <w:iCs/>
        </w:rPr>
        <w:t xml:space="preserve"> Power Co.</w:t>
      </w:r>
      <w:r w:rsidR="007336BD" w:rsidRPr="007336BD">
        <w:t xml:space="preserve">, </w:t>
      </w:r>
      <w:r w:rsidR="00D633F5" w:rsidRPr="00D633F5">
        <w:rPr>
          <w:rFonts w:eastAsia="Calibri"/>
          <w:szCs w:val="22"/>
        </w:rPr>
        <w:t>185 FERC ¶ 61,0</w:t>
      </w:r>
      <w:r w:rsidR="00D633F5">
        <w:rPr>
          <w:rFonts w:eastAsia="Calibri"/>
          <w:szCs w:val="22"/>
        </w:rPr>
        <w:t>73</w:t>
      </w:r>
      <w:r w:rsidR="007336BD" w:rsidRPr="007336BD">
        <w:t xml:space="preserve">; </w:t>
      </w:r>
      <w:r w:rsidR="007336BD" w:rsidRPr="005F7208">
        <w:rPr>
          <w:i/>
          <w:iCs/>
        </w:rPr>
        <w:t>Versant Power</w:t>
      </w:r>
      <w:r w:rsidR="007336BD" w:rsidRPr="007336BD">
        <w:t xml:space="preserve">, </w:t>
      </w:r>
      <w:r w:rsidR="00D633F5" w:rsidRPr="00D633F5">
        <w:rPr>
          <w:rFonts w:eastAsia="Calibri"/>
          <w:szCs w:val="22"/>
        </w:rPr>
        <w:t>185 FERC ¶ 61,06</w:t>
      </w:r>
      <w:r w:rsidR="00D633F5">
        <w:rPr>
          <w:rFonts w:eastAsia="Calibri"/>
          <w:szCs w:val="22"/>
        </w:rPr>
        <w:t>5</w:t>
      </w:r>
      <w:r w:rsidR="007336BD" w:rsidRPr="007336BD">
        <w:t xml:space="preserve"> (2023); </w:t>
      </w:r>
      <w:r w:rsidR="007336BD" w:rsidRPr="00DE7477">
        <w:rPr>
          <w:i/>
          <w:iCs/>
        </w:rPr>
        <w:t xml:space="preserve">Cal. </w:t>
      </w:r>
      <w:proofErr w:type="spellStart"/>
      <w:r w:rsidR="007336BD" w:rsidRPr="00FA2AA8">
        <w:rPr>
          <w:i/>
          <w:iCs/>
        </w:rPr>
        <w:t>Ind</w:t>
      </w:r>
      <w:r w:rsidR="00FE3800" w:rsidRPr="00FA2AA8">
        <w:rPr>
          <w:i/>
          <w:iCs/>
        </w:rPr>
        <w:t>ep</w:t>
      </w:r>
      <w:proofErr w:type="spellEnd"/>
      <w:r w:rsidR="007336BD" w:rsidRPr="00FA2AA8">
        <w:rPr>
          <w:i/>
          <w:iCs/>
        </w:rPr>
        <w:t>.</w:t>
      </w:r>
      <w:r w:rsidR="007336BD" w:rsidRPr="00DE7477">
        <w:rPr>
          <w:i/>
          <w:iCs/>
        </w:rPr>
        <w:t xml:space="preserve"> Sys. Operator Corp.</w:t>
      </w:r>
      <w:r w:rsidR="007336BD" w:rsidRPr="007336BD">
        <w:t xml:space="preserve">, </w:t>
      </w:r>
      <w:r w:rsidR="00D633F5" w:rsidRPr="00D633F5">
        <w:rPr>
          <w:rFonts w:eastAsia="Calibri"/>
          <w:szCs w:val="22"/>
        </w:rPr>
        <w:t>185 FERC ¶ 61,0</w:t>
      </w:r>
      <w:r w:rsidR="00D633F5">
        <w:rPr>
          <w:rFonts w:eastAsia="Calibri"/>
          <w:szCs w:val="22"/>
        </w:rPr>
        <w:t>72</w:t>
      </w:r>
      <w:r w:rsidR="007336BD" w:rsidRPr="007336BD">
        <w:t xml:space="preserve"> (2023)</w:t>
      </w:r>
      <w:r w:rsidR="007336BD" w:rsidRPr="00FA2AA8">
        <w:t xml:space="preserve">; </w:t>
      </w:r>
      <w:r w:rsidR="007336BD" w:rsidRPr="00FA2AA8">
        <w:rPr>
          <w:i/>
          <w:iCs/>
        </w:rPr>
        <w:t>MATL LLP</w:t>
      </w:r>
      <w:r w:rsidR="007336BD" w:rsidRPr="007336BD">
        <w:t xml:space="preserve">, </w:t>
      </w:r>
      <w:r w:rsidR="00704F40" w:rsidRPr="00704F40">
        <w:rPr>
          <w:rFonts w:eastAsia="Calibri"/>
          <w:szCs w:val="22"/>
        </w:rPr>
        <w:t xml:space="preserve">185 FERC </w:t>
      </w:r>
      <w:r w:rsidR="00704F40">
        <w:rPr>
          <w:rFonts w:eastAsia="Calibri"/>
          <w:szCs w:val="22"/>
        </w:rPr>
        <w:br/>
      </w:r>
      <w:r w:rsidR="00704F40" w:rsidRPr="00704F40">
        <w:rPr>
          <w:rFonts w:eastAsia="Calibri"/>
          <w:szCs w:val="22"/>
        </w:rPr>
        <w:t>¶ 61,0</w:t>
      </w:r>
      <w:r w:rsidR="00704F40">
        <w:rPr>
          <w:rFonts w:eastAsia="Calibri"/>
          <w:szCs w:val="22"/>
        </w:rPr>
        <w:t>74</w:t>
      </w:r>
      <w:r w:rsidR="00704F40" w:rsidRPr="007336BD">
        <w:t xml:space="preserve"> </w:t>
      </w:r>
      <w:r w:rsidR="007336BD" w:rsidRPr="007336BD">
        <w:t xml:space="preserve">(2023); </w:t>
      </w:r>
      <w:r w:rsidR="007336BD" w:rsidRPr="002366EE">
        <w:rPr>
          <w:i/>
          <w:iCs/>
        </w:rPr>
        <w:t>Golden Spread</w:t>
      </w:r>
      <w:r w:rsidR="007336BD" w:rsidRPr="007336BD">
        <w:rPr>
          <w:i/>
          <w:iCs/>
        </w:rPr>
        <w:t xml:space="preserve"> Elec. </w:t>
      </w:r>
      <w:r w:rsidR="007336BD" w:rsidRPr="00FA2AA8">
        <w:rPr>
          <w:i/>
          <w:iCs/>
        </w:rPr>
        <w:t>Coop.</w:t>
      </w:r>
      <w:r w:rsidR="00FE3800" w:rsidRPr="00FA2AA8">
        <w:rPr>
          <w:i/>
          <w:iCs/>
        </w:rPr>
        <w:t>, Inc.</w:t>
      </w:r>
      <w:r w:rsidR="007336BD" w:rsidRPr="00FA2AA8">
        <w:t xml:space="preserve">, </w:t>
      </w:r>
      <w:r w:rsidR="00704F40" w:rsidRPr="00704F40">
        <w:rPr>
          <w:rFonts w:eastAsia="Calibri"/>
          <w:szCs w:val="22"/>
        </w:rPr>
        <w:t>185 FERC ¶ 61,0</w:t>
      </w:r>
      <w:r w:rsidR="00704F40">
        <w:rPr>
          <w:rFonts w:eastAsia="Calibri"/>
          <w:szCs w:val="22"/>
        </w:rPr>
        <w:t>71</w:t>
      </w:r>
      <w:r w:rsidR="007336BD" w:rsidRPr="007336BD">
        <w:t xml:space="preserve"> (2023)</w:t>
      </w:r>
      <w:r w:rsidR="00E14F51">
        <w:t>.</w:t>
      </w:r>
      <w:bookmarkEnd w:id="8"/>
    </w:p>
  </w:footnote>
  <w:footnote w:id="33">
    <w:p w14:paraId="5BAFE6B6" w14:textId="39C294DD" w:rsidR="0088570C" w:rsidRPr="0055238A" w:rsidRDefault="0088570C" w:rsidP="0088570C">
      <w:pPr>
        <w:pStyle w:val="FootnoteText"/>
      </w:pPr>
      <w:r>
        <w:rPr>
          <w:rStyle w:val="FootnoteReference"/>
        </w:rPr>
        <w:footnoteRef/>
      </w:r>
      <w:r>
        <w:t xml:space="preserve"> </w:t>
      </w:r>
      <w:r w:rsidR="00001F67">
        <w:t xml:space="preserve">WAPA Comments at </w:t>
      </w:r>
      <w:r>
        <w:t>5.</w:t>
      </w:r>
    </w:p>
  </w:footnote>
  <w:footnote w:id="34">
    <w:p w14:paraId="459CD159" w14:textId="08B3538D" w:rsidR="0088570C" w:rsidRPr="000B2855" w:rsidRDefault="0088570C" w:rsidP="0088570C">
      <w:pPr>
        <w:pStyle w:val="FootnoteText"/>
      </w:pPr>
      <w:r>
        <w:rPr>
          <w:rStyle w:val="FootnoteReference"/>
        </w:rPr>
        <w:footnoteRef/>
      </w:r>
      <w:r>
        <w:t xml:space="preserve"> </w:t>
      </w:r>
      <w:r w:rsidR="00DD6E87">
        <w:rPr>
          <w:i/>
          <w:iCs/>
        </w:rPr>
        <w:t xml:space="preserve">See </w:t>
      </w:r>
      <w:r>
        <w:t>Order No. 676-J, 175 FERC ¶ 61,139 at P 5.</w:t>
      </w:r>
    </w:p>
  </w:footnote>
  <w:footnote w:id="35">
    <w:p w14:paraId="114A85D0" w14:textId="1D0D6D0D" w:rsidR="00215A6E" w:rsidRPr="004F4940" w:rsidRDefault="00215A6E" w:rsidP="00215A6E">
      <w:pPr>
        <w:pStyle w:val="FootnoteText"/>
      </w:pPr>
      <w:r w:rsidRPr="004F4940">
        <w:rPr>
          <w:rStyle w:val="FootnoteReference"/>
        </w:rPr>
        <w:footnoteRef/>
      </w:r>
      <w:r w:rsidRPr="004F4940">
        <w:rPr>
          <w:b/>
        </w:rPr>
        <w:t xml:space="preserve"> </w:t>
      </w:r>
      <w:r w:rsidRPr="004F4940">
        <w:t>44 U.S.C.</w:t>
      </w:r>
      <w:r w:rsidR="00365000">
        <w:t xml:space="preserve"> </w:t>
      </w:r>
      <w:r w:rsidRPr="004F4940">
        <w:t>3507(d).</w:t>
      </w:r>
    </w:p>
  </w:footnote>
  <w:footnote w:id="36">
    <w:p w14:paraId="72FC4790" w14:textId="223C87D1" w:rsidR="00215A6E" w:rsidRPr="004F4940" w:rsidRDefault="00215A6E" w:rsidP="00215A6E">
      <w:pPr>
        <w:pStyle w:val="FootnoteText"/>
      </w:pPr>
      <w:r w:rsidRPr="004F4940">
        <w:rPr>
          <w:rStyle w:val="FootnoteReference"/>
        </w:rPr>
        <w:footnoteRef/>
      </w:r>
      <w:r w:rsidRPr="004F4940">
        <w:t xml:space="preserve"> 5 CFR 1320.</w:t>
      </w:r>
    </w:p>
  </w:footnote>
  <w:footnote w:id="37">
    <w:p w14:paraId="535258B2" w14:textId="4D0B6549" w:rsidR="00215A6E" w:rsidRDefault="00215A6E" w:rsidP="00215A6E">
      <w:pPr>
        <w:pStyle w:val="FootnoteText"/>
      </w:pPr>
      <w:r>
        <w:rPr>
          <w:rStyle w:val="FootnoteReference"/>
        </w:rPr>
        <w:footnoteRef/>
      </w:r>
      <w:r>
        <w:t xml:space="preserve"> The number of TSP (</w:t>
      </w:r>
      <w:r w:rsidRPr="00BE626A">
        <w:t>71</w:t>
      </w:r>
      <w:r>
        <w:t>), TOP (165), TP (98), RP (159)</w:t>
      </w:r>
      <w:r w:rsidR="00CF2461">
        <w:t>,</w:t>
      </w:r>
      <w:r>
        <w:t xml:space="preserve"> and BA (98) are </w:t>
      </w:r>
      <w:r w:rsidR="00F13A6F">
        <w:br/>
      </w:r>
      <w:r>
        <w:t xml:space="preserve">taken based on the NERC Compliance Registry information as of August 17, 2023, </w:t>
      </w:r>
      <w:r w:rsidR="00F13A6F">
        <w:br/>
      </w:r>
      <w:r>
        <w:t>and represent U</w:t>
      </w:r>
      <w:r w:rsidR="00D7571F">
        <w:t>.</w:t>
      </w:r>
      <w:r>
        <w:t>S</w:t>
      </w:r>
      <w:r w:rsidR="00D7571F">
        <w:t>.</w:t>
      </w:r>
      <w:r>
        <w:t xml:space="preserve"> registered entities.</w:t>
      </w:r>
    </w:p>
  </w:footnote>
  <w:footnote w:id="38">
    <w:p w14:paraId="19218865" w14:textId="059F9ABA" w:rsidR="00215A6E" w:rsidRDefault="00215A6E" w:rsidP="00215A6E">
      <w:pPr>
        <w:pStyle w:val="FootnoteText"/>
      </w:pPr>
      <w:r>
        <w:rPr>
          <w:rStyle w:val="FootnoteReference"/>
        </w:rPr>
        <w:footnoteRef/>
      </w:r>
      <w:r>
        <w:t xml:space="preserve"> </w:t>
      </w:r>
      <w:r w:rsidRPr="004826C6">
        <w:t xml:space="preserve">The estimated hourly cost (salary plus benefits) is a combination based on the Bureau of Labor Statistics (BLS), as of </w:t>
      </w:r>
      <w:r w:rsidRPr="00BA64BA">
        <w:t>2022</w:t>
      </w:r>
      <w:r w:rsidRPr="004826C6">
        <w:t>, for 75% of the average of an Electrical Engineer (17-2071) $77.</w:t>
      </w:r>
      <w:r>
        <w:t>29/</w:t>
      </w:r>
      <w:proofErr w:type="spellStart"/>
      <w:r>
        <w:t>hr</w:t>
      </w:r>
      <w:proofErr w:type="spellEnd"/>
      <w:r w:rsidRPr="004826C6">
        <w:t>, 7</w:t>
      </w:r>
      <w:r>
        <w:t>7</w:t>
      </w:r>
      <w:r w:rsidRPr="004826C6">
        <w:t>.</w:t>
      </w:r>
      <w:r>
        <w:t>29</w:t>
      </w:r>
      <w:r w:rsidRPr="004826C6">
        <w:t xml:space="preserve"> x .75 = 5</w:t>
      </w:r>
      <w:r>
        <w:t>7.9675</w:t>
      </w:r>
      <w:r w:rsidRPr="004826C6">
        <w:t xml:space="preserve"> ($5</w:t>
      </w:r>
      <w:r>
        <w:t>7</w:t>
      </w:r>
      <w:r w:rsidRPr="004826C6">
        <w:t>.</w:t>
      </w:r>
      <w:r>
        <w:t>97</w:t>
      </w:r>
      <w:r w:rsidRPr="004826C6">
        <w:t>-rounded) ($5</w:t>
      </w:r>
      <w:r>
        <w:t>7.97</w:t>
      </w:r>
      <w:r w:rsidRPr="004826C6">
        <w:t>/hour) and 25% of an Information and Record Clerk (43-4199) $</w:t>
      </w:r>
      <w:r>
        <w:t>39.58/</w:t>
      </w:r>
      <w:proofErr w:type="spellStart"/>
      <w:r>
        <w:t>hr</w:t>
      </w:r>
      <w:proofErr w:type="spellEnd"/>
      <w:r w:rsidRPr="004826C6">
        <w:t xml:space="preserve"> x .25% = </w:t>
      </w:r>
      <w:r>
        <w:t>9.895</w:t>
      </w:r>
      <w:r w:rsidRPr="004826C6">
        <w:t xml:space="preserve"> ($</w:t>
      </w:r>
      <w:r>
        <w:t>9.90</w:t>
      </w:r>
      <w:r w:rsidRPr="004826C6">
        <w:t xml:space="preserve"> rounded) ($</w:t>
      </w:r>
      <w:r>
        <w:t>9.90</w:t>
      </w:r>
      <w:r w:rsidRPr="004826C6">
        <w:t>/hour), for a total ($</w:t>
      </w:r>
      <w:r>
        <w:t>57.97</w:t>
      </w:r>
      <w:r w:rsidRPr="004826C6">
        <w:t>+$</w:t>
      </w:r>
      <w:r>
        <w:t>9.90</w:t>
      </w:r>
      <w:r w:rsidRPr="004826C6">
        <w:t xml:space="preserve"> = $</w:t>
      </w:r>
      <w:r>
        <w:t>67.87</w:t>
      </w:r>
      <w:r w:rsidRPr="004826C6">
        <w:t>/hour)</w:t>
      </w:r>
      <w:r>
        <w:t>.</w:t>
      </w:r>
    </w:p>
  </w:footnote>
  <w:footnote w:id="39">
    <w:p w14:paraId="367A5B77" w14:textId="34F29D5C" w:rsidR="00215A6E" w:rsidRPr="00F97815" w:rsidRDefault="00215A6E" w:rsidP="00215A6E">
      <w:pPr>
        <w:pStyle w:val="FootnoteText"/>
      </w:pPr>
      <w:r>
        <w:rPr>
          <w:rStyle w:val="FootnoteReference"/>
        </w:rPr>
        <w:footnoteRef/>
      </w:r>
      <w:r>
        <w:t xml:space="preserve"> </w:t>
      </w:r>
      <w:r w:rsidR="00DF45A3">
        <w:t>In</w:t>
      </w:r>
      <w:r w:rsidR="00F97815">
        <w:t xml:space="preserve"> 2015 the Commission approved the retirement of the load-serving</w:t>
      </w:r>
      <w:r w:rsidRPr="00BA64BA">
        <w:t xml:space="preserve"> entity </w:t>
      </w:r>
      <w:r w:rsidR="004F215C">
        <w:t>function</w:t>
      </w:r>
      <w:r w:rsidR="00F97815">
        <w:t xml:space="preserve">.  </w:t>
      </w:r>
      <w:r w:rsidR="00AD37FB">
        <w:rPr>
          <w:i/>
          <w:iCs/>
        </w:rPr>
        <w:t>See N. Am. Elec. Reliability Corp.</w:t>
      </w:r>
      <w:r w:rsidR="00AD37FB" w:rsidRPr="00AD37FB">
        <w:t>,</w:t>
      </w:r>
      <w:r w:rsidR="00AD37FB" w:rsidRPr="00DF45A3">
        <w:rPr>
          <w:i/>
          <w:iCs/>
        </w:rPr>
        <w:t xml:space="preserve"> </w:t>
      </w:r>
      <w:r w:rsidR="00AD37FB" w:rsidRPr="00DF45A3">
        <w:t>150 FERC ¶ 61,213 (2015);</w:t>
      </w:r>
      <w:r w:rsidR="00AD37FB" w:rsidRPr="00DF45A3">
        <w:rPr>
          <w:i/>
          <w:iCs/>
        </w:rPr>
        <w:t xml:space="preserve"> </w:t>
      </w:r>
      <w:r w:rsidR="00AD37FB">
        <w:rPr>
          <w:i/>
          <w:iCs/>
        </w:rPr>
        <w:t>N. Am. Elec. Reliability Corp.</w:t>
      </w:r>
      <w:r w:rsidR="00DF45A3" w:rsidRPr="00AD37FB">
        <w:t xml:space="preserve">, </w:t>
      </w:r>
      <w:r w:rsidR="00DF45A3" w:rsidRPr="00DF45A3">
        <w:t>153 FERC ¶ 61,024 (2015).</w:t>
      </w:r>
      <w:r w:rsidR="001243EC">
        <w:t xml:space="preserve"> </w:t>
      </w:r>
      <w:r w:rsidR="001243EC" w:rsidRPr="001243EC">
        <w:rPr>
          <w:szCs w:val="22"/>
        </w:rPr>
        <w:t xml:space="preserve"> </w:t>
      </w:r>
      <w:r w:rsidR="00B04D33" w:rsidRPr="00B04D33">
        <w:rPr>
          <w:szCs w:val="22"/>
        </w:rPr>
        <w:t xml:space="preserve">NERC has an ongoing standard drafting team project to replace this function as an applicable entity in the Reliability Standards with the distribution provider function.  </w:t>
      </w:r>
      <w:r w:rsidR="00B04D33" w:rsidRPr="00B04D33">
        <w:rPr>
          <w:i/>
          <w:iCs/>
          <w:szCs w:val="22"/>
        </w:rPr>
        <w:t>See</w:t>
      </w:r>
      <w:r w:rsidR="00B04D33" w:rsidRPr="00B04D33">
        <w:rPr>
          <w:szCs w:val="22"/>
        </w:rPr>
        <w:t xml:space="preserve"> Project-2022-02 Modifications to TPL-001 and MOD-032.</w:t>
      </w:r>
    </w:p>
  </w:footnote>
  <w:footnote w:id="40">
    <w:p w14:paraId="0F13B6BB" w14:textId="03ABD266" w:rsidR="00215A6E" w:rsidRDefault="00215A6E" w:rsidP="00215A6E">
      <w:pPr>
        <w:pStyle w:val="FootnoteText"/>
      </w:pPr>
      <w:r>
        <w:rPr>
          <w:rStyle w:val="FootnoteReference"/>
        </w:rPr>
        <w:footnoteRef/>
      </w:r>
      <w:r>
        <w:t xml:space="preserve"> </w:t>
      </w:r>
      <w:r w:rsidRPr="004826C6">
        <w:t xml:space="preserve">The estimated hourly cost (salary plus benefits) is a combination based on the Bureau of Labor Statistics (BLS), as of </w:t>
      </w:r>
      <w:r w:rsidRPr="00BA64BA">
        <w:t>2022</w:t>
      </w:r>
      <w:r w:rsidRPr="004826C6">
        <w:t>, for 75% of the average of an Electrical Engineer (17-2071) $77.</w:t>
      </w:r>
      <w:r>
        <w:t>29/</w:t>
      </w:r>
      <w:proofErr w:type="spellStart"/>
      <w:r>
        <w:t>hr</w:t>
      </w:r>
      <w:proofErr w:type="spellEnd"/>
      <w:r w:rsidRPr="004826C6">
        <w:t>, 72.</w:t>
      </w:r>
      <w:r>
        <w:t>29</w:t>
      </w:r>
      <w:r w:rsidRPr="004826C6">
        <w:t xml:space="preserve"> x .75 =</w:t>
      </w:r>
      <w:r>
        <w:t xml:space="preserve"> </w:t>
      </w:r>
      <w:r w:rsidRPr="004826C6">
        <w:t>5</w:t>
      </w:r>
      <w:r>
        <w:t>7.9576</w:t>
      </w:r>
      <w:r w:rsidRPr="004826C6">
        <w:t xml:space="preserve"> ($5</w:t>
      </w:r>
      <w:r>
        <w:t>7</w:t>
      </w:r>
      <w:r w:rsidRPr="004826C6">
        <w:t>.</w:t>
      </w:r>
      <w:r>
        <w:t>96</w:t>
      </w:r>
      <w:r w:rsidRPr="004826C6">
        <w:t>-rounded) ($5</w:t>
      </w:r>
      <w:r>
        <w:t>7.96</w:t>
      </w:r>
      <w:r w:rsidRPr="004826C6">
        <w:t xml:space="preserve">/hour) and 25% of an Information and Record Clerk (43-4199) </w:t>
      </w:r>
      <w:r>
        <w:t>$39.58/</w:t>
      </w:r>
      <w:proofErr w:type="spellStart"/>
      <w:r>
        <w:t>hr</w:t>
      </w:r>
      <w:proofErr w:type="spellEnd"/>
      <w:r>
        <w:t xml:space="preserve">, </w:t>
      </w:r>
      <w:r w:rsidRPr="004826C6">
        <w:t>$</w:t>
      </w:r>
      <w:r>
        <w:t>39.58</w:t>
      </w:r>
      <w:r w:rsidRPr="004826C6">
        <w:t xml:space="preserve"> x .25% = </w:t>
      </w:r>
      <w:r>
        <w:t>9.895</w:t>
      </w:r>
      <w:r w:rsidRPr="004826C6">
        <w:t xml:space="preserve"> ($</w:t>
      </w:r>
      <w:r>
        <w:t>9.90</w:t>
      </w:r>
      <w:r w:rsidRPr="004826C6">
        <w:t xml:space="preserve"> rounded) ($</w:t>
      </w:r>
      <w:r>
        <w:t>9.90</w:t>
      </w:r>
      <w:r w:rsidRPr="004826C6">
        <w:t>/hour), for a total ($</w:t>
      </w:r>
      <w:r>
        <w:t>57.96</w:t>
      </w:r>
      <w:r w:rsidRPr="004826C6">
        <w:t>+$</w:t>
      </w:r>
      <w:r>
        <w:t>9.90</w:t>
      </w:r>
      <w:r w:rsidRPr="004826C6">
        <w:t xml:space="preserve"> = $</w:t>
      </w:r>
      <w:r>
        <w:t>67.86</w:t>
      </w:r>
      <w:r w:rsidRPr="004826C6">
        <w:t>/hour)</w:t>
      </w:r>
      <w:r w:rsidR="004153EA">
        <w:t>.</w:t>
      </w:r>
    </w:p>
  </w:footnote>
  <w:footnote w:id="41">
    <w:p w14:paraId="0255D6E4" w14:textId="589F3048" w:rsidR="00215A6E" w:rsidRDefault="00215A6E" w:rsidP="00215A6E">
      <w:pPr>
        <w:pStyle w:val="FootnoteText"/>
      </w:pPr>
      <w:r>
        <w:rPr>
          <w:rStyle w:val="FootnoteReference"/>
        </w:rPr>
        <w:footnoteRef/>
      </w:r>
      <w:r>
        <w:t xml:space="preserve"> </w:t>
      </w:r>
      <w:bookmarkStart w:id="9" w:name="_Hlk146899333"/>
      <w:r w:rsidR="00ED7F25" w:rsidRPr="00ED7F25">
        <w:rPr>
          <w:i/>
          <w:iCs/>
        </w:rPr>
        <w:t>I</w:t>
      </w:r>
      <w:r w:rsidRPr="00ED7F25">
        <w:rPr>
          <w:i/>
          <w:iCs/>
        </w:rPr>
        <w:t>d</w:t>
      </w:r>
      <w:r w:rsidR="00ED7F25" w:rsidRPr="00ED7F25">
        <w:rPr>
          <w:i/>
          <w:iCs/>
        </w:rPr>
        <w:t>.</w:t>
      </w:r>
      <w:bookmarkEnd w:id="9"/>
    </w:p>
  </w:footnote>
  <w:footnote w:id="42">
    <w:p w14:paraId="322189B9" w14:textId="64AD2678" w:rsidR="00215A6E" w:rsidRDefault="00215A6E" w:rsidP="00215A6E">
      <w:pPr>
        <w:pStyle w:val="FootnoteText"/>
      </w:pPr>
      <w:r>
        <w:rPr>
          <w:rStyle w:val="FootnoteReference"/>
        </w:rPr>
        <w:footnoteRef/>
      </w:r>
      <w:r>
        <w:t xml:space="preserve"> </w:t>
      </w:r>
      <w:r w:rsidR="00F9464C" w:rsidRPr="00F9464C">
        <w:rPr>
          <w:i/>
          <w:iCs/>
        </w:rPr>
        <w:t>Id.</w:t>
      </w:r>
    </w:p>
  </w:footnote>
  <w:footnote w:id="43">
    <w:p w14:paraId="4BAD4E15" w14:textId="71B33BD0" w:rsidR="00215A6E" w:rsidRPr="0017684C" w:rsidRDefault="00215A6E" w:rsidP="00215A6E">
      <w:pPr>
        <w:pStyle w:val="FootnoteText"/>
        <w:rPr>
          <w:sz w:val="20"/>
        </w:rPr>
      </w:pPr>
      <w:r w:rsidRPr="00F9464C">
        <w:rPr>
          <w:rStyle w:val="FootnoteReference"/>
        </w:rPr>
        <w:footnoteRef/>
      </w:r>
      <w:r w:rsidRPr="0017684C">
        <w:rPr>
          <w:sz w:val="20"/>
        </w:rPr>
        <w:t xml:space="preserve"> </w:t>
      </w:r>
      <w:r w:rsidR="00F9464C" w:rsidRPr="00F9464C">
        <w:rPr>
          <w:i/>
          <w:iCs/>
          <w:szCs w:val="26"/>
        </w:rPr>
        <w:t>Id.</w:t>
      </w:r>
    </w:p>
  </w:footnote>
  <w:footnote w:id="44">
    <w:p w14:paraId="52995E3C" w14:textId="20062CB5" w:rsidR="00215A6E" w:rsidRPr="0017684C" w:rsidRDefault="00215A6E" w:rsidP="00215A6E">
      <w:pPr>
        <w:pStyle w:val="FootnoteText"/>
        <w:rPr>
          <w:sz w:val="20"/>
        </w:rPr>
      </w:pPr>
      <w:r w:rsidRPr="004F215C">
        <w:rPr>
          <w:rStyle w:val="FootnoteReference"/>
        </w:rPr>
        <w:footnoteRef/>
      </w:r>
      <w:r w:rsidRPr="004F215C">
        <w:rPr>
          <w:rStyle w:val="FootnoteReference"/>
        </w:rPr>
        <w:t xml:space="preserve">  </w:t>
      </w:r>
      <w:r w:rsidR="004F215C">
        <w:rPr>
          <w:bCs/>
          <w:i/>
          <w:iCs/>
        </w:rPr>
        <w:t>I</w:t>
      </w:r>
      <w:r w:rsidRPr="004F215C">
        <w:rPr>
          <w:rStyle w:val="FootnoteReference"/>
          <w:b w:val="0"/>
          <w:bCs/>
          <w:i/>
          <w:iCs/>
          <w:vertAlign w:val="baseline"/>
        </w:rPr>
        <w:t>d.</w:t>
      </w:r>
    </w:p>
  </w:footnote>
  <w:footnote w:id="45">
    <w:p w14:paraId="10A154E9" w14:textId="390C32A7" w:rsidR="00F665C7" w:rsidRPr="00A972FF" w:rsidRDefault="00F665C7" w:rsidP="00F665C7">
      <w:pPr>
        <w:pStyle w:val="FootnoteText"/>
      </w:pPr>
      <w:r w:rsidRPr="00F665C7">
        <w:rPr>
          <w:rStyle w:val="FootnoteReference"/>
        </w:rPr>
        <w:footnoteRef/>
      </w:r>
      <w:r w:rsidRPr="00A972FF">
        <w:t xml:space="preserve"> </w:t>
      </w:r>
      <w:proofErr w:type="spellStart"/>
      <w:r>
        <w:rPr>
          <w:i/>
          <w:iCs/>
        </w:rPr>
        <w:t>Reg</w:t>
      </w:r>
      <w:r w:rsidR="00AD37FB">
        <w:rPr>
          <w:i/>
          <w:iCs/>
        </w:rPr>
        <w:t>ul</w:t>
      </w:r>
      <w:r w:rsidR="00807E90">
        <w:rPr>
          <w:i/>
          <w:iCs/>
        </w:rPr>
        <w:t>s</w:t>
      </w:r>
      <w:proofErr w:type="spellEnd"/>
      <w:r w:rsidR="00807E90">
        <w:rPr>
          <w:i/>
          <w:iCs/>
        </w:rPr>
        <w:t>.</w:t>
      </w:r>
      <w:r w:rsidRPr="00870368">
        <w:rPr>
          <w:i/>
          <w:iCs/>
        </w:rPr>
        <w:t xml:space="preserve"> Implementing the </w:t>
      </w:r>
      <w:proofErr w:type="spellStart"/>
      <w:r w:rsidR="00807E90" w:rsidRPr="00807E90">
        <w:rPr>
          <w:i/>
          <w:iCs/>
        </w:rPr>
        <w:t>Nat</w:t>
      </w:r>
      <w:r w:rsidR="00AA2021">
        <w:rPr>
          <w:i/>
          <w:iCs/>
        </w:rPr>
        <w:t>’l</w:t>
      </w:r>
      <w:proofErr w:type="spellEnd"/>
      <w:r w:rsidR="00807E90" w:rsidRPr="00807E90">
        <w:rPr>
          <w:i/>
          <w:iCs/>
        </w:rPr>
        <w:t xml:space="preserve"> Env’t</w:t>
      </w:r>
      <w:r>
        <w:rPr>
          <w:i/>
          <w:iCs/>
        </w:rPr>
        <w:t xml:space="preserve"> Policy</w:t>
      </w:r>
      <w:r w:rsidRPr="00870368">
        <w:rPr>
          <w:i/>
          <w:iCs/>
        </w:rPr>
        <w:t xml:space="preserve"> Act</w:t>
      </w:r>
      <w:r w:rsidRPr="00A972FF">
        <w:t>, Ord</w:t>
      </w:r>
      <w:r>
        <w:t>er</w:t>
      </w:r>
      <w:r w:rsidRPr="00A972FF">
        <w:t xml:space="preserve"> No. 486</w:t>
      </w:r>
      <w:r w:rsidRPr="00FA2AA8">
        <w:t>, FERC</w:t>
      </w:r>
      <w:r w:rsidRPr="00A972FF">
        <w:t xml:space="preserve"> Stats. &amp; Regs. Preambles 1986-1990 ¶</w:t>
      </w:r>
      <w:r>
        <w:t> </w:t>
      </w:r>
      <w:r w:rsidRPr="00A972FF">
        <w:t>30,783 (1987)</w:t>
      </w:r>
      <w:r>
        <w:t xml:space="preserve"> (cross-referenced at </w:t>
      </w:r>
      <w:r w:rsidRPr="00870368">
        <w:t>41 FERC ¶</w:t>
      </w:r>
      <w:r>
        <w:t> </w:t>
      </w:r>
      <w:r w:rsidRPr="00870368">
        <w:t>61,284</w:t>
      </w:r>
      <w:r>
        <w:t>)</w:t>
      </w:r>
      <w:r w:rsidRPr="00A972FF">
        <w:t>.</w:t>
      </w:r>
    </w:p>
  </w:footnote>
  <w:footnote w:id="46">
    <w:p w14:paraId="3E2BEE2C" w14:textId="64AD2C7E" w:rsidR="00E9700D" w:rsidRDefault="00E9700D">
      <w:pPr>
        <w:pStyle w:val="FootnoteText"/>
      </w:pPr>
      <w:r>
        <w:rPr>
          <w:rStyle w:val="FootnoteReference"/>
        </w:rPr>
        <w:footnoteRef/>
      </w:r>
      <w:r>
        <w:t xml:space="preserve"> </w:t>
      </w:r>
      <w:r w:rsidRPr="00E9700D">
        <w:t>18 CFR 380.4(a)(2)(ii).</w:t>
      </w:r>
    </w:p>
  </w:footnote>
  <w:footnote w:id="47">
    <w:p w14:paraId="18433155" w14:textId="77777777" w:rsidR="00F665C7" w:rsidRPr="00A972FF" w:rsidRDefault="00F665C7" w:rsidP="00F665C7">
      <w:pPr>
        <w:pStyle w:val="FootnoteText"/>
      </w:pPr>
      <w:r w:rsidRPr="00F665C7">
        <w:rPr>
          <w:rStyle w:val="FootnoteReference"/>
        </w:rPr>
        <w:footnoteRef/>
      </w:r>
      <w:r w:rsidRPr="00A972FF">
        <w:t xml:space="preserve"> 5 U.S.C. 601-612.</w:t>
      </w:r>
    </w:p>
  </w:footnote>
  <w:footnote w:id="48">
    <w:p w14:paraId="442FC5BC" w14:textId="64A93AAA" w:rsidR="004240CD" w:rsidRDefault="004240CD" w:rsidP="004240CD">
      <w:pPr>
        <w:pStyle w:val="FootnoteText"/>
      </w:pPr>
      <w:r>
        <w:rPr>
          <w:rStyle w:val="FootnoteReference"/>
        </w:rPr>
        <w:footnoteRef/>
      </w:r>
      <w:r>
        <w:t xml:space="preserve"> 13 CFR 121.101.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08CEA" w14:textId="77777777" w:rsidR="00F665C7" w:rsidRDefault="00F665C7" w:rsidP="009229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4AB1CA" w14:textId="77777777" w:rsidR="00F665C7" w:rsidRDefault="00F665C7" w:rsidP="0092294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5A6FA" w14:textId="4AD1D99D" w:rsidR="00F665C7" w:rsidRDefault="00BA22B0" w:rsidP="00F665C7">
    <w:pPr>
      <w:pStyle w:val="Header"/>
      <w:tabs>
        <w:tab w:val="clear" w:pos="4680"/>
      </w:tabs>
      <w:spacing w:after="240"/>
    </w:pPr>
    <w:r>
      <w:rPr>
        <w:noProof/>
      </w:rPr>
      <mc:AlternateContent>
        <mc:Choice Requires="wps">
          <w:drawing>
            <wp:anchor distT="0" distB="0" distL="114300" distR="114300" simplePos="0" relativeHeight="251660291" behindDoc="0" locked="0" layoutInCell="0" allowOverlap="1" wp14:anchorId="749F0F39" wp14:editId="19FFE703">
              <wp:simplePos x="0" y="0"/>
              <wp:positionH relativeFrom="page">
                <wp:posOffset>0</wp:posOffset>
              </wp:positionH>
              <wp:positionV relativeFrom="page">
                <wp:posOffset>190500</wp:posOffset>
              </wp:positionV>
              <wp:extent cx="7772400" cy="250190"/>
              <wp:effectExtent l="0" t="0" r="0" b="0"/>
              <wp:wrapNone/>
              <wp:docPr id="5" name="Text Box 5" descr="{&quot;HashCode&quot;:1795946508,&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6C49D2" w14:textId="04C76DD4" w:rsidR="00BA22B0" w:rsidRPr="00BA22B0" w:rsidRDefault="00BA22B0" w:rsidP="00BA22B0">
                          <w:pPr>
                            <w:jc w:val="center"/>
                            <w:rPr>
                              <w:color w:val="FF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49F0F39" id="_x0000_t202" coordsize="21600,21600" o:spt="202" path="m,l,21600r21600,l21600,xe">
              <v:stroke joinstyle="miter"/>
              <v:path gradientshapeok="t" o:connecttype="rect"/>
            </v:shapetype>
            <v:shape id="Text Box 5" o:spid="_x0000_s1026" type="#_x0000_t202" alt="{&quot;HashCode&quot;:1795946508,&quot;Height&quot;:792.0,&quot;Width&quot;:612.0,&quot;Placement&quot;:&quot;Header&quot;,&quot;Index&quot;:&quot;Primary&quot;,&quot;Section&quot;:1,&quot;Top&quot;:0.0,&quot;Left&quot;:0.0}" style="position:absolute;margin-left:0;margin-top:15pt;width:612pt;height:19.7pt;z-index:25166029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" o:allowincell="f" filled="f" stroked="f" strokeweight=".5pt">
              <v:textbox inset=",0,,0">
                <w:txbxContent>
                  <w:p w14:paraId="226C49D2" w14:textId="04C76DD4" w:rsidR="00BA22B0" w:rsidRPr="00BA22B0" w:rsidRDefault="00BA22B0" w:rsidP="00BA22B0">
                    <w:pPr>
                      <w:jc w:val="center"/>
                      <w:rPr>
                        <w:color w:val="FF0000"/>
                      </w:rPr>
                    </w:pPr>
                  </w:p>
                </w:txbxContent>
              </v:textbox>
              <w10:wrap anchorx="page" anchory="page"/>
            </v:shape>
          </w:pict>
        </mc:Fallback>
      </mc:AlternateContent>
    </w:r>
    <w:r w:rsidR="00A30342">
      <w:rPr>
        <w:noProof/>
      </w:rPr>
      <mc:AlternateContent>
        <mc:Choice Requires="wps">
          <w:drawing>
            <wp:anchor distT="0" distB="0" distL="114300" distR="114300" simplePos="0" relativeHeight="251658240" behindDoc="0" locked="0" layoutInCell="0" allowOverlap="1" wp14:anchorId="084F3B37" wp14:editId="69D9575C">
              <wp:simplePos x="0" y="0"/>
              <wp:positionH relativeFrom="page">
                <wp:posOffset>0</wp:posOffset>
              </wp:positionH>
              <wp:positionV relativeFrom="page">
                <wp:posOffset>190500</wp:posOffset>
              </wp:positionV>
              <wp:extent cx="7772400" cy="250190"/>
              <wp:effectExtent l="0" t="0" r="0" b="0"/>
              <wp:wrapNone/>
              <wp:docPr id="1" name="Text Box 1" descr="{&quot;HashCode&quot;:1795946508,&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06810D" w14:textId="71CD0580" w:rsidR="00A30342" w:rsidRPr="00A30342" w:rsidRDefault="00A30342" w:rsidP="00A30342">
                          <w:pPr>
                            <w:jc w:val="center"/>
                            <w:rPr>
                              <w:color w:val="FF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084F3B37" id="Text Box 1" o:spid="_x0000_s1027" type="#_x0000_t202" alt="{&quot;HashCode&quot;:1795946508,&quot;Height&quot;:792.0,&quot;Width&quot;:612.0,&quot;Placement&quot;:&quot;Header&quot;,&quot;Index&quot;:&quot;Primary&quot;,&quot;Section&quot;:1,&quot;Top&quot;:0.0,&quot;Left&quot;:0.0}" style="position:absolute;margin-left:0;margin-top:15pt;width:612pt;height:19.7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" o:allowincell="f" filled="f" stroked="f" strokeweight=".5pt">
              <v:textbox inset=",0,,0">
                <w:txbxContent>
                  <w:p w14:paraId="7D06810D" w14:textId="71CD0580" w:rsidR="00A30342" w:rsidRPr="00A30342" w:rsidRDefault="00A30342" w:rsidP="00A30342">
                    <w:pPr>
                      <w:jc w:val="center"/>
                      <w:rPr>
                        <w:color w:val="FF0000"/>
                      </w:rPr>
                    </w:pPr>
                  </w:p>
                </w:txbxContent>
              </v:textbox>
              <w10:wrap anchorx="page" anchory="page"/>
            </v:shape>
          </w:pict>
        </mc:Fallback>
      </mc:AlternateContent>
    </w:r>
    <w:r w:rsidR="00F665C7">
      <w:t>Docket No. RM19-17-00</w:t>
    </w:r>
    <w:r w:rsidR="00AB02A0">
      <w:t>1</w:t>
    </w:r>
    <w:r w:rsidR="00F665C7">
      <w:t xml:space="preserve"> </w:t>
    </w:r>
    <w:r w:rsidR="00F665C7">
      <w:tab/>
    </w:r>
    <w:r w:rsidR="00F665C7">
      <w:fldChar w:fldCharType="begin"/>
    </w:r>
    <w:r w:rsidR="00F665C7">
      <w:instrText xml:space="preserve"> PAGE  \* MERGEFORMAT </w:instrText>
    </w:r>
    <w:r w:rsidR="00F665C7">
      <w:fldChar w:fldCharType="separate"/>
    </w:r>
    <w:r w:rsidR="00F665C7">
      <w:rPr>
        <w:noProof/>
      </w:rPr>
      <w:t>i</w:t>
    </w:r>
    <w:r w:rsidR="00F665C7">
      <w:fldChar w:fldCharType="end"/>
    </w:r>
    <w:r w:rsidR="00F665C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1ADB6" w14:textId="12DBE800" w:rsidR="00F665C7" w:rsidRDefault="000428E5">
    <w:pPr>
      <w:pStyle w:val="Header"/>
    </w:pPr>
    <w:r>
      <w:rPr>
        <w:noProof/>
      </w:rPr>
      <mc:AlternateContent>
        <mc:Choice Requires="wps">
          <w:drawing>
            <wp:anchor distT="0" distB="0" distL="114300" distR="114300" simplePos="0" relativeHeight="251668483" behindDoc="0" locked="0" layoutInCell="0" allowOverlap="1" wp14:anchorId="195FFF00" wp14:editId="43BAA708">
              <wp:simplePos x="0" y="0"/>
              <wp:positionH relativeFrom="page">
                <wp:posOffset>0</wp:posOffset>
              </wp:positionH>
              <wp:positionV relativeFrom="page">
                <wp:posOffset>190500</wp:posOffset>
              </wp:positionV>
              <wp:extent cx="7772400" cy="250190"/>
              <wp:effectExtent l="0" t="0" r="0" b="0"/>
              <wp:wrapNone/>
              <wp:docPr id="10" name="Text Box 10" descr="{&quot;HashCode&quot;:1795946508,&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152E83" w14:textId="6158F523" w:rsidR="000428E5" w:rsidRPr="000428E5" w:rsidRDefault="000428E5" w:rsidP="000428E5">
                          <w:pPr>
                            <w:jc w:val="center"/>
                            <w:rPr>
                              <w:color w:val="FF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95FFF00" id="_x0000_t202" coordsize="21600,21600" o:spt="202" path="m,l,21600r21600,l21600,xe">
              <v:stroke joinstyle="miter"/>
              <v:path gradientshapeok="t" o:connecttype="rect"/>
            </v:shapetype>
            <v:shape id="Text Box 10" o:spid="_x0000_s1028" type="#_x0000_t202" alt="{&quot;HashCode&quot;:1795946508,&quot;Height&quot;:792.0,&quot;Width&quot;:612.0,&quot;Placement&quot;:&quot;Header&quot;,&quot;Index&quot;:&quot;FirstPage&quot;,&quot;Section&quot;:1,&quot;Top&quot;:0.0,&quot;Left&quot;:0.0}" style="position:absolute;margin-left:0;margin-top:15pt;width:612pt;height:19.7pt;z-index:25166848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" o:allowincell="f" filled="f" stroked="f" strokeweight=".5pt">
              <v:textbox inset=",0,,0">
                <w:txbxContent>
                  <w:p w14:paraId="6A152E83" w14:textId="6158F523" w:rsidR="000428E5" w:rsidRPr="000428E5" w:rsidRDefault="000428E5" w:rsidP="000428E5">
                    <w:pPr>
                      <w:jc w:val="center"/>
                      <w:rPr>
                        <w:color w:val="FF0000"/>
                      </w:rPr>
                    </w:pPr>
                  </w:p>
                </w:txbxContent>
              </v:textbox>
              <w10:wrap anchorx="page" anchory="page"/>
            </v:shape>
          </w:pict>
        </mc:Fallback>
      </mc:AlternateContent>
    </w:r>
    <w:r w:rsidR="00BA22B0">
      <w:rPr>
        <w:noProof/>
      </w:rPr>
      <mc:AlternateContent>
        <mc:Choice Requires="wps">
          <w:drawing>
            <wp:anchor distT="0" distB="0" distL="114300" distR="114300" simplePos="0" relativeHeight="251662339" behindDoc="0" locked="0" layoutInCell="0" allowOverlap="1" wp14:anchorId="24F23D14" wp14:editId="6EB36777">
              <wp:simplePos x="0" y="0"/>
              <wp:positionH relativeFrom="page">
                <wp:posOffset>0</wp:posOffset>
              </wp:positionH>
              <wp:positionV relativeFrom="page">
                <wp:posOffset>190500</wp:posOffset>
              </wp:positionV>
              <wp:extent cx="7772400" cy="250190"/>
              <wp:effectExtent l="0" t="0" r="0" b="0"/>
              <wp:wrapNone/>
              <wp:docPr id="6" name="Text Box 6" descr="{&quot;HashCode&quot;:1795946508,&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4FE7D1" w14:textId="2CC12073" w:rsidR="00BA22B0" w:rsidRPr="00BA22B0" w:rsidRDefault="00BA22B0" w:rsidP="00BA22B0">
                          <w:pPr>
                            <w:jc w:val="center"/>
                            <w:rPr>
                              <w:color w:val="FF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24F23D14" id="Text Box 6" o:spid="_x0000_s1029" type="#_x0000_t202" alt="{&quot;HashCode&quot;:1795946508,&quot;Height&quot;:792.0,&quot;Width&quot;:612.0,&quot;Placement&quot;:&quot;Header&quot;,&quot;Index&quot;:&quot;FirstPage&quot;,&quot;Section&quot;:1,&quot;Top&quot;:0.0,&quot;Left&quot;:0.0}" style="position:absolute;margin-left:0;margin-top:15pt;width:612pt;height:19.7pt;z-index:25166233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" o:allowincell="f" filled="f" stroked="f" strokeweight=".5pt">
              <v:textbox inset=",0,,0">
                <w:txbxContent>
                  <w:p w14:paraId="434FE7D1" w14:textId="2CC12073" w:rsidR="00BA22B0" w:rsidRPr="00BA22B0" w:rsidRDefault="00BA22B0" w:rsidP="00BA22B0">
                    <w:pPr>
                      <w:jc w:val="center"/>
                      <w:rPr>
                        <w:color w:val="FF0000"/>
                      </w:rPr>
                    </w:pPr>
                  </w:p>
                </w:txbxContent>
              </v:textbox>
              <w10:wrap anchorx="page" anchory="page"/>
            </v:shape>
          </w:pict>
        </mc:Fallback>
      </mc:AlternateContent>
    </w:r>
    <w:r w:rsidR="00A30342">
      <w:rPr>
        <w:noProof/>
      </w:rPr>
      <mc:AlternateContent>
        <mc:Choice Requires="wps">
          <w:drawing>
            <wp:anchor distT="0" distB="0" distL="114300" distR="114300" simplePos="0" relativeHeight="251658241" behindDoc="0" locked="0" layoutInCell="0" allowOverlap="1" wp14:anchorId="42F0CCD5" wp14:editId="53202157">
              <wp:simplePos x="0" y="0"/>
              <wp:positionH relativeFrom="page">
                <wp:posOffset>0</wp:posOffset>
              </wp:positionH>
              <wp:positionV relativeFrom="page">
                <wp:posOffset>190500</wp:posOffset>
              </wp:positionV>
              <wp:extent cx="7772400" cy="250190"/>
              <wp:effectExtent l="0" t="0" r="0" b="0"/>
              <wp:wrapNone/>
              <wp:docPr id="2" name="Text Box 2" descr="{&quot;HashCode&quot;:1795946508,&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758C82" w14:textId="1AD72891" w:rsidR="00A30342" w:rsidRPr="00A30342" w:rsidRDefault="00A30342" w:rsidP="00A30342">
                          <w:pPr>
                            <w:jc w:val="center"/>
                            <w:rPr>
                              <w:color w:val="FF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42F0CCD5" id="Text Box 2" o:spid="_x0000_s1030" type="#_x0000_t202" alt="{&quot;HashCode&quot;:1795946508,&quot;Height&quot;:792.0,&quot;Width&quot;:612.0,&quot;Placement&quot;:&quot;Header&quot;,&quot;Index&quot;:&quot;FirstPage&quot;,&quot;Section&quot;:1,&quot;Top&quot;:0.0,&quot;Left&quot;:0.0}" style="position:absolute;margin-left:0;margin-top:15pt;width:612pt;height:19.7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" o:allowincell="f" filled="f" stroked="f" strokeweight=".5pt">
              <v:textbox inset=",0,,0">
                <w:txbxContent>
                  <w:p w14:paraId="1E758C82" w14:textId="1AD72891" w:rsidR="00A30342" w:rsidRPr="00A30342" w:rsidRDefault="00A30342" w:rsidP="00A30342">
                    <w:pPr>
                      <w:jc w:val="center"/>
                      <w:rPr>
                        <w:color w:val="FF000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C600" w14:textId="77777777" w:rsidR="00653D8D" w:rsidRDefault="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14:paraId="79E6BA46" w14:textId="77777777" w:rsidR="00653D8D" w:rsidRDefault="00653D8D" w:rsidP="00407EE0">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1518C" w14:textId="2BFFD665" w:rsidR="00653D8D" w:rsidRDefault="000428E5" w:rsidP="00F665C7">
    <w:pPr>
      <w:pStyle w:val="Header"/>
      <w:tabs>
        <w:tab w:val="clear" w:pos="4680"/>
      </w:tabs>
      <w:spacing w:after="240"/>
    </w:pPr>
    <w:r>
      <w:rPr>
        <w:noProof/>
      </w:rPr>
      <mc:AlternateContent>
        <mc:Choice Requires="wps">
          <w:drawing>
            <wp:anchor distT="0" distB="0" distL="114300" distR="114300" simplePos="0" relativeHeight="251669507" behindDoc="0" locked="0" layoutInCell="0" allowOverlap="1" wp14:anchorId="42278499" wp14:editId="1F5BD297">
              <wp:simplePos x="0" y="0"/>
              <wp:positionH relativeFrom="page">
                <wp:posOffset>0</wp:posOffset>
              </wp:positionH>
              <wp:positionV relativeFrom="page">
                <wp:posOffset>190500</wp:posOffset>
              </wp:positionV>
              <wp:extent cx="7772400" cy="250190"/>
              <wp:effectExtent l="0" t="0" r="0" b="0"/>
              <wp:wrapNone/>
              <wp:docPr id="11" name="Text Box 11" descr="{&quot;HashCode&quot;:1795946508,&quot;Height&quot;:792.0,&quot;Width&quot;:612.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F85273" w14:textId="0806A25D" w:rsidR="000428E5" w:rsidRPr="000428E5" w:rsidRDefault="000428E5" w:rsidP="000428E5">
                          <w:pPr>
                            <w:jc w:val="center"/>
                            <w:rPr>
                              <w:color w:val="FF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2278499" id="_x0000_t202" coordsize="21600,21600" o:spt="202" path="m,l,21600r21600,l21600,xe">
              <v:stroke joinstyle="miter"/>
              <v:path gradientshapeok="t" o:connecttype="rect"/>
            </v:shapetype>
            <v:shape id="Text Box 11" o:spid="_x0000_s1031" type="#_x0000_t202" alt="{&quot;HashCode&quot;:1795946508,&quot;Height&quot;:792.0,&quot;Width&quot;:612.0,&quot;Placement&quot;:&quot;Header&quot;,&quot;Index&quot;:&quot;Primary&quot;,&quot;Section&quot;:2,&quot;Top&quot;:0.0,&quot;Left&quot;:0.0}" style="position:absolute;margin-left:0;margin-top:15pt;width:612pt;height:19.7pt;z-index:25166950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" o:allowincell="f" filled="f" stroked="f" strokeweight=".5pt">
              <v:textbox inset=",0,,0">
                <w:txbxContent>
                  <w:p w14:paraId="23F85273" w14:textId="0806A25D" w:rsidR="000428E5" w:rsidRPr="000428E5" w:rsidRDefault="000428E5" w:rsidP="000428E5">
                    <w:pPr>
                      <w:jc w:val="center"/>
                      <w:rPr>
                        <w:color w:val="FF0000"/>
                      </w:rPr>
                    </w:pPr>
                  </w:p>
                </w:txbxContent>
              </v:textbox>
              <w10:wrap anchorx="page" anchory="page"/>
            </v:shape>
          </w:pict>
        </mc:Fallback>
      </mc:AlternateContent>
    </w:r>
    <w:r w:rsidR="00BA22B0">
      <w:rPr>
        <w:noProof/>
      </w:rPr>
      <mc:AlternateContent>
        <mc:Choice Requires="wps">
          <w:drawing>
            <wp:anchor distT="0" distB="0" distL="114300" distR="114300" simplePos="0" relativeHeight="251664387" behindDoc="0" locked="0" layoutInCell="0" allowOverlap="1" wp14:anchorId="6AD97643" wp14:editId="356FEDFE">
              <wp:simplePos x="0" y="0"/>
              <wp:positionH relativeFrom="page">
                <wp:posOffset>0</wp:posOffset>
              </wp:positionH>
              <wp:positionV relativeFrom="page">
                <wp:posOffset>190500</wp:posOffset>
              </wp:positionV>
              <wp:extent cx="7772400" cy="250190"/>
              <wp:effectExtent l="0" t="0" r="0" b="0"/>
              <wp:wrapNone/>
              <wp:docPr id="7" name="Text Box 7" descr="{&quot;HashCode&quot;:1795946508,&quot;Height&quot;:792.0,&quot;Width&quot;:612.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AE78AA" w14:textId="018F8150" w:rsidR="00BA22B0" w:rsidRPr="00BA22B0" w:rsidRDefault="00BA22B0" w:rsidP="00BA22B0">
                          <w:pPr>
                            <w:jc w:val="center"/>
                            <w:rPr>
                              <w:color w:val="FF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6AD97643" id="Text Box 7" o:spid="_x0000_s1032" type="#_x0000_t202" alt="{&quot;HashCode&quot;:1795946508,&quot;Height&quot;:792.0,&quot;Width&quot;:612.0,&quot;Placement&quot;:&quot;Header&quot;,&quot;Index&quot;:&quot;Primary&quot;,&quot;Section&quot;:2,&quot;Top&quot;:0.0,&quot;Left&quot;:0.0}" style="position:absolute;margin-left:0;margin-top:15pt;width:612pt;height:19.7pt;z-index:2516643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" o:allowincell="f" filled="f" stroked="f" strokeweight=".5pt">
              <v:textbox inset=",0,,0">
                <w:txbxContent>
                  <w:p w14:paraId="57AE78AA" w14:textId="018F8150" w:rsidR="00BA22B0" w:rsidRPr="00BA22B0" w:rsidRDefault="00BA22B0" w:rsidP="00BA22B0">
                    <w:pPr>
                      <w:jc w:val="center"/>
                      <w:rPr>
                        <w:color w:val="FF0000"/>
                      </w:rPr>
                    </w:pPr>
                  </w:p>
                </w:txbxContent>
              </v:textbox>
              <w10:wrap anchorx="page" anchory="page"/>
            </v:shape>
          </w:pict>
        </mc:Fallback>
      </mc:AlternateContent>
    </w:r>
    <w:r w:rsidR="00A30342">
      <w:rPr>
        <w:noProof/>
      </w:rPr>
      <mc:AlternateContent>
        <mc:Choice Requires="wps">
          <w:drawing>
            <wp:anchor distT="0" distB="0" distL="114300" distR="114300" simplePos="0" relativeHeight="251658242" behindDoc="0" locked="0" layoutInCell="0" allowOverlap="1" wp14:anchorId="3D3B5589" wp14:editId="2304CF5B">
              <wp:simplePos x="0" y="0"/>
              <wp:positionH relativeFrom="page">
                <wp:posOffset>0</wp:posOffset>
              </wp:positionH>
              <wp:positionV relativeFrom="page">
                <wp:posOffset>190500</wp:posOffset>
              </wp:positionV>
              <wp:extent cx="7772400" cy="250190"/>
              <wp:effectExtent l="0" t="0" r="0" b="0"/>
              <wp:wrapNone/>
              <wp:docPr id="3" name="Text Box 3" descr="{&quot;HashCode&quot;:1795946508,&quot;Height&quot;:792.0,&quot;Width&quot;:612.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688A04" w14:textId="4D3E828D" w:rsidR="00A30342" w:rsidRPr="00A30342" w:rsidRDefault="00A30342" w:rsidP="00A30342">
                          <w:pPr>
                            <w:jc w:val="center"/>
                            <w:rPr>
                              <w:color w:val="FF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3D3B5589" id="Text Box 3" o:spid="_x0000_s1033" type="#_x0000_t202" alt="{&quot;HashCode&quot;:1795946508,&quot;Height&quot;:792.0,&quot;Width&quot;:612.0,&quot;Placement&quot;:&quot;Header&quot;,&quot;Index&quot;:&quot;Primary&quot;,&quot;Section&quot;:2,&quot;Top&quot;:0.0,&quot;Left&quot;:0.0}" style="position:absolute;margin-left:0;margin-top:15pt;width:612pt;height:19.7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" o:allowincell="f" filled="f" stroked="f" strokeweight=".5pt">
              <v:textbox inset=",0,,0">
                <w:txbxContent>
                  <w:p w14:paraId="2D688A04" w14:textId="4D3E828D" w:rsidR="00A30342" w:rsidRPr="00A30342" w:rsidRDefault="00A30342" w:rsidP="00A30342">
                    <w:pPr>
                      <w:jc w:val="center"/>
                      <w:rPr>
                        <w:color w:val="FF0000"/>
                      </w:rPr>
                    </w:pPr>
                  </w:p>
                </w:txbxContent>
              </v:textbox>
              <w10:wrap anchorx="page" anchory="page"/>
            </v:shape>
          </w:pict>
        </mc:Fallback>
      </mc:AlternateContent>
    </w:r>
    <w:r w:rsidR="00F665C7">
      <w:t>Docket No. RM19-17-00</w:t>
    </w:r>
    <w:r w:rsidR="00AB02A0">
      <w:t>1</w:t>
    </w:r>
    <w:r w:rsidR="00F665C7">
      <w:t xml:space="preserve"> </w:t>
    </w:r>
    <w:r w:rsidR="00F665C7">
      <w:tab/>
    </w:r>
    <w:r w:rsidR="00F665C7">
      <w:fldChar w:fldCharType="begin"/>
    </w:r>
    <w:r w:rsidR="00F665C7">
      <w:instrText xml:space="preserve"> PAGE  \* MERGEFORMAT </w:instrText>
    </w:r>
    <w:r w:rsidR="00F665C7">
      <w:fldChar w:fldCharType="separate"/>
    </w:r>
    <w:r w:rsidR="00F665C7">
      <w:rPr>
        <w:noProof/>
      </w:rPr>
      <w:t>- 1 -</w:t>
    </w:r>
    <w:r w:rsidR="00F665C7">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1A54" w14:textId="4F4C14BC" w:rsidR="00653D8D" w:rsidRDefault="000428E5" w:rsidP="00EC3F55">
    <w:pPr>
      <w:pStyle w:val="Header"/>
      <w:tabs>
        <w:tab w:val="clear" w:pos="4680"/>
      </w:tabs>
    </w:pPr>
    <w:r>
      <w:rPr>
        <w:noProof/>
      </w:rPr>
      <mc:AlternateContent>
        <mc:Choice Requires="wps">
          <w:drawing>
            <wp:anchor distT="0" distB="0" distL="114300" distR="114300" simplePos="0" relativeHeight="251670531" behindDoc="0" locked="0" layoutInCell="0" allowOverlap="1" wp14:anchorId="34C45FB7" wp14:editId="07F42958">
              <wp:simplePos x="0" y="0"/>
              <wp:positionH relativeFrom="page">
                <wp:posOffset>0</wp:posOffset>
              </wp:positionH>
              <wp:positionV relativeFrom="page">
                <wp:posOffset>190500</wp:posOffset>
              </wp:positionV>
              <wp:extent cx="7772400" cy="250190"/>
              <wp:effectExtent l="0" t="0" r="0" b="0"/>
              <wp:wrapNone/>
              <wp:docPr id="12" name="Text Box 12" descr="{&quot;HashCode&quot;:1795946508,&quot;Height&quot;:792.0,&quot;Width&quot;:612.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A140C2" w14:textId="79607E06" w:rsidR="000428E5" w:rsidRPr="000428E5" w:rsidRDefault="000428E5" w:rsidP="000428E5">
                          <w:pPr>
                            <w:jc w:val="center"/>
                            <w:rPr>
                              <w:color w:val="FF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4C45FB7" id="_x0000_t202" coordsize="21600,21600" o:spt="202" path="m,l,21600r21600,l21600,xe">
              <v:stroke joinstyle="miter"/>
              <v:path gradientshapeok="t" o:connecttype="rect"/>
            </v:shapetype>
            <v:shape id="Text Box 12" o:spid="_x0000_s1034" type="#_x0000_t202" alt="{&quot;HashCode&quot;:1795946508,&quot;Height&quot;:792.0,&quot;Width&quot;:612.0,&quot;Placement&quot;:&quot;Header&quot;,&quot;Index&quot;:&quot;FirstPage&quot;,&quot;Section&quot;:2,&quot;Top&quot;:0.0,&quot;Left&quot;:0.0}" style="position:absolute;margin-left:0;margin-top:15pt;width:612pt;height:19.7pt;z-index:25167053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" o:allowincell="f" filled="f" stroked="f" strokeweight=".5pt">
              <v:textbox inset=",0,,0">
                <w:txbxContent>
                  <w:p w14:paraId="2CA140C2" w14:textId="79607E06" w:rsidR="000428E5" w:rsidRPr="000428E5" w:rsidRDefault="000428E5" w:rsidP="000428E5">
                    <w:pPr>
                      <w:jc w:val="center"/>
                      <w:rPr>
                        <w:color w:val="FF0000"/>
                      </w:rPr>
                    </w:pPr>
                  </w:p>
                </w:txbxContent>
              </v:textbox>
              <w10:wrap anchorx="page" anchory="page"/>
            </v:shape>
          </w:pict>
        </mc:Fallback>
      </mc:AlternateContent>
    </w:r>
    <w:r w:rsidR="00BA22B0">
      <w:rPr>
        <w:noProof/>
      </w:rPr>
      <mc:AlternateContent>
        <mc:Choice Requires="wps">
          <w:drawing>
            <wp:anchor distT="0" distB="0" distL="114300" distR="114300" simplePos="0" relativeHeight="251666435" behindDoc="0" locked="0" layoutInCell="0" allowOverlap="1" wp14:anchorId="271B3931" wp14:editId="7A32EE7A">
              <wp:simplePos x="0" y="0"/>
              <wp:positionH relativeFrom="page">
                <wp:posOffset>0</wp:posOffset>
              </wp:positionH>
              <wp:positionV relativeFrom="page">
                <wp:posOffset>190500</wp:posOffset>
              </wp:positionV>
              <wp:extent cx="7772400" cy="250190"/>
              <wp:effectExtent l="0" t="0" r="0" b="0"/>
              <wp:wrapNone/>
              <wp:docPr id="8" name="Text Box 8" descr="{&quot;HashCode&quot;:1795946508,&quot;Height&quot;:792.0,&quot;Width&quot;:612.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1B3C4C" w14:textId="05CFB395" w:rsidR="00BA22B0" w:rsidRPr="00BA22B0" w:rsidRDefault="00BA22B0" w:rsidP="00BA22B0">
                          <w:pPr>
                            <w:jc w:val="center"/>
                            <w:rPr>
                              <w:color w:val="FF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271B3931" id="Text Box 8" o:spid="_x0000_s1035" type="#_x0000_t202" alt="{&quot;HashCode&quot;:1795946508,&quot;Height&quot;:792.0,&quot;Width&quot;:612.0,&quot;Placement&quot;:&quot;Header&quot;,&quot;Index&quot;:&quot;FirstPage&quot;,&quot;Section&quot;:2,&quot;Top&quot;:0.0,&quot;Left&quot;:0.0}" style="position:absolute;margin-left:0;margin-top:15pt;width:612pt;height:19.7pt;z-index:25166643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" o:allowincell="f" filled="f" stroked="f" strokeweight=".5pt">
              <v:textbox inset=",0,,0">
                <w:txbxContent>
                  <w:p w14:paraId="2C1B3C4C" w14:textId="05CFB395" w:rsidR="00BA22B0" w:rsidRPr="00BA22B0" w:rsidRDefault="00BA22B0" w:rsidP="00BA22B0">
                    <w:pPr>
                      <w:jc w:val="center"/>
                      <w:rPr>
                        <w:color w:val="FF0000"/>
                      </w:rPr>
                    </w:pPr>
                  </w:p>
                </w:txbxContent>
              </v:textbox>
              <w10:wrap anchorx="page" anchory="page"/>
            </v:shape>
          </w:pict>
        </mc:Fallback>
      </mc:AlternateContent>
    </w:r>
    <w:r w:rsidR="00A30342">
      <w:rPr>
        <w:noProof/>
      </w:rPr>
      <mc:AlternateContent>
        <mc:Choice Requires="wps">
          <w:drawing>
            <wp:anchor distT="0" distB="0" distL="114300" distR="114300" simplePos="0" relativeHeight="251658243" behindDoc="0" locked="0" layoutInCell="0" allowOverlap="1" wp14:anchorId="09685027" wp14:editId="0571C373">
              <wp:simplePos x="0" y="0"/>
              <wp:positionH relativeFrom="page">
                <wp:posOffset>0</wp:posOffset>
              </wp:positionH>
              <wp:positionV relativeFrom="page">
                <wp:posOffset>190500</wp:posOffset>
              </wp:positionV>
              <wp:extent cx="7772400" cy="250190"/>
              <wp:effectExtent l="0" t="0" r="0" b="0"/>
              <wp:wrapNone/>
              <wp:docPr id="4" name="Text Box 4" descr="{&quot;HashCode&quot;:1795946508,&quot;Height&quot;:792.0,&quot;Width&quot;:612.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95D5E6" w14:textId="1DF78D4E" w:rsidR="00A30342" w:rsidRPr="00A30342" w:rsidRDefault="00A30342" w:rsidP="00A30342">
                          <w:pPr>
                            <w:jc w:val="center"/>
                            <w:rPr>
                              <w:color w:val="FF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09685027" id="Text Box 4" o:spid="_x0000_s1036" type="#_x0000_t202" alt="{&quot;HashCode&quot;:1795946508,&quot;Height&quot;:792.0,&quot;Width&quot;:612.0,&quot;Placement&quot;:&quot;Header&quot;,&quot;Index&quot;:&quot;FirstPage&quot;,&quot;Section&quot;:2,&quot;Top&quot;:0.0,&quot;Left&quot;:0.0}" style="position:absolute;margin-left:0;margin-top:15pt;width:612pt;height:19.7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" o:allowincell="f" filled="f" stroked="f" strokeweight=".5pt">
              <v:textbox inset=",0,,0">
                <w:txbxContent>
                  <w:p w14:paraId="6895D5E6" w14:textId="1DF78D4E" w:rsidR="00A30342" w:rsidRPr="00A30342" w:rsidRDefault="00A30342" w:rsidP="00A30342">
                    <w:pPr>
                      <w:jc w:val="center"/>
                      <w:rPr>
                        <w:color w:val="FF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F6CD3"/>
    <w:multiLevelType w:val="hybridMultilevel"/>
    <w:tmpl w:val="64A0B718"/>
    <w:lvl w:ilvl="0" w:tplc="87ECED62">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1" w15:restartNumberingAfterBreak="0">
    <w:nsid w:val="0AD240F1"/>
    <w:multiLevelType w:val="hybridMultilevel"/>
    <w:tmpl w:val="CFBE3900"/>
    <w:lvl w:ilvl="0" w:tplc="1FFE9ADE">
      <w:start w:val="7"/>
      <w:numFmt w:val="bullet"/>
      <w:lvlText w:val="-"/>
      <w:lvlJc w:val="left"/>
      <w:pPr>
        <w:ind w:left="9480" w:hanging="360"/>
      </w:pPr>
      <w:rPr>
        <w:rFonts w:ascii="Times New Roman" w:eastAsiaTheme="minorHAnsi" w:hAnsi="Times New Roman" w:cs="Times New Roman" w:hint="default"/>
      </w:rPr>
    </w:lvl>
    <w:lvl w:ilvl="1" w:tplc="04090003" w:tentative="1">
      <w:start w:val="1"/>
      <w:numFmt w:val="bullet"/>
      <w:lvlText w:val="o"/>
      <w:lvlJc w:val="left"/>
      <w:pPr>
        <w:ind w:left="10200" w:hanging="360"/>
      </w:pPr>
      <w:rPr>
        <w:rFonts w:ascii="Courier New" w:hAnsi="Courier New" w:cs="Courier New" w:hint="default"/>
      </w:rPr>
    </w:lvl>
    <w:lvl w:ilvl="2" w:tplc="04090005" w:tentative="1">
      <w:start w:val="1"/>
      <w:numFmt w:val="bullet"/>
      <w:lvlText w:val=""/>
      <w:lvlJc w:val="left"/>
      <w:pPr>
        <w:ind w:left="10920" w:hanging="360"/>
      </w:pPr>
      <w:rPr>
        <w:rFonts w:ascii="Wingdings" w:hAnsi="Wingdings" w:hint="default"/>
      </w:rPr>
    </w:lvl>
    <w:lvl w:ilvl="3" w:tplc="04090001" w:tentative="1">
      <w:start w:val="1"/>
      <w:numFmt w:val="bullet"/>
      <w:lvlText w:val=""/>
      <w:lvlJc w:val="left"/>
      <w:pPr>
        <w:ind w:left="11640" w:hanging="360"/>
      </w:pPr>
      <w:rPr>
        <w:rFonts w:ascii="Symbol" w:hAnsi="Symbol" w:hint="default"/>
      </w:rPr>
    </w:lvl>
    <w:lvl w:ilvl="4" w:tplc="04090003" w:tentative="1">
      <w:start w:val="1"/>
      <w:numFmt w:val="bullet"/>
      <w:lvlText w:val="o"/>
      <w:lvlJc w:val="left"/>
      <w:pPr>
        <w:ind w:left="12360" w:hanging="360"/>
      </w:pPr>
      <w:rPr>
        <w:rFonts w:ascii="Courier New" w:hAnsi="Courier New" w:cs="Courier New" w:hint="default"/>
      </w:rPr>
    </w:lvl>
    <w:lvl w:ilvl="5" w:tplc="04090005" w:tentative="1">
      <w:start w:val="1"/>
      <w:numFmt w:val="bullet"/>
      <w:lvlText w:val=""/>
      <w:lvlJc w:val="left"/>
      <w:pPr>
        <w:ind w:left="13080" w:hanging="360"/>
      </w:pPr>
      <w:rPr>
        <w:rFonts w:ascii="Wingdings" w:hAnsi="Wingdings" w:hint="default"/>
      </w:rPr>
    </w:lvl>
    <w:lvl w:ilvl="6" w:tplc="04090001" w:tentative="1">
      <w:start w:val="1"/>
      <w:numFmt w:val="bullet"/>
      <w:lvlText w:val=""/>
      <w:lvlJc w:val="left"/>
      <w:pPr>
        <w:ind w:left="13800" w:hanging="360"/>
      </w:pPr>
      <w:rPr>
        <w:rFonts w:ascii="Symbol" w:hAnsi="Symbol" w:hint="default"/>
      </w:rPr>
    </w:lvl>
    <w:lvl w:ilvl="7" w:tplc="04090003" w:tentative="1">
      <w:start w:val="1"/>
      <w:numFmt w:val="bullet"/>
      <w:lvlText w:val="o"/>
      <w:lvlJc w:val="left"/>
      <w:pPr>
        <w:ind w:left="14520" w:hanging="360"/>
      </w:pPr>
      <w:rPr>
        <w:rFonts w:ascii="Courier New" w:hAnsi="Courier New" w:cs="Courier New" w:hint="default"/>
      </w:rPr>
    </w:lvl>
    <w:lvl w:ilvl="8" w:tplc="04090005" w:tentative="1">
      <w:start w:val="1"/>
      <w:numFmt w:val="bullet"/>
      <w:lvlText w:val=""/>
      <w:lvlJc w:val="left"/>
      <w:pPr>
        <w:ind w:left="15240" w:hanging="360"/>
      </w:pPr>
      <w:rPr>
        <w:rFonts w:ascii="Wingdings" w:hAnsi="Wingdings" w:hint="default"/>
      </w:rPr>
    </w:lvl>
  </w:abstractNum>
  <w:abstractNum w:abstractNumId="12" w15:restartNumberingAfterBreak="0">
    <w:nsid w:val="13B11278"/>
    <w:multiLevelType w:val="hybridMultilevel"/>
    <w:tmpl w:val="8158AD8E"/>
    <w:lvl w:ilvl="0" w:tplc="B478E46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16194"/>
    <w:multiLevelType w:val="multilevel"/>
    <w:tmpl w:val="5F3ACA38"/>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15:restartNumberingAfterBreak="0">
    <w:nsid w:val="1E5A2883"/>
    <w:multiLevelType w:val="hybridMultilevel"/>
    <w:tmpl w:val="543635AE"/>
    <w:lvl w:ilvl="0" w:tplc="54246274">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5" w15:restartNumberingAfterBreak="0">
    <w:nsid w:val="3FBF35A2"/>
    <w:multiLevelType w:val="hybridMultilevel"/>
    <w:tmpl w:val="90327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6502FF"/>
    <w:multiLevelType w:val="multilevel"/>
    <w:tmpl w:val="42787ABA"/>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7" w15:restartNumberingAfterBreak="0">
    <w:nsid w:val="66646187"/>
    <w:multiLevelType w:val="hybridMultilevel"/>
    <w:tmpl w:val="9DCC217A"/>
    <w:lvl w:ilvl="0" w:tplc="D43ED736">
      <w:start w:val="1"/>
      <w:numFmt w:val="bullet"/>
      <w:lvlText w:val=""/>
      <w:lvlJc w:val="left"/>
      <w:pPr>
        <w:tabs>
          <w:tab w:val="num" w:pos="360"/>
        </w:tabs>
        <w:ind w:left="720" w:hanging="360"/>
      </w:pPr>
      <w:rPr>
        <w:rFonts w:ascii="Symbol" w:hAnsi="Symbol" w:hint="default"/>
      </w:rPr>
    </w:lvl>
    <w:lvl w:ilvl="1" w:tplc="E760E52E" w:tentative="1">
      <w:start w:val="1"/>
      <w:numFmt w:val="bullet"/>
      <w:lvlText w:val="o"/>
      <w:lvlJc w:val="left"/>
      <w:pPr>
        <w:tabs>
          <w:tab w:val="num" w:pos="1440"/>
        </w:tabs>
        <w:ind w:left="1440" w:hanging="360"/>
      </w:pPr>
      <w:rPr>
        <w:rFonts w:ascii="Courier New" w:hAnsi="Courier New" w:cs="Courier New" w:hint="default"/>
      </w:rPr>
    </w:lvl>
    <w:lvl w:ilvl="2" w:tplc="A906EF2C" w:tentative="1">
      <w:start w:val="1"/>
      <w:numFmt w:val="bullet"/>
      <w:lvlText w:val=""/>
      <w:lvlJc w:val="left"/>
      <w:pPr>
        <w:tabs>
          <w:tab w:val="num" w:pos="2160"/>
        </w:tabs>
        <w:ind w:left="2160" w:hanging="360"/>
      </w:pPr>
      <w:rPr>
        <w:rFonts w:ascii="Wingdings" w:hAnsi="Wingdings" w:hint="default"/>
      </w:rPr>
    </w:lvl>
    <w:lvl w:ilvl="3" w:tplc="174C3630" w:tentative="1">
      <w:start w:val="1"/>
      <w:numFmt w:val="bullet"/>
      <w:lvlText w:val=""/>
      <w:lvlJc w:val="left"/>
      <w:pPr>
        <w:tabs>
          <w:tab w:val="num" w:pos="2880"/>
        </w:tabs>
        <w:ind w:left="2880" w:hanging="360"/>
      </w:pPr>
      <w:rPr>
        <w:rFonts w:ascii="Symbol" w:hAnsi="Symbol" w:hint="default"/>
      </w:rPr>
    </w:lvl>
    <w:lvl w:ilvl="4" w:tplc="2A58DF28" w:tentative="1">
      <w:start w:val="1"/>
      <w:numFmt w:val="bullet"/>
      <w:lvlText w:val="o"/>
      <w:lvlJc w:val="left"/>
      <w:pPr>
        <w:tabs>
          <w:tab w:val="num" w:pos="3600"/>
        </w:tabs>
        <w:ind w:left="3600" w:hanging="360"/>
      </w:pPr>
      <w:rPr>
        <w:rFonts w:ascii="Courier New" w:hAnsi="Courier New" w:cs="Courier New" w:hint="default"/>
      </w:rPr>
    </w:lvl>
    <w:lvl w:ilvl="5" w:tplc="9E04ADBC" w:tentative="1">
      <w:start w:val="1"/>
      <w:numFmt w:val="bullet"/>
      <w:lvlText w:val=""/>
      <w:lvlJc w:val="left"/>
      <w:pPr>
        <w:tabs>
          <w:tab w:val="num" w:pos="4320"/>
        </w:tabs>
        <w:ind w:left="4320" w:hanging="360"/>
      </w:pPr>
      <w:rPr>
        <w:rFonts w:ascii="Wingdings" w:hAnsi="Wingdings" w:hint="default"/>
      </w:rPr>
    </w:lvl>
    <w:lvl w:ilvl="6" w:tplc="B7582168" w:tentative="1">
      <w:start w:val="1"/>
      <w:numFmt w:val="bullet"/>
      <w:lvlText w:val=""/>
      <w:lvlJc w:val="left"/>
      <w:pPr>
        <w:tabs>
          <w:tab w:val="num" w:pos="5040"/>
        </w:tabs>
        <w:ind w:left="5040" w:hanging="360"/>
      </w:pPr>
      <w:rPr>
        <w:rFonts w:ascii="Symbol" w:hAnsi="Symbol" w:hint="default"/>
      </w:rPr>
    </w:lvl>
    <w:lvl w:ilvl="7" w:tplc="0C00A7B2" w:tentative="1">
      <w:start w:val="1"/>
      <w:numFmt w:val="bullet"/>
      <w:lvlText w:val="o"/>
      <w:lvlJc w:val="left"/>
      <w:pPr>
        <w:tabs>
          <w:tab w:val="num" w:pos="5760"/>
        </w:tabs>
        <w:ind w:left="5760" w:hanging="360"/>
      </w:pPr>
      <w:rPr>
        <w:rFonts w:ascii="Courier New" w:hAnsi="Courier New" w:cs="Courier New" w:hint="default"/>
      </w:rPr>
    </w:lvl>
    <w:lvl w:ilvl="8" w:tplc="FF02B8A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7A48D3"/>
    <w:multiLevelType w:val="multilevel"/>
    <w:tmpl w:val="D4FA253C"/>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9" w15:restartNumberingAfterBreak="0">
    <w:nsid w:val="7D3B09D3"/>
    <w:multiLevelType w:val="hybridMultilevel"/>
    <w:tmpl w:val="4AFE5BD4"/>
    <w:lvl w:ilvl="0" w:tplc="6B52AD36">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4E4DD3"/>
    <w:multiLevelType w:val="hybridMultilevel"/>
    <w:tmpl w:val="ED2073C2"/>
    <w:lvl w:ilvl="0" w:tplc="D4323D40">
      <w:start w:val="1"/>
      <w:numFmt w:val="decimal"/>
      <w:pStyle w:val="Non-TOCStyle"/>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8286605">
    <w:abstractNumId w:val="9"/>
  </w:num>
  <w:num w:numId="2" w16cid:durableId="2085489124">
    <w:abstractNumId w:val="7"/>
  </w:num>
  <w:num w:numId="3" w16cid:durableId="557866453">
    <w:abstractNumId w:val="6"/>
  </w:num>
  <w:num w:numId="4" w16cid:durableId="2133207737">
    <w:abstractNumId w:val="5"/>
  </w:num>
  <w:num w:numId="5" w16cid:durableId="666595458">
    <w:abstractNumId w:val="4"/>
  </w:num>
  <w:num w:numId="6" w16cid:durableId="56439413">
    <w:abstractNumId w:val="8"/>
  </w:num>
  <w:num w:numId="7" w16cid:durableId="1623263555">
    <w:abstractNumId w:val="3"/>
  </w:num>
  <w:num w:numId="8" w16cid:durableId="79446931">
    <w:abstractNumId w:val="2"/>
  </w:num>
  <w:num w:numId="9" w16cid:durableId="376206077">
    <w:abstractNumId w:val="1"/>
  </w:num>
  <w:num w:numId="10" w16cid:durableId="412552496">
    <w:abstractNumId w:val="0"/>
  </w:num>
  <w:num w:numId="11" w16cid:durableId="522520787">
    <w:abstractNumId w:val="19"/>
  </w:num>
  <w:num w:numId="12" w16cid:durableId="881332890">
    <w:abstractNumId w:val="17"/>
  </w:num>
  <w:num w:numId="13" w16cid:durableId="1235774025">
    <w:abstractNumId w:val="13"/>
  </w:num>
  <w:num w:numId="14" w16cid:durableId="905913851">
    <w:abstractNumId w:val="18"/>
  </w:num>
  <w:num w:numId="15" w16cid:durableId="1524637490">
    <w:abstractNumId w:val="16"/>
  </w:num>
  <w:num w:numId="16" w16cid:durableId="17886176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9180208">
    <w:abstractNumId w:val="11"/>
  </w:num>
  <w:num w:numId="18" w16cid:durableId="1169564585">
    <w:abstractNumId w:val="10"/>
  </w:num>
  <w:num w:numId="19" w16cid:durableId="953944034">
    <w:abstractNumId w:val="14"/>
  </w:num>
  <w:num w:numId="20" w16cid:durableId="465703666">
    <w:abstractNumId w:val="12"/>
  </w:num>
  <w:num w:numId="21" w16cid:durableId="41179122">
    <w:abstractNumId w:val="20"/>
  </w:num>
  <w:num w:numId="22" w16cid:durableId="5549747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5C7"/>
    <w:rsid w:val="00001F67"/>
    <w:rsid w:val="00003340"/>
    <w:rsid w:val="0000731D"/>
    <w:rsid w:val="000078BC"/>
    <w:rsid w:val="00010FA6"/>
    <w:rsid w:val="000118C8"/>
    <w:rsid w:val="00011FBD"/>
    <w:rsid w:val="000143AA"/>
    <w:rsid w:val="0001442E"/>
    <w:rsid w:val="000153F6"/>
    <w:rsid w:val="0002042F"/>
    <w:rsid w:val="00020D2F"/>
    <w:rsid w:val="000211ED"/>
    <w:rsid w:val="00022A33"/>
    <w:rsid w:val="0002355F"/>
    <w:rsid w:val="00026815"/>
    <w:rsid w:val="00030A96"/>
    <w:rsid w:val="00031195"/>
    <w:rsid w:val="00031795"/>
    <w:rsid w:val="00032622"/>
    <w:rsid w:val="0003382F"/>
    <w:rsid w:val="00034B35"/>
    <w:rsid w:val="000428C4"/>
    <w:rsid w:val="000428E5"/>
    <w:rsid w:val="0004326A"/>
    <w:rsid w:val="0004624A"/>
    <w:rsid w:val="0005135D"/>
    <w:rsid w:val="000550DC"/>
    <w:rsid w:val="0005535D"/>
    <w:rsid w:val="00055F5F"/>
    <w:rsid w:val="0006117F"/>
    <w:rsid w:val="000624B0"/>
    <w:rsid w:val="00062732"/>
    <w:rsid w:val="00066264"/>
    <w:rsid w:val="00070857"/>
    <w:rsid w:val="0007377C"/>
    <w:rsid w:val="00075C94"/>
    <w:rsid w:val="0007636C"/>
    <w:rsid w:val="0008478C"/>
    <w:rsid w:val="00084A31"/>
    <w:rsid w:val="00086D98"/>
    <w:rsid w:val="0008778D"/>
    <w:rsid w:val="00092634"/>
    <w:rsid w:val="00096396"/>
    <w:rsid w:val="00097C05"/>
    <w:rsid w:val="000A3D2F"/>
    <w:rsid w:val="000A6835"/>
    <w:rsid w:val="000A6C08"/>
    <w:rsid w:val="000A75FD"/>
    <w:rsid w:val="000B4124"/>
    <w:rsid w:val="000B7E62"/>
    <w:rsid w:val="000C0253"/>
    <w:rsid w:val="000C0DF2"/>
    <w:rsid w:val="000C1190"/>
    <w:rsid w:val="000C1FCA"/>
    <w:rsid w:val="000C4A0B"/>
    <w:rsid w:val="000C6869"/>
    <w:rsid w:val="000D0EE6"/>
    <w:rsid w:val="000D1D4B"/>
    <w:rsid w:val="000D1FB6"/>
    <w:rsid w:val="000D5584"/>
    <w:rsid w:val="000D6D26"/>
    <w:rsid w:val="000D739B"/>
    <w:rsid w:val="000D7DD4"/>
    <w:rsid w:val="000D7E4E"/>
    <w:rsid w:val="000D7E96"/>
    <w:rsid w:val="000E065C"/>
    <w:rsid w:val="000E0857"/>
    <w:rsid w:val="000E0FB3"/>
    <w:rsid w:val="000E2BFA"/>
    <w:rsid w:val="000E3464"/>
    <w:rsid w:val="000E5109"/>
    <w:rsid w:val="000E6E8D"/>
    <w:rsid w:val="000F2DC1"/>
    <w:rsid w:val="000F372C"/>
    <w:rsid w:val="000F603B"/>
    <w:rsid w:val="000F6403"/>
    <w:rsid w:val="000F6C7F"/>
    <w:rsid w:val="000F7BBA"/>
    <w:rsid w:val="00100E1B"/>
    <w:rsid w:val="00101107"/>
    <w:rsid w:val="00102736"/>
    <w:rsid w:val="0010290F"/>
    <w:rsid w:val="00104F76"/>
    <w:rsid w:val="001168FC"/>
    <w:rsid w:val="00120603"/>
    <w:rsid w:val="001208A2"/>
    <w:rsid w:val="001209EF"/>
    <w:rsid w:val="00120B44"/>
    <w:rsid w:val="001236E4"/>
    <w:rsid w:val="001243EC"/>
    <w:rsid w:val="00124C66"/>
    <w:rsid w:val="0012713F"/>
    <w:rsid w:val="00127478"/>
    <w:rsid w:val="001279B9"/>
    <w:rsid w:val="00130CCE"/>
    <w:rsid w:val="00132D57"/>
    <w:rsid w:val="00133805"/>
    <w:rsid w:val="00134A3A"/>
    <w:rsid w:val="00135385"/>
    <w:rsid w:val="001358B1"/>
    <w:rsid w:val="001421AA"/>
    <w:rsid w:val="00146074"/>
    <w:rsid w:val="00146A50"/>
    <w:rsid w:val="001512A7"/>
    <w:rsid w:val="001520D4"/>
    <w:rsid w:val="001549DE"/>
    <w:rsid w:val="00154C7A"/>
    <w:rsid w:val="001573FA"/>
    <w:rsid w:val="00163377"/>
    <w:rsid w:val="0016530E"/>
    <w:rsid w:val="0016531B"/>
    <w:rsid w:val="001674DF"/>
    <w:rsid w:val="001702D4"/>
    <w:rsid w:val="001744C3"/>
    <w:rsid w:val="00174B56"/>
    <w:rsid w:val="0017696A"/>
    <w:rsid w:val="0017701D"/>
    <w:rsid w:val="001833A1"/>
    <w:rsid w:val="00183604"/>
    <w:rsid w:val="00185159"/>
    <w:rsid w:val="0018758C"/>
    <w:rsid w:val="00187A52"/>
    <w:rsid w:val="00190C90"/>
    <w:rsid w:val="00191617"/>
    <w:rsid w:val="0019292E"/>
    <w:rsid w:val="00192F71"/>
    <w:rsid w:val="001960DD"/>
    <w:rsid w:val="001A2AF1"/>
    <w:rsid w:val="001A33D6"/>
    <w:rsid w:val="001A563A"/>
    <w:rsid w:val="001A5A7E"/>
    <w:rsid w:val="001A6DC6"/>
    <w:rsid w:val="001B042B"/>
    <w:rsid w:val="001B1FE9"/>
    <w:rsid w:val="001B2C6D"/>
    <w:rsid w:val="001B2DF9"/>
    <w:rsid w:val="001B362D"/>
    <w:rsid w:val="001B48BD"/>
    <w:rsid w:val="001B4FB2"/>
    <w:rsid w:val="001B5030"/>
    <w:rsid w:val="001B6F0B"/>
    <w:rsid w:val="001C16A2"/>
    <w:rsid w:val="001C2212"/>
    <w:rsid w:val="001C2FBB"/>
    <w:rsid w:val="001C52FE"/>
    <w:rsid w:val="001D264B"/>
    <w:rsid w:val="001D36DA"/>
    <w:rsid w:val="001D3B0D"/>
    <w:rsid w:val="001D7927"/>
    <w:rsid w:val="001E19E1"/>
    <w:rsid w:val="001E1A63"/>
    <w:rsid w:val="001E35CB"/>
    <w:rsid w:val="001E59F9"/>
    <w:rsid w:val="001E68DB"/>
    <w:rsid w:val="001E77C7"/>
    <w:rsid w:val="001E7A8F"/>
    <w:rsid w:val="001F2D24"/>
    <w:rsid w:val="001F51A0"/>
    <w:rsid w:val="001F5CC6"/>
    <w:rsid w:val="001F7422"/>
    <w:rsid w:val="0020072E"/>
    <w:rsid w:val="00202BC3"/>
    <w:rsid w:val="00203911"/>
    <w:rsid w:val="00205155"/>
    <w:rsid w:val="002072CF"/>
    <w:rsid w:val="00210712"/>
    <w:rsid w:val="00210A6A"/>
    <w:rsid w:val="00211765"/>
    <w:rsid w:val="00212ABF"/>
    <w:rsid w:val="002136E7"/>
    <w:rsid w:val="00215A6E"/>
    <w:rsid w:val="00217657"/>
    <w:rsid w:val="002206DB"/>
    <w:rsid w:val="00220B38"/>
    <w:rsid w:val="0022182D"/>
    <w:rsid w:val="0022369F"/>
    <w:rsid w:val="00224859"/>
    <w:rsid w:val="00225A12"/>
    <w:rsid w:val="002261B3"/>
    <w:rsid w:val="00230CCC"/>
    <w:rsid w:val="002318B6"/>
    <w:rsid w:val="00233CEF"/>
    <w:rsid w:val="00233FD0"/>
    <w:rsid w:val="002352B0"/>
    <w:rsid w:val="002354E4"/>
    <w:rsid w:val="002366EE"/>
    <w:rsid w:val="00240493"/>
    <w:rsid w:val="00242BF4"/>
    <w:rsid w:val="00243942"/>
    <w:rsid w:val="002464E8"/>
    <w:rsid w:val="0024710C"/>
    <w:rsid w:val="002521E6"/>
    <w:rsid w:val="00253776"/>
    <w:rsid w:val="002543F3"/>
    <w:rsid w:val="00254682"/>
    <w:rsid w:val="00255417"/>
    <w:rsid w:val="00257989"/>
    <w:rsid w:val="00260517"/>
    <w:rsid w:val="00260DCC"/>
    <w:rsid w:val="00262FED"/>
    <w:rsid w:val="00267189"/>
    <w:rsid w:val="00267328"/>
    <w:rsid w:val="00272ADC"/>
    <w:rsid w:val="00274963"/>
    <w:rsid w:val="002817CE"/>
    <w:rsid w:val="0028233F"/>
    <w:rsid w:val="0028323F"/>
    <w:rsid w:val="00283AA6"/>
    <w:rsid w:val="0028432C"/>
    <w:rsid w:val="00284E46"/>
    <w:rsid w:val="002857E2"/>
    <w:rsid w:val="002870A9"/>
    <w:rsid w:val="00290ABD"/>
    <w:rsid w:val="00291536"/>
    <w:rsid w:val="00292DAB"/>
    <w:rsid w:val="00293E05"/>
    <w:rsid w:val="002A0B4A"/>
    <w:rsid w:val="002A34C1"/>
    <w:rsid w:val="002A5C43"/>
    <w:rsid w:val="002A729E"/>
    <w:rsid w:val="002A7FB5"/>
    <w:rsid w:val="002B262D"/>
    <w:rsid w:val="002B35F2"/>
    <w:rsid w:val="002B3E54"/>
    <w:rsid w:val="002B3E68"/>
    <w:rsid w:val="002B5363"/>
    <w:rsid w:val="002B6125"/>
    <w:rsid w:val="002B613D"/>
    <w:rsid w:val="002C57E5"/>
    <w:rsid w:val="002C7704"/>
    <w:rsid w:val="002C7F13"/>
    <w:rsid w:val="002D1528"/>
    <w:rsid w:val="002D206A"/>
    <w:rsid w:val="002D358E"/>
    <w:rsid w:val="002D65B3"/>
    <w:rsid w:val="002D6C91"/>
    <w:rsid w:val="002D7D6B"/>
    <w:rsid w:val="002E2247"/>
    <w:rsid w:val="002E4E8A"/>
    <w:rsid w:val="002F08DF"/>
    <w:rsid w:val="002F48DF"/>
    <w:rsid w:val="002F52A9"/>
    <w:rsid w:val="002F7681"/>
    <w:rsid w:val="00301D68"/>
    <w:rsid w:val="00302DD9"/>
    <w:rsid w:val="003031DA"/>
    <w:rsid w:val="00306566"/>
    <w:rsid w:val="00312651"/>
    <w:rsid w:val="00313634"/>
    <w:rsid w:val="0031537B"/>
    <w:rsid w:val="003222B1"/>
    <w:rsid w:val="00322CBC"/>
    <w:rsid w:val="00322F05"/>
    <w:rsid w:val="003238DE"/>
    <w:rsid w:val="00324F79"/>
    <w:rsid w:val="003260A4"/>
    <w:rsid w:val="00327401"/>
    <w:rsid w:val="003346EB"/>
    <w:rsid w:val="00335933"/>
    <w:rsid w:val="00337032"/>
    <w:rsid w:val="003370E4"/>
    <w:rsid w:val="003372C8"/>
    <w:rsid w:val="003437BD"/>
    <w:rsid w:val="00343D67"/>
    <w:rsid w:val="00345662"/>
    <w:rsid w:val="003470A8"/>
    <w:rsid w:val="003478CF"/>
    <w:rsid w:val="00350E98"/>
    <w:rsid w:val="00350FC8"/>
    <w:rsid w:val="003520AD"/>
    <w:rsid w:val="00356733"/>
    <w:rsid w:val="003608E7"/>
    <w:rsid w:val="00360AA1"/>
    <w:rsid w:val="00364E6F"/>
    <w:rsid w:val="00365000"/>
    <w:rsid w:val="0036500A"/>
    <w:rsid w:val="00365548"/>
    <w:rsid w:val="00365AA0"/>
    <w:rsid w:val="00365B20"/>
    <w:rsid w:val="00371AB8"/>
    <w:rsid w:val="00373529"/>
    <w:rsid w:val="00374532"/>
    <w:rsid w:val="00374868"/>
    <w:rsid w:val="00375DF4"/>
    <w:rsid w:val="00376313"/>
    <w:rsid w:val="00377EA3"/>
    <w:rsid w:val="00380C45"/>
    <w:rsid w:val="00383004"/>
    <w:rsid w:val="003830CE"/>
    <w:rsid w:val="0038355C"/>
    <w:rsid w:val="00385E2D"/>
    <w:rsid w:val="0039262E"/>
    <w:rsid w:val="003937F3"/>
    <w:rsid w:val="003A11DB"/>
    <w:rsid w:val="003A15D6"/>
    <w:rsid w:val="003A5145"/>
    <w:rsid w:val="003A57B0"/>
    <w:rsid w:val="003A64D3"/>
    <w:rsid w:val="003A6D9D"/>
    <w:rsid w:val="003B2445"/>
    <w:rsid w:val="003B44F0"/>
    <w:rsid w:val="003B6A5F"/>
    <w:rsid w:val="003B71FB"/>
    <w:rsid w:val="003B776D"/>
    <w:rsid w:val="003B7E62"/>
    <w:rsid w:val="003B7E9A"/>
    <w:rsid w:val="003B7F05"/>
    <w:rsid w:val="003C29E3"/>
    <w:rsid w:val="003C3A1E"/>
    <w:rsid w:val="003C505B"/>
    <w:rsid w:val="003C6F0F"/>
    <w:rsid w:val="003C71CF"/>
    <w:rsid w:val="003C789D"/>
    <w:rsid w:val="003D4A56"/>
    <w:rsid w:val="003D4DCA"/>
    <w:rsid w:val="003D5827"/>
    <w:rsid w:val="003D6552"/>
    <w:rsid w:val="003D6A7B"/>
    <w:rsid w:val="003D7B2C"/>
    <w:rsid w:val="003E1917"/>
    <w:rsid w:val="003E24BF"/>
    <w:rsid w:val="003E259A"/>
    <w:rsid w:val="003E5211"/>
    <w:rsid w:val="003F31D2"/>
    <w:rsid w:val="003F3716"/>
    <w:rsid w:val="003F3DC0"/>
    <w:rsid w:val="003F4845"/>
    <w:rsid w:val="003F4DBE"/>
    <w:rsid w:val="003F557E"/>
    <w:rsid w:val="003F7CC5"/>
    <w:rsid w:val="00400D68"/>
    <w:rsid w:val="00401A63"/>
    <w:rsid w:val="004067AD"/>
    <w:rsid w:val="00406C17"/>
    <w:rsid w:val="00406D6E"/>
    <w:rsid w:val="004079F7"/>
    <w:rsid w:val="00407B5F"/>
    <w:rsid w:val="00407EE0"/>
    <w:rsid w:val="00410680"/>
    <w:rsid w:val="00412760"/>
    <w:rsid w:val="00414806"/>
    <w:rsid w:val="004153EA"/>
    <w:rsid w:val="00423BEE"/>
    <w:rsid w:val="004240CD"/>
    <w:rsid w:val="00424B78"/>
    <w:rsid w:val="0043135D"/>
    <w:rsid w:val="004335E8"/>
    <w:rsid w:val="00436A3E"/>
    <w:rsid w:val="00440D78"/>
    <w:rsid w:val="00441A2A"/>
    <w:rsid w:val="004420F6"/>
    <w:rsid w:val="0044359A"/>
    <w:rsid w:val="00443A02"/>
    <w:rsid w:val="0044418D"/>
    <w:rsid w:val="00444F65"/>
    <w:rsid w:val="00446720"/>
    <w:rsid w:val="004469BB"/>
    <w:rsid w:val="004476C6"/>
    <w:rsid w:val="0045130C"/>
    <w:rsid w:val="0045241C"/>
    <w:rsid w:val="00453578"/>
    <w:rsid w:val="00454A58"/>
    <w:rsid w:val="00455214"/>
    <w:rsid w:val="004553BB"/>
    <w:rsid w:val="00456136"/>
    <w:rsid w:val="00456D5A"/>
    <w:rsid w:val="0046133D"/>
    <w:rsid w:val="00464328"/>
    <w:rsid w:val="00472C9B"/>
    <w:rsid w:val="00473A5E"/>
    <w:rsid w:val="00474064"/>
    <w:rsid w:val="004758A9"/>
    <w:rsid w:val="00476273"/>
    <w:rsid w:val="004762AE"/>
    <w:rsid w:val="00477399"/>
    <w:rsid w:val="0048020B"/>
    <w:rsid w:val="00481868"/>
    <w:rsid w:val="0048394F"/>
    <w:rsid w:val="00483C4F"/>
    <w:rsid w:val="004864DA"/>
    <w:rsid w:val="004872BC"/>
    <w:rsid w:val="004874A4"/>
    <w:rsid w:val="00487882"/>
    <w:rsid w:val="00492ABF"/>
    <w:rsid w:val="00494355"/>
    <w:rsid w:val="00494945"/>
    <w:rsid w:val="00495E07"/>
    <w:rsid w:val="0049636A"/>
    <w:rsid w:val="00497F70"/>
    <w:rsid w:val="004A03E5"/>
    <w:rsid w:val="004A503D"/>
    <w:rsid w:val="004A570A"/>
    <w:rsid w:val="004A5EF8"/>
    <w:rsid w:val="004B12CA"/>
    <w:rsid w:val="004B141F"/>
    <w:rsid w:val="004B4A8D"/>
    <w:rsid w:val="004B55F3"/>
    <w:rsid w:val="004B7259"/>
    <w:rsid w:val="004C0E28"/>
    <w:rsid w:val="004C0E4A"/>
    <w:rsid w:val="004C190E"/>
    <w:rsid w:val="004C2867"/>
    <w:rsid w:val="004C2C2E"/>
    <w:rsid w:val="004C456B"/>
    <w:rsid w:val="004C4D1C"/>
    <w:rsid w:val="004C4D5F"/>
    <w:rsid w:val="004D35E8"/>
    <w:rsid w:val="004D614C"/>
    <w:rsid w:val="004E1DAE"/>
    <w:rsid w:val="004E25A6"/>
    <w:rsid w:val="004E7D35"/>
    <w:rsid w:val="004F215C"/>
    <w:rsid w:val="004F2517"/>
    <w:rsid w:val="004F2B58"/>
    <w:rsid w:val="004F5759"/>
    <w:rsid w:val="004F6475"/>
    <w:rsid w:val="004F7405"/>
    <w:rsid w:val="0050001C"/>
    <w:rsid w:val="0050082E"/>
    <w:rsid w:val="005047DF"/>
    <w:rsid w:val="005051FC"/>
    <w:rsid w:val="005111CA"/>
    <w:rsid w:val="00513412"/>
    <w:rsid w:val="00513E14"/>
    <w:rsid w:val="005154C1"/>
    <w:rsid w:val="005162AB"/>
    <w:rsid w:val="00521122"/>
    <w:rsid w:val="0052351B"/>
    <w:rsid w:val="005266D4"/>
    <w:rsid w:val="005340D0"/>
    <w:rsid w:val="005362C2"/>
    <w:rsid w:val="00541146"/>
    <w:rsid w:val="00542814"/>
    <w:rsid w:val="00545094"/>
    <w:rsid w:val="005453EA"/>
    <w:rsid w:val="00545CC2"/>
    <w:rsid w:val="00546238"/>
    <w:rsid w:val="00547D3F"/>
    <w:rsid w:val="00552271"/>
    <w:rsid w:val="00552A11"/>
    <w:rsid w:val="005577D9"/>
    <w:rsid w:val="00561DA8"/>
    <w:rsid w:val="00562CB2"/>
    <w:rsid w:val="00564E24"/>
    <w:rsid w:val="005659AC"/>
    <w:rsid w:val="00571D6D"/>
    <w:rsid w:val="00572F46"/>
    <w:rsid w:val="00573128"/>
    <w:rsid w:val="00574A02"/>
    <w:rsid w:val="00576A54"/>
    <w:rsid w:val="00577DC6"/>
    <w:rsid w:val="00580885"/>
    <w:rsid w:val="005816F4"/>
    <w:rsid w:val="00581BDF"/>
    <w:rsid w:val="00583257"/>
    <w:rsid w:val="00585174"/>
    <w:rsid w:val="00587B48"/>
    <w:rsid w:val="0059038C"/>
    <w:rsid w:val="005921E2"/>
    <w:rsid w:val="00594E87"/>
    <w:rsid w:val="005950E5"/>
    <w:rsid w:val="00597309"/>
    <w:rsid w:val="00597BC0"/>
    <w:rsid w:val="005A1772"/>
    <w:rsid w:val="005A4CD3"/>
    <w:rsid w:val="005A4E07"/>
    <w:rsid w:val="005A6F7C"/>
    <w:rsid w:val="005B132F"/>
    <w:rsid w:val="005B15EB"/>
    <w:rsid w:val="005B18B2"/>
    <w:rsid w:val="005B1F1E"/>
    <w:rsid w:val="005B2B38"/>
    <w:rsid w:val="005B3247"/>
    <w:rsid w:val="005B38E7"/>
    <w:rsid w:val="005B40A6"/>
    <w:rsid w:val="005B46E6"/>
    <w:rsid w:val="005C0180"/>
    <w:rsid w:val="005C01B7"/>
    <w:rsid w:val="005C72EE"/>
    <w:rsid w:val="005C7479"/>
    <w:rsid w:val="005D2A79"/>
    <w:rsid w:val="005D3004"/>
    <w:rsid w:val="005D3D39"/>
    <w:rsid w:val="005D6103"/>
    <w:rsid w:val="005D787E"/>
    <w:rsid w:val="005D7C39"/>
    <w:rsid w:val="005E13DF"/>
    <w:rsid w:val="005E387D"/>
    <w:rsid w:val="005E3B75"/>
    <w:rsid w:val="005E3B97"/>
    <w:rsid w:val="005E3D15"/>
    <w:rsid w:val="005E4C65"/>
    <w:rsid w:val="005F2946"/>
    <w:rsid w:val="005F34C6"/>
    <w:rsid w:val="005F4318"/>
    <w:rsid w:val="005F4F8E"/>
    <w:rsid w:val="005F54A4"/>
    <w:rsid w:val="005F71D1"/>
    <w:rsid w:val="005F7208"/>
    <w:rsid w:val="0060035F"/>
    <w:rsid w:val="00607205"/>
    <w:rsid w:val="006074E4"/>
    <w:rsid w:val="006112D1"/>
    <w:rsid w:val="006112FA"/>
    <w:rsid w:val="006177F8"/>
    <w:rsid w:val="00620205"/>
    <w:rsid w:val="00622D42"/>
    <w:rsid w:val="00622F63"/>
    <w:rsid w:val="00623402"/>
    <w:rsid w:val="00623E10"/>
    <w:rsid w:val="00624B34"/>
    <w:rsid w:val="00625B93"/>
    <w:rsid w:val="00626AD6"/>
    <w:rsid w:val="00630366"/>
    <w:rsid w:val="006308E9"/>
    <w:rsid w:val="006316D8"/>
    <w:rsid w:val="00633563"/>
    <w:rsid w:val="00633CDD"/>
    <w:rsid w:val="00636271"/>
    <w:rsid w:val="00643C5A"/>
    <w:rsid w:val="00650221"/>
    <w:rsid w:val="006502FA"/>
    <w:rsid w:val="0065092C"/>
    <w:rsid w:val="00653D8D"/>
    <w:rsid w:val="00655A79"/>
    <w:rsid w:val="00657030"/>
    <w:rsid w:val="00662BC9"/>
    <w:rsid w:val="00667B22"/>
    <w:rsid w:val="00667EA6"/>
    <w:rsid w:val="00670627"/>
    <w:rsid w:val="006710C1"/>
    <w:rsid w:val="0067304E"/>
    <w:rsid w:val="006745E5"/>
    <w:rsid w:val="00676984"/>
    <w:rsid w:val="00677A0E"/>
    <w:rsid w:val="00681181"/>
    <w:rsid w:val="00682099"/>
    <w:rsid w:val="006849ED"/>
    <w:rsid w:val="00685A22"/>
    <w:rsid w:val="00686648"/>
    <w:rsid w:val="0069264D"/>
    <w:rsid w:val="0069376A"/>
    <w:rsid w:val="00694F3D"/>
    <w:rsid w:val="00697E90"/>
    <w:rsid w:val="006A18B6"/>
    <w:rsid w:val="006A1EDC"/>
    <w:rsid w:val="006A4342"/>
    <w:rsid w:val="006A5B0F"/>
    <w:rsid w:val="006A5C26"/>
    <w:rsid w:val="006A5ED6"/>
    <w:rsid w:val="006A5FF3"/>
    <w:rsid w:val="006B20EE"/>
    <w:rsid w:val="006B4826"/>
    <w:rsid w:val="006B5B8D"/>
    <w:rsid w:val="006C1614"/>
    <w:rsid w:val="006C1D8C"/>
    <w:rsid w:val="006C4D54"/>
    <w:rsid w:val="006C51D5"/>
    <w:rsid w:val="006D0426"/>
    <w:rsid w:val="006D0834"/>
    <w:rsid w:val="006D1919"/>
    <w:rsid w:val="006D1E49"/>
    <w:rsid w:val="006D2553"/>
    <w:rsid w:val="006D432E"/>
    <w:rsid w:val="006D52CE"/>
    <w:rsid w:val="006D5B0E"/>
    <w:rsid w:val="006D6AC5"/>
    <w:rsid w:val="006E1CF4"/>
    <w:rsid w:val="006E4894"/>
    <w:rsid w:val="006E6044"/>
    <w:rsid w:val="006E7533"/>
    <w:rsid w:val="006F0AFA"/>
    <w:rsid w:val="006F13E1"/>
    <w:rsid w:val="006F1B52"/>
    <w:rsid w:val="006F1E4F"/>
    <w:rsid w:val="006F27A6"/>
    <w:rsid w:val="006F39A4"/>
    <w:rsid w:val="006F42DE"/>
    <w:rsid w:val="006F5222"/>
    <w:rsid w:val="0070030B"/>
    <w:rsid w:val="00700B18"/>
    <w:rsid w:val="0070244B"/>
    <w:rsid w:val="00704F40"/>
    <w:rsid w:val="00705B33"/>
    <w:rsid w:val="0070615E"/>
    <w:rsid w:val="0070686E"/>
    <w:rsid w:val="00706C4B"/>
    <w:rsid w:val="00710A58"/>
    <w:rsid w:val="007116AC"/>
    <w:rsid w:val="007124A2"/>
    <w:rsid w:val="007133ED"/>
    <w:rsid w:val="00714531"/>
    <w:rsid w:val="007177D9"/>
    <w:rsid w:val="00721F14"/>
    <w:rsid w:val="007230D6"/>
    <w:rsid w:val="00723E4B"/>
    <w:rsid w:val="00724553"/>
    <w:rsid w:val="0072563F"/>
    <w:rsid w:val="00732CFA"/>
    <w:rsid w:val="00732E2C"/>
    <w:rsid w:val="00733398"/>
    <w:rsid w:val="007336BD"/>
    <w:rsid w:val="00734468"/>
    <w:rsid w:val="007345F5"/>
    <w:rsid w:val="00735ECF"/>
    <w:rsid w:val="007368A2"/>
    <w:rsid w:val="00736DE9"/>
    <w:rsid w:val="00742439"/>
    <w:rsid w:val="00743A10"/>
    <w:rsid w:val="007465A9"/>
    <w:rsid w:val="00754601"/>
    <w:rsid w:val="00754A0D"/>
    <w:rsid w:val="007552C1"/>
    <w:rsid w:val="007562E2"/>
    <w:rsid w:val="007577C2"/>
    <w:rsid w:val="00760CB7"/>
    <w:rsid w:val="007610AB"/>
    <w:rsid w:val="0076262B"/>
    <w:rsid w:val="00762740"/>
    <w:rsid w:val="00762F2B"/>
    <w:rsid w:val="0076328E"/>
    <w:rsid w:val="00764FDC"/>
    <w:rsid w:val="0076561E"/>
    <w:rsid w:val="007661B0"/>
    <w:rsid w:val="00766B08"/>
    <w:rsid w:val="007726A4"/>
    <w:rsid w:val="00773353"/>
    <w:rsid w:val="00776A44"/>
    <w:rsid w:val="00780A45"/>
    <w:rsid w:val="007832A0"/>
    <w:rsid w:val="00783842"/>
    <w:rsid w:val="007876E3"/>
    <w:rsid w:val="007928AD"/>
    <w:rsid w:val="00794724"/>
    <w:rsid w:val="00794D25"/>
    <w:rsid w:val="007951DC"/>
    <w:rsid w:val="00796EBB"/>
    <w:rsid w:val="007A0174"/>
    <w:rsid w:val="007A0BB2"/>
    <w:rsid w:val="007A15FD"/>
    <w:rsid w:val="007A38A2"/>
    <w:rsid w:val="007A4BE6"/>
    <w:rsid w:val="007A5131"/>
    <w:rsid w:val="007B4019"/>
    <w:rsid w:val="007B66A0"/>
    <w:rsid w:val="007B6E4E"/>
    <w:rsid w:val="007B71E9"/>
    <w:rsid w:val="007C1702"/>
    <w:rsid w:val="007C3EAE"/>
    <w:rsid w:val="007C41D1"/>
    <w:rsid w:val="007C48C7"/>
    <w:rsid w:val="007C5D06"/>
    <w:rsid w:val="007C69D6"/>
    <w:rsid w:val="007D2CEB"/>
    <w:rsid w:val="007D3591"/>
    <w:rsid w:val="007D6683"/>
    <w:rsid w:val="007E45AD"/>
    <w:rsid w:val="007E5E24"/>
    <w:rsid w:val="007E6167"/>
    <w:rsid w:val="007E74C5"/>
    <w:rsid w:val="007F0884"/>
    <w:rsid w:val="007F0E34"/>
    <w:rsid w:val="007F17E2"/>
    <w:rsid w:val="007F32C6"/>
    <w:rsid w:val="007F3C25"/>
    <w:rsid w:val="007F6368"/>
    <w:rsid w:val="007F7766"/>
    <w:rsid w:val="007F7B7F"/>
    <w:rsid w:val="007F7F21"/>
    <w:rsid w:val="008043DE"/>
    <w:rsid w:val="0080498D"/>
    <w:rsid w:val="0080606A"/>
    <w:rsid w:val="008065F0"/>
    <w:rsid w:val="00807C2F"/>
    <w:rsid w:val="00807E90"/>
    <w:rsid w:val="00810B67"/>
    <w:rsid w:val="008129C6"/>
    <w:rsid w:val="00812E0A"/>
    <w:rsid w:val="0081352B"/>
    <w:rsid w:val="008140C1"/>
    <w:rsid w:val="00814514"/>
    <w:rsid w:val="00822EB1"/>
    <w:rsid w:val="008237E2"/>
    <w:rsid w:val="008255E4"/>
    <w:rsid w:val="008259AD"/>
    <w:rsid w:val="00827BAD"/>
    <w:rsid w:val="00830639"/>
    <w:rsid w:val="008309C9"/>
    <w:rsid w:val="00830BC7"/>
    <w:rsid w:val="008335E3"/>
    <w:rsid w:val="00834DCB"/>
    <w:rsid w:val="00836673"/>
    <w:rsid w:val="00840C01"/>
    <w:rsid w:val="00840C42"/>
    <w:rsid w:val="0084167C"/>
    <w:rsid w:val="0084304C"/>
    <w:rsid w:val="0084370F"/>
    <w:rsid w:val="00844F10"/>
    <w:rsid w:val="00845186"/>
    <w:rsid w:val="00845BBC"/>
    <w:rsid w:val="00845C5F"/>
    <w:rsid w:val="00846333"/>
    <w:rsid w:val="0084643D"/>
    <w:rsid w:val="00847F2B"/>
    <w:rsid w:val="00850048"/>
    <w:rsid w:val="008513D8"/>
    <w:rsid w:val="00852C25"/>
    <w:rsid w:val="00855D43"/>
    <w:rsid w:val="008561D7"/>
    <w:rsid w:val="008607B4"/>
    <w:rsid w:val="00860B22"/>
    <w:rsid w:val="00861074"/>
    <w:rsid w:val="008636FC"/>
    <w:rsid w:val="00863DB6"/>
    <w:rsid w:val="00864E1C"/>
    <w:rsid w:val="00865B86"/>
    <w:rsid w:val="0086657E"/>
    <w:rsid w:val="00870368"/>
    <w:rsid w:val="00871164"/>
    <w:rsid w:val="00871869"/>
    <w:rsid w:val="00872C18"/>
    <w:rsid w:val="00872FC0"/>
    <w:rsid w:val="00873BC6"/>
    <w:rsid w:val="00874FB1"/>
    <w:rsid w:val="008771F4"/>
    <w:rsid w:val="00880902"/>
    <w:rsid w:val="00881E3C"/>
    <w:rsid w:val="00883393"/>
    <w:rsid w:val="0088570C"/>
    <w:rsid w:val="0088740E"/>
    <w:rsid w:val="008928EA"/>
    <w:rsid w:val="00892A4E"/>
    <w:rsid w:val="00892E17"/>
    <w:rsid w:val="00894A27"/>
    <w:rsid w:val="00894FE3"/>
    <w:rsid w:val="00895B16"/>
    <w:rsid w:val="00896A4C"/>
    <w:rsid w:val="00896EBA"/>
    <w:rsid w:val="008977AE"/>
    <w:rsid w:val="0089797F"/>
    <w:rsid w:val="008A23C9"/>
    <w:rsid w:val="008A347A"/>
    <w:rsid w:val="008A39F8"/>
    <w:rsid w:val="008A4DBD"/>
    <w:rsid w:val="008A779E"/>
    <w:rsid w:val="008B0B3A"/>
    <w:rsid w:val="008B32A9"/>
    <w:rsid w:val="008B3AF3"/>
    <w:rsid w:val="008C0083"/>
    <w:rsid w:val="008C041C"/>
    <w:rsid w:val="008C2EDB"/>
    <w:rsid w:val="008C6C9A"/>
    <w:rsid w:val="008C701E"/>
    <w:rsid w:val="008D1B64"/>
    <w:rsid w:val="008D4162"/>
    <w:rsid w:val="008D4E54"/>
    <w:rsid w:val="008D7E28"/>
    <w:rsid w:val="008E4C89"/>
    <w:rsid w:val="008E51AF"/>
    <w:rsid w:val="008E548A"/>
    <w:rsid w:val="008E74A2"/>
    <w:rsid w:val="008F230F"/>
    <w:rsid w:val="008F4B82"/>
    <w:rsid w:val="009006A6"/>
    <w:rsid w:val="00901372"/>
    <w:rsid w:val="009016D7"/>
    <w:rsid w:val="00901FB4"/>
    <w:rsid w:val="00903AC3"/>
    <w:rsid w:val="0090412E"/>
    <w:rsid w:val="00904536"/>
    <w:rsid w:val="0090478A"/>
    <w:rsid w:val="009102A7"/>
    <w:rsid w:val="00911B6F"/>
    <w:rsid w:val="00911D86"/>
    <w:rsid w:val="00912DCC"/>
    <w:rsid w:val="009144B5"/>
    <w:rsid w:val="009146F6"/>
    <w:rsid w:val="00915863"/>
    <w:rsid w:val="00916ED7"/>
    <w:rsid w:val="00917F2B"/>
    <w:rsid w:val="00922940"/>
    <w:rsid w:val="00922E70"/>
    <w:rsid w:val="00926E69"/>
    <w:rsid w:val="00930EF7"/>
    <w:rsid w:val="0093125C"/>
    <w:rsid w:val="009317B8"/>
    <w:rsid w:val="009360D6"/>
    <w:rsid w:val="00936282"/>
    <w:rsid w:val="00936510"/>
    <w:rsid w:val="00941336"/>
    <w:rsid w:val="00941E77"/>
    <w:rsid w:val="00945476"/>
    <w:rsid w:val="00945E92"/>
    <w:rsid w:val="009466EE"/>
    <w:rsid w:val="0094698E"/>
    <w:rsid w:val="009575E1"/>
    <w:rsid w:val="00960885"/>
    <w:rsid w:val="00960BC7"/>
    <w:rsid w:val="00962129"/>
    <w:rsid w:val="009632C9"/>
    <w:rsid w:val="00964625"/>
    <w:rsid w:val="00965986"/>
    <w:rsid w:val="009667EE"/>
    <w:rsid w:val="009720B6"/>
    <w:rsid w:val="0097316B"/>
    <w:rsid w:val="0097354A"/>
    <w:rsid w:val="0097440E"/>
    <w:rsid w:val="00974FAA"/>
    <w:rsid w:val="00977184"/>
    <w:rsid w:val="0097718F"/>
    <w:rsid w:val="009802C9"/>
    <w:rsid w:val="00983D7D"/>
    <w:rsid w:val="00985ABF"/>
    <w:rsid w:val="00990595"/>
    <w:rsid w:val="00991416"/>
    <w:rsid w:val="00991685"/>
    <w:rsid w:val="009927FA"/>
    <w:rsid w:val="009967F2"/>
    <w:rsid w:val="00997790"/>
    <w:rsid w:val="009A1819"/>
    <w:rsid w:val="009A2169"/>
    <w:rsid w:val="009A3C9A"/>
    <w:rsid w:val="009A4083"/>
    <w:rsid w:val="009A66D0"/>
    <w:rsid w:val="009B01FC"/>
    <w:rsid w:val="009B1BFE"/>
    <w:rsid w:val="009B5D90"/>
    <w:rsid w:val="009B7367"/>
    <w:rsid w:val="009C3755"/>
    <w:rsid w:val="009D3F76"/>
    <w:rsid w:val="009D6C9A"/>
    <w:rsid w:val="009E0EA2"/>
    <w:rsid w:val="009E214D"/>
    <w:rsid w:val="009E28EC"/>
    <w:rsid w:val="009E315A"/>
    <w:rsid w:val="009E3C81"/>
    <w:rsid w:val="009E4841"/>
    <w:rsid w:val="009E5A11"/>
    <w:rsid w:val="009E78E7"/>
    <w:rsid w:val="009E7983"/>
    <w:rsid w:val="009F081A"/>
    <w:rsid w:val="009F2E31"/>
    <w:rsid w:val="009F3F1F"/>
    <w:rsid w:val="009F4FB3"/>
    <w:rsid w:val="009F6EA8"/>
    <w:rsid w:val="009F71D1"/>
    <w:rsid w:val="00A00DD6"/>
    <w:rsid w:val="00A017BA"/>
    <w:rsid w:val="00A01EFD"/>
    <w:rsid w:val="00A026DF"/>
    <w:rsid w:val="00A03A5F"/>
    <w:rsid w:val="00A03EFF"/>
    <w:rsid w:val="00A04100"/>
    <w:rsid w:val="00A066DE"/>
    <w:rsid w:val="00A075C8"/>
    <w:rsid w:val="00A10B65"/>
    <w:rsid w:val="00A11919"/>
    <w:rsid w:val="00A141E5"/>
    <w:rsid w:val="00A15581"/>
    <w:rsid w:val="00A1593F"/>
    <w:rsid w:val="00A15B57"/>
    <w:rsid w:val="00A16311"/>
    <w:rsid w:val="00A21F92"/>
    <w:rsid w:val="00A23C0C"/>
    <w:rsid w:val="00A2536F"/>
    <w:rsid w:val="00A25BA0"/>
    <w:rsid w:val="00A263F4"/>
    <w:rsid w:val="00A26AF6"/>
    <w:rsid w:val="00A30342"/>
    <w:rsid w:val="00A30AF9"/>
    <w:rsid w:val="00A30DB3"/>
    <w:rsid w:val="00A33243"/>
    <w:rsid w:val="00A344A6"/>
    <w:rsid w:val="00A403E9"/>
    <w:rsid w:val="00A406DC"/>
    <w:rsid w:val="00A41119"/>
    <w:rsid w:val="00A4347E"/>
    <w:rsid w:val="00A4381E"/>
    <w:rsid w:val="00A4630E"/>
    <w:rsid w:val="00A47DE3"/>
    <w:rsid w:val="00A5036E"/>
    <w:rsid w:val="00A51CFF"/>
    <w:rsid w:val="00A5227A"/>
    <w:rsid w:val="00A55A52"/>
    <w:rsid w:val="00A55DE0"/>
    <w:rsid w:val="00A579C0"/>
    <w:rsid w:val="00A57D42"/>
    <w:rsid w:val="00A60BBB"/>
    <w:rsid w:val="00A60C83"/>
    <w:rsid w:val="00A63A99"/>
    <w:rsid w:val="00A65F1E"/>
    <w:rsid w:val="00A71E45"/>
    <w:rsid w:val="00A739AD"/>
    <w:rsid w:val="00A80964"/>
    <w:rsid w:val="00A80D0E"/>
    <w:rsid w:val="00A83111"/>
    <w:rsid w:val="00A84047"/>
    <w:rsid w:val="00A855AA"/>
    <w:rsid w:val="00A85982"/>
    <w:rsid w:val="00A86EB5"/>
    <w:rsid w:val="00A90123"/>
    <w:rsid w:val="00A90D42"/>
    <w:rsid w:val="00A934C1"/>
    <w:rsid w:val="00A949BE"/>
    <w:rsid w:val="00A95C76"/>
    <w:rsid w:val="00A972FF"/>
    <w:rsid w:val="00AA0718"/>
    <w:rsid w:val="00AA2021"/>
    <w:rsid w:val="00AA22FC"/>
    <w:rsid w:val="00AB02A0"/>
    <w:rsid w:val="00AB0683"/>
    <w:rsid w:val="00AB179B"/>
    <w:rsid w:val="00AB197C"/>
    <w:rsid w:val="00AB199E"/>
    <w:rsid w:val="00AB2DA9"/>
    <w:rsid w:val="00AB5052"/>
    <w:rsid w:val="00AB5560"/>
    <w:rsid w:val="00AC084A"/>
    <w:rsid w:val="00AC2F1A"/>
    <w:rsid w:val="00AC4543"/>
    <w:rsid w:val="00AC58FC"/>
    <w:rsid w:val="00AC7D76"/>
    <w:rsid w:val="00AD3195"/>
    <w:rsid w:val="00AD37FB"/>
    <w:rsid w:val="00AD43AF"/>
    <w:rsid w:val="00AD48BE"/>
    <w:rsid w:val="00AD5E69"/>
    <w:rsid w:val="00AD7AA1"/>
    <w:rsid w:val="00AE16EC"/>
    <w:rsid w:val="00AE257D"/>
    <w:rsid w:val="00AE4308"/>
    <w:rsid w:val="00AE5654"/>
    <w:rsid w:val="00AE7B86"/>
    <w:rsid w:val="00AF16E0"/>
    <w:rsid w:val="00AF2305"/>
    <w:rsid w:val="00AF2A93"/>
    <w:rsid w:val="00AF46AA"/>
    <w:rsid w:val="00AF5D98"/>
    <w:rsid w:val="00AF7307"/>
    <w:rsid w:val="00B03A57"/>
    <w:rsid w:val="00B044C6"/>
    <w:rsid w:val="00B04D33"/>
    <w:rsid w:val="00B05898"/>
    <w:rsid w:val="00B11FF2"/>
    <w:rsid w:val="00B13019"/>
    <w:rsid w:val="00B2222C"/>
    <w:rsid w:val="00B26221"/>
    <w:rsid w:val="00B26831"/>
    <w:rsid w:val="00B27298"/>
    <w:rsid w:val="00B27A34"/>
    <w:rsid w:val="00B33650"/>
    <w:rsid w:val="00B34239"/>
    <w:rsid w:val="00B34F63"/>
    <w:rsid w:val="00B34FE6"/>
    <w:rsid w:val="00B35670"/>
    <w:rsid w:val="00B4012B"/>
    <w:rsid w:val="00B40EDB"/>
    <w:rsid w:val="00B43126"/>
    <w:rsid w:val="00B447CB"/>
    <w:rsid w:val="00B45563"/>
    <w:rsid w:val="00B526D5"/>
    <w:rsid w:val="00B5275C"/>
    <w:rsid w:val="00B53A21"/>
    <w:rsid w:val="00B53B49"/>
    <w:rsid w:val="00B548FA"/>
    <w:rsid w:val="00B54A0A"/>
    <w:rsid w:val="00B56FF3"/>
    <w:rsid w:val="00B57AFD"/>
    <w:rsid w:val="00B57EA9"/>
    <w:rsid w:val="00B613E3"/>
    <w:rsid w:val="00B63E3F"/>
    <w:rsid w:val="00B641F8"/>
    <w:rsid w:val="00B64399"/>
    <w:rsid w:val="00B645F7"/>
    <w:rsid w:val="00B657A0"/>
    <w:rsid w:val="00B65DA7"/>
    <w:rsid w:val="00B7228A"/>
    <w:rsid w:val="00B741E1"/>
    <w:rsid w:val="00B75CDF"/>
    <w:rsid w:val="00B7662E"/>
    <w:rsid w:val="00B77715"/>
    <w:rsid w:val="00B8195D"/>
    <w:rsid w:val="00B82086"/>
    <w:rsid w:val="00B8219A"/>
    <w:rsid w:val="00B841AA"/>
    <w:rsid w:val="00B91263"/>
    <w:rsid w:val="00B927E5"/>
    <w:rsid w:val="00B975F3"/>
    <w:rsid w:val="00BA1E11"/>
    <w:rsid w:val="00BA22B0"/>
    <w:rsid w:val="00BA3752"/>
    <w:rsid w:val="00BB3B42"/>
    <w:rsid w:val="00BB69A5"/>
    <w:rsid w:val="00BC0D3E"/>
    <w:rsid w:val="00BC0EFB"/>
    <w:rsid w:val="00BC21EE"/>
    <w:rsid w:val="00BC65D8"/>
    <w:rsid w:val="00BD1415"/>
    <w:rsid w:val="00BD16D7"/>
    <w:rsid w:val="00BD1B8F"/>
    <w:rsid w:val="00BD316B"/>
    <w:rsid w:val="00BD3B78"/>
    <w:rsid w:val="00BD4653"/>
    <w:rsid w:val="00BD560B"/>
    <w:rsid w:val="00BD6475"/>
    <w:rsid w:val="00BE0395"/>
    <w:rsid w:val="00BE2499"/>
    <w:rsid w:val="00BE5C95"/>
    <w:rsid w:val="00BE6721"/>
    <w:rsid w:val="00BF0271"/>
    <w:rsid w:val="00BF06DD"/>
    <w:rsid w:val="00BF12C4"/>
    <w:rsid w:val="00BF1575"/>
    <w:rsid w:val="00BF1F04"/>
    <w:rsid w:val="00BF2C0E"/>
    <w:rsid w:val="00BF2C69"/>
    <w:rsid w:val="00BF5E81"/>
    <w:rsid w:val="00BF65CA"/>
    <w:rsid w:val="00C01123"/>
    <w:rsid w:val="00C02624"/>
    <w:rsid w:val="00C03A44"/>
    <w:rsid w:val="00C05306"/>
    <w:rsid w:val="00C108DB"/>
    <w:rsid w:val="00C1110D"/>
    <w:rsid w:val="00C11A50"/>
    <w:rsid w:val="00C127B1"/>
    <w:rsid w:val="00C134B7"/>
    <w:rsid w:val="00C15E87"/>
    <w:rsid w:val="00C175D0"/>
    <w:rsid w:val="00C2096B"/>
    <w:rsid w:val="00C21A8D"/>
    <w:rsid w:val="00C21E2C"/>
    <w:rsid w:val="00C22D8B"/>
    <w:rsid w:val="00C24DB0"/>
    <w:rsid w:val="00C26B1C"/>
    <w:rsid w:val="00C2705E"/>
    <w:rsid w:val="00C274AA"/>
    <w:rsid w:val="00C30A5C"/>
    <w:rsid w:val="00C32965"/>
    <w:rsid w:val="00C3426D"/>
    <w:rsid w:val="00C375AD"/>
    <w:rsid w:val="00C42354"/>
    <w:rsid w:val="00C44ADA"/>
    <w:rsid w:val="00C46060"/>
    <w:rsid w:val="00C50711"/>
    <w:rsid w:val="00C523C6"/>
    <w:rsid w:val="00C525BA"/>
    <w:rsid w:val="00C53065"/>
    <w:rsid w:val="00C54204"/>
    <w:rsid w:val="00C555F7"/>
    <w:rsid w:val="00C55C00"/>
    <w:rsid w:val="00C55EF8"/>
    <w:rsid w:val="00C56446"/>
    <w:rsid w:val="00C60863"/>
    <w:rsid w:val="00C60FA4"/>
    <w:rsid w:val="00C6285D"/>
    <w:rsid w:val="00C639E3"/>
    <w:rsid w:val="00C640E3"/>
    <w:rsid w:val="00C65A3D"/>
    <w:rsid w:val="00C70563"/>
    <w:rsid w:val="00C71292"/>
    <w:rsid w:val="00C71484"/>
    <w:rsid w:val="00C716CA"/>
    <w:rsid w:val="00C72305"/>
    <w:rsid w:val="00C732A7"/>
    <w:rsid w:val="00C735A7"/>
    <w:rsid w:val="00C7580D"/>
    <w:rsid w:val="00C76FAC"/>
    <w:rsid w:val="00C80598"/>
    <w:rsid w:val="00C84722"/>
    <w:rsid w:val="00C8566F"/>
    <w:rsid w:val="00C859AE"/>
    <w:rsid w:val="00C87C43"/>
    <w:rsid w:val="00C93B0E"/>
    <w:rsid w:val="00C979D0"/>
    <w:rsid w:val="00CA2000"/>
    <w:rsid w:val="00CA410E"/>
    <w:rsid w:val="00CA447E"/>
    <w:rsid w:val="00CB0CDF"/>
    <w:rsid w:val="00CB0FE7"/>
    <w:rsid w:val="00CB1DDE"/>
    <w:rsid w:val="00CB24F7"/>
    <w:rsid w:val="00CB27FD"/>
    <w:rsid w:val="00CB528D"/>
    <w:rsid w:val="00CB5342"/>
    <w:rsid w:val="00CB635C"/>
    <w:rsid w:val="00CB6C0B"/>
    <w:rsid w:val="00CB7321"/>
    <w:rsid w:val="00CB7E0A"/>
    <w:rsid w:val="00CC0711"/>
    <w:rsid w:val="00CC083E"/>
    <w:rsid w:val="00CC3027"/>
    <w:rsid w:val="00CC363A"/>
    <w:rsid w:val="00CC421B"/>
    <w:rsid w:val="00CC7E85"/>
    <w:rsid w:val="00CD1BC6"/>
    <w:rsid w:val="00CD27EE"/>
    <w:rsid w:val="00CE10BD"/>
    <w:rsid w:val="00CE1F17"/>
    <w:rsid w:val="00CE2107"/>
    <w:rsid w:val="00CE7F13"/>
    <w:rsid w:val="00CF2461"/>
    <w:rsid w:val="00CF26BF"/>
    <w:rsid w:val="00CF3FB2"/>
    <w:rsid w:val="00CF57FA"/>
    <w:rsid w:val="00CF66A7"/>
    <w:rsid w:val="00D000D5"/>
    <w:rsid w:val="00D004BE"/>
    <w:rsid w:val="00D00DBC"/>
    <w:rsid w:val="00D03586"/>
    <w:rsid w:val="00D03B28"/>
    <w:rsid w:val="00D05726"/>
    <w:rsid w:val="00D05972"/>
    <w:rsid w:val="00D075C6"/>
    <w:rsid w:val="00D10BFC"/>
    <w:rsid w:val="00D134E9"/>
    <w:rsid w:val="00D14B0E"/>
    <w:rsid w:val="00D14FB9"/>
    <w:rsid w:val="00D17187"/>
    <w:rsid w:val="00D213E9"/>
    <w:rsid w:val="00D2711E"/>
    <w:rsid w:val="00D30E72"/>
    <w:rsid w:val="00D33B6C"/>
    <w:rsid w:val="00D3454C"/>
    <w:rsid w:val="00D36010"/>
    <w:rsid w:val="00D37F45"/>
    <w:rsid w:val="00D4105E"/>
    <w:rsid w:val="00D42E24"/>
    <w:rsid w:val="00D44D08"/>
    <w:rsid w:val="00D46107"/>
    <w:rsid w:val="00D50854"/>
    <w:rsid w:val="00D50899"/>
    <w:rsid w:val="00D51832"/>
    <w:rsid w:val="00D51CF6"/>
    <w:rsid w:val="00D53FD5"/>
    <w:rsid w:val="00D54158"/>
    <w:rsid w:val="00D543F2"/>
    <w:rsid w:val="00D5474A"/>
    <w:rsid w:val="00D5688B"/>
    <w:rsid w:val="00D60DAA"/>
    <w:rsid w:val="00D60FA9"/>
    <w:rsid w:val="00D633F5"/>
    <w:rsid w:val="00D63D53"/>
    <w:rsid w:val="00D679D7"/>
    <w:rsid w:val="00D72181"/>
    <w:rsid w:val="00D7396F"/>
    <w:rsid w:val="00D7523E"/>
    <w:rsid w:val="00D7571F"/>
    <w:rsid w:val="00D76A33"/>
    <w:rsid w:val="00D81AF1"/>
    <w:rsid w:val="00D843D7"/>
    <w:rsid w:val="00D84E4B"/>
    <w:rsid w:val="00D90345"/>
    <w:rsid w:val="00D906AD"/>
    <w:rsid w:val="00D92A4E"/>
    <w:rsid w:val="00D938A0"/>
    <w:rsid w:val="00D95BB2"/>
    <w:rsid w:val="00D97D5E"/>
    <w:rsid w:val="00DA0902"/>
    <w:rsid w:val="00DA3CB5"/>
    <w:rsid w:val="00DA4017"/>
    <w:rsid w:val="00DA5B94"/>
    <w:rsid w:val="00DA6300"/>
    <w:rsid w:val="00DA72DC"/>
    <w:rsid w:val="00DB0DBC"/>
    <w:rsid w:val="00DB16ED"/>
    <w:rsid w:val="00DB19A2"/>
    <w:rsid w:val="00DB5C76"/>
    <w:rsid w:val="00DC00D6"/>
    <w:rsid w:val="00DC0159"/>
    <w:rsid w:val="00DC0500"/>
    <w:rsid w:val="00DC16CA"/>
    <w:rsid w:val="00DC5090"/>
    <w:rsid w:val="00DC77C2"/>
    <w:rsid w:val="00DD1675"/>
    <w:rsid w:val="00DD1854"/>
    <w:rsid w:val="00DD23FB"/>
    <w:rsid w:val="00DD2B27"/>
    <w:rsid w:val="00DD2F32"/>
    <w:rsid w:val="00DD41BF"/>
    <w:rsid w:val="00DD46EB"/>
    <w:rsid w:val="00DD69DD"/>
    <w:rsid w:val="00DD6D90"/>
    <w:rsid w:val="00DD6E87"/>
    <w:rsid w:val="00DD7106"/>
    <w:rsid w:val="00DD776A"/>
    <w:rsid w:val="00DE048C"/>
    <w:rsid w:val="00DE261E"/>
    <w:rsid w:val="00DE35DB"/>
    <w:rsid w:val="00DE61EC"/>
    <w:rsid w:val="00DE7144"/>
    <w:rsid w:val="00DE7477"/>
    <w:rsid w:val="00DF3569"/>
    <w:rsid w:val="00DF45A3"/>
    <w:rsid w:val="00DF4D45"/>
    <w:rsid w:val="00E115EA"/>
    <w:rsid w:val="00E14F51"/>
    <w:rsid w:val="00E1655A"/>
    <w:rsid w:val="00E216A6"/>
    <w:rsid w:val="00E24538"/>
    <w:rsid w:val="00E24ABA"/>
    <w:rsid w:val="00E2749E"/>
    <w:rsid w:val="00E27A8F"/>
    <w:rsid w:val="00E31866"/>
    <w:rsid w:val="00E332F7"/>
    <w:rsid w:val="00E35813"/>
    <w:rsid w:val="00E35B18"/>
    <w:rsid w:val="00E36F79"/>
    <w:rsid w:val="00E374E0"/>
    <w:rsid w:val="00E46D7B"/>
    <w:rsid w:val="00E47430"/>
    <w:rsid w:val="00E4775F"/>
    <w:rsid w:val="00E50484"/>
    <w:rsid w:val="00E523F8"/>
    <w:rsid w:val="00E54183"/>
    <w:rsid w:val="00E57936"/>
    <w:rsid w:val="00E6233B"/>
    <w:rsid w:val="00E74B11"/>
    <w:rsid w:val="00E76D47"/>
    <w:rsid w:val="00E77DB1"/>
    <w:rsid w:val="00E80E20"/>
    <w:rsid w:val="00E81115"/>
    <w:rsid w:val="00E814AC"/>
    <w:rsid w:val="00E81C52"/>
    <w:rsid w:val="00E82A7A"/>
    <w:rsid w:val="00E867B4"/>
    <w:rsid w:val="00E87095"/>
    <w:rsid w:val="00E87F29"/>
    <w:rsid w:val="00E917E1"/>
    <w:rsid w:val="00E9253B"/>
    <w:rsid w:val="00E92C22"/>
    <w:rsid w:val="00E92F00"/>
    <w:rsid w:val="00E950E7"/>
    <w:rsid w:val="00E9700D"/>
    <w:rsid w:val="00E9758C"/>
    <w:rsid w:val="00E97592"/>
    <w:rsid w:val="00E97F4A"/>
    <w:rsid w:val="00EA2A81"/>
    <w:rsid w:val="00EA35D6"/>
    <w:rsid w:val="00EA67C5"/>
    <w:rsid w:val="00EA7477"/>
    <w:rsid w:val="00EA77F3"/>
    <w:rsid w:val="00EB4CE0"/>
    <w:rsid w:val="00EB5D6A"/>
    <w:rsid w:val="00EC3F55"/>
    <w:rsid w:val="00EC4A0B"/>
    <w:rsid w:val="00EC53C5"/>
    <w:rsid w:val="00EC5D8C"/>
    <w:rsid w:val="00EC6364"/>
    <w:rsid w:val="00ED0125"/>
    <w:rsid w:val="00ED28DB"/>
    <w:rsid w:val="00ED488F"/>
    <w:rsid w:val="00ED6BE3"/>
    <w:rsid w:val="00ED7F25"/>
    <w:rsid w:val="00EE00AB"/>
    <w:rsid w:val="00EE1062"/>
    <w:rsid w:val="00EE79C9"/>
    <w:rsid w:val="00EF6E86"/>
    <w:rsid w:val="00F0000F"/>
    <w:rsid w:val="00F000D4"/>
    <w:rsid w:val="00F00AF7"/>
    <w:rsid w:val="00F01066"/>
    <w:rsid w:val="00F018B7"/>
    <w:rsid w:val="00F01EB8"/>
    <w:rsid w:val="00F033E6"/>
    <w:rsid w:val="00F05F9A"/>
    <w:rsid w:val="00F0742C"/>
    <w:rsid w:val="00F07694"/>
    <w:rsid w:val="00F07BDD"/>
    <w:rsid w:val="00F111A7"/>
    <w:rsid w:val="00F12D19"/>
    <w:rsid w:val="00F13A6F"/>
    <w:rsid w:val="00F1412A"/>
    <w:rsid w:val="00F153BE"/>
    <w:rsid w:val="00F1588F"/>
    <w:rsid w:val="00F171EE"/>
    <w:rsid w:val="00F216D1"/>
    <w:rsid w:val="00F23409"/>
    <w:rsid w:val="00F24DCB"/>
    <w:rsid w:val="00F26516"/>
    <w:rsid w:val="00F3385A"/>
    <w:rsid w:val="00F36E4A"/>
    <w:rsid w:val="00F37D10"/>
    <w:rsid w:val="00F42328"/>
    <w:rsid w:val="00F42671"/>
    <w:rsid w:val="00F435A3"/>
    <w:rsid w:val="00F461C8"/>
    <w:rsid w:val="00F50CB0"/>
    <w:rsid w:val="00F52B22"/>
    <w:rsid w:val="00F54657"/>
    <w:rsid w:val="00F56B74"/>
    <w:rsid w:val="00F56DC0"/>
    <w:rsid w:val="00F60452"/>
    <w:rsid w:val="00F612C8"/>
    <w:rsid w:val="00F61DE6"/>
    <w:rsid w:val="00F665C7"/>
    <w:rsid w:val="00F667B1"/>
    <w:rsid w:val="00F66FE7"/>
    <w:rsid w:val="00F67887"/>
    <w:rsid w:val="00F7000C"/>
    <w:rsid w:val="00F71008"/>
    <w:rsid w:val="00F75823"/>
    <w:rsid w:val="00F75B8C"/>
    <w:rsid w:val="00F77DC4"/>
    <w:rsid w:val="00F81978"/>
    <w:rsid w:val="00F84A29"/>
    <w:rsid w:val="00F85180"/>
    <w:rsid w:val="00F86D62"/>
    <w:rsid w:val="00F913C1"/>
    <w:rsid w:val="00F91475"/>
    <w:rsid w:val="00F9464C"/>
    <w:rsid w:val="00F97815"/>
    <w:rsid w:val="00FA2AA8"/>
    <w:rsid w:val="00FA400B"/>
    <w:rsid w:val="00FA5090"/>
    <w:rsid w:val="00FA5A84"/>
    <w:rsid w:val="00FA72A2"/>
    <w:rsid w:val="00FA7A8C"/>
    <w:rsid w:val="00FB3946"/>
    <w:rsid w:val="00FB48D4"/>
    <w:rsid w:val="00FB65C9"/>
    <w:rsid w:val="00FB7254"/>
    <w:rsid w:val="00FC0871"/>
    <w:rsid w:val="00FC0EAE"/>
    <w:rsid w:val="00FC13CF"/>
    <w:rsid w:val="00FC2012"/>
    <w:rsid w:val="00FC27B2"/>
    <w:rsid w:val="00FC351C"/>
    <w:rsid w:val="00FC5373"/>
    <w:rsid w:val="00FC7372"/>
    <w:rsid w:val="00FD2CE6"/>
    <w:rsid w:val="00FD3D3B"/>
    <w:rsid w:val="00FD4046"/>
    <w:rsid w:val="00FD4B54"/>
    <w:rsid w:val="00FD5597"/>
    <w:rsid w:val="00FE02B5"/>
    <w:rsid w:val="00FE04C3"/>
    <w:rsid w:val="00FE1A76"/>
    <w:rsid w:val="00FE2DAD"/>
    <w:rsid w:val="00FE3172"/>
    <w:rsid w:val="00FE3800"/>
    <w:rsid w:val="00FE519C"/>
    <w:rsid w:val="00FE57C2"/>
    <w:rsid w:val="00FF00BE"/>
    <w:rsid w:val="00FF32A1"/>
    <w:rsid w:val="00FF41BA"/>
    <w:rsid w:val="00FF4E89"/>
    <w:rsid w:val="00FF5E7C"/>
    <w:rsid w:val="00FF6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9ED47"/>
  <w15:chartTrackingRefBased/>
  <w15:docId w15:val="{F8278EF4-3DB1-44B7-8F62-FBB4FDA7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36A"/>
    <w:pPr>
      <w:widowControl w:val="0"/>
      <w:spacing w:after="0" w:line="240" w:lineRule="auto"/>
    </w:pPr>
    <w:rPr>
      <w:rFonts w:ascii="Times New Roman" w:hAnsi="Times New Roman" w:cs="Times New Roman"/>
      <w:sz w:val="26"/>
    </w:rPr>
  </w:style>
  <w:style w:type="paragraph" w:styleId="Heading1">
    <w:name w:val="heading 1"/>
    <w:basedOn w:val="Normal"/>
    <w:next w:val="FERCparanumber"/>
    <w:link w:val="Heading1Char"/>
    <w:uiPriority w:val="9"/>
    <w:qFormat/>
    <w:rsid w:val="0049636A"/>
    <w:pPr>
      <w:keepNext/>
      <w:keepLines/>
      <w:widowControl/>
      <w:numPr>
        <w:numId w:val="15"/>
      </w:numPr>
      <w:spacing w:after="260"/>
      <w:outlineLvl w:val="0"/>
    </w:pPr>
    <w:rPr>
      <w:rFonts w:eastAsiaTheme="majorEastAsia"/>
      <w:b/>
      <w:kern w:val="32"/>
      <w:szCs w:val="32"/>
      <w:u w:val="single"/>
    </w:rPr>
  </w:style>
  <w:style w:type="paragraph" w:styleId="Heading2">
    <w:name w:val="heading 2"/>
    <w:basedOn w:val="Normal"/>
    <w:next w:val="FERCparanumber"/>
    <w:link w:val="Heading2Char"/>
    <w:uiPriority w:val="9"/>
    <w:unhideWhenUsed/>
    <w:qFormat/>
    <w:rsid w:val="0049636A"/>
    <w:pPr>
      <w:keepNext/>
      <w:keepLines/>
      <w:widowControl/>
      <w:numPr>
        <w:ilvl w:val="1"/>
        <w:numId w:val="15"/>
      </w:numPr>
      <w:spacing w:after="260"/>
      <w:outlineLvl w:val="1"/>
    </w:pPr>
    <w:rPr>
      <w:rFonts w:eastAsiaTheme="majorEastAsia"/>
      <w:b/>
      <w:kern w:val="32"/>
      <w:szCs w:val="26"/>
      <w:u w:val="single"/>
    </w:rPr>
  </w:style>
  <w:style w:type="paragraph" w:styleId="Heading3">
    <w:name w:val="heading 3"/>
    <w:basedOn w:val="Normal"/>
    <w:next w:val="FERCparanumber"/>
    <w:uiPriority w:val="9"/>
    <w:unhideWhenUsed/>
    <w:qFormat/>
    <w:rsid w:val="0049636A"/>
    <w:pPr>
      <w:keepNext/>
      <w:keepLines/>
      <w:widowControl/>
      <w:numPr>
        <w:ilvl w:val="2"/>
        <w:numId w:val="15"/>
      </w:numPr>
      <w:spacing w:after="260"/>
      <w:outlineLvl w:val="2"/>
    </w:pPr>
    <w:rPr>
      <w:rFonts w:eastAsiaTheme="majorEastAsia"/>
      <w:b/>
      <w:kern w:val="32"/>
      <w:szCs w:val="24"/>
      <w:u w:val="single"/>
    </w:rPr>
  </w:style>
  <w:style w:type="paragraph" w:styleId="Heading4">
    <w:name w:val="heading 4"/>
    <w:basedOn w:val="Normal"/>
    <w:next w:val="FERCparanumber"/>
    <w:uiPriority w:val="9"/>
    <w:unhideWhenUsed/>
    <w:qFormat/>
    <w:rsid w:val="0049636A"/>
    <w:pPr>
      <w:keepNext/>
      <w:keepLines/>
      <w:widowControl/>
      <w:numPr>
        <w:ilvl w:val="3"/>
        <w:numId w:val="15"/>
      </w:numPr>
      <w:spacing w:after="260"/>
      <w:outlineLvl w:val="3"/>
    </w:pPr>
    <w:rPr>
      <w:rFonts w:eastAsiaTheme="majorEastAsia"/>
      <w:b/>
      <w:iCs/>
      <w:kern w:val="32"/>
      <w:u w:val="single"/>
    </w:rPr>
  </w:style>
  <w:style w:type="paragraph" w:styleId="Heading5">
    <w:name w:val="heading 5"/>
    <w:basedOn w:val="Normal"/>
    <w:next w:val="FERCparanumber"/>
    <w:uiPriority w:val="9"/>
    <w:semiHidden/>
    <w:unhideWhenUsed/>
    <w:qFormat/>
    <w:rsid w:val="0049636A"/>
    <w:pPr>
      <w:keepNext/>
      <w:keepLines/>
      <w:widowControl/>
      <w:numPr>
        <w:ilvl w:val="4"/>
        <w:numId w:val="15"/>
      </w:numPr>
      <w:spacing w:after="260"/>
      <w:outlineLvl w:val="4"/>
    </w:pPr>
    <w:rPr>
      <w:rFonts w:eastAsiaTheme="majorEastAsia"/>
      <w:b/>
      <w:kern w:val="32"/>
      <w:u w:val="single"/>
    </w:rPr>
  </w:style>
  <w:style w:type="paragraph" w:styleId="Heading6">
    <w:name w:val="heading 6"/>
    <w:basedOn w:val="Normal"/>
    <w:next w:val="FERCparanumber"/>
    <w:uiPriority w:val="9"/>
    <w:semiHidden/>
    <w:unhideWhenUsed/>
    <w:qFormat/>
    <w:rsid w:val="0049636A"/>
    <w:pPr>
      <w:keepNext/>
      <w:keepLines/>
      <w:widowControl/>
      <w:numPr>
        <w:ilvl w:val="5"/>
        <w:numId w:val="15"/>
      </w:numPr>
      <w:spacing w:after="260"/>
      <w:outlineLvl w:val="5"/>
    </w:pPr>
    <w:rPr>
      <w:rFonts w:eastAsiaTheme="majorEastAsia"/>
      <w:b/>
      <w:kern w:val="32"/>
      <w:u w:val="single"/>
    </w:rPr>
  </w:style>
  <w:style w:type="paragraph" w:styleId="Heading7">
    <w:name w:val="heading 7"/>
    <w:basedOn w:val="Normal"/>
    <w:next w:val="FERCparanumber"/>
    <w:uiPriority w:val="9"/>
    <w:semiHidden/>
    <w:unhideWhenUsed/>
    <w:qFormat/>
    <w:rsid w:val="0049636A"/>
    <w:pPr>
      <w:keepNext/>
      <w:keepLines/>
      <w:widowControl/>
      <w:numPr>
        <w:ilvl w:val="6"/>
        <w:numId w:val="15"/>
      </w:numPr>
      <w:spacing w:after="260"/>
      <w:outlineLvl w:val="6"/>
    </w:pPr>
    <w:rPr>
      <w:rFonts w:eastAsiaTheme="majorEastAsia"/>
      <w:b/>
      <w:iCs/>
      <w:kern w:val="32"/>
      <w:u w:val="single"/>
    </w:rPr>
  </w:style>
  <w:style w:type="paragraph" w:styleId="Heading8">
    <w:name w:val="heading 8"/>
    <w:basedOn w:val="Normal"/>
    <w:next w:val="FERCparanumber"/>
    <w:uiPriority w:val="9"/>
    <w:semiHidden/>
    <w:unhideWhenUsed/>
    <w:qFormat/>
    <w:rsid w:val="0049636A"/>
    <w:pPr>
      <w:keepNext/>
      <w:keepLines/>
      <w:widowControl/>
      <w:numPr>
        <w:ilvl w:val="7"/>
        <w:numId w:val="15"/>
      </w:numPr>
      <w:spacing w:after="260"/>
      <w:outlineLvl w:val="7"/>
    </w:pPr>
    <w:rPr>
      <w:rFonts w:eastAsiaTheme="majorEastAsia"/>
      <w:b/>
      <w:kern w:val="32"/>
      <w:szCs w:val="21"/>
      <w:u w:val="single"/>
    </w:rPr>
  </w:style>
  <w:style w:type="paragraph" w:styleId="Heading9">
    <w:name w:val="heading 9"/>
    <w:basedOn w:val="Normal"/>
    <w:next w:val="FERCparanumber"/>
    <w:uiPriority w:val="9"/>
    <w:semiHidden/>
    <w:unhideWhenUsed/>
    <w:qFormat/>
    <w:rsid w:val="0049636A"/>
    <w:pPr>
      <w:keepNext/>
      <w:keepLines/>
      <w:widowControl/>
      <w:numPr>
        <w:ilvl w:val="8"/>
        <w:numId w:val="15"/>
      </w:numPr>
      <w:spacing w:after="260"/>
      <w:outlineLvl w:val="8"/>
    </w:pPr>
    <w:rPr>
      <w:rFonts w:eastAsiaTheme="majorEastAsia"/>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9636A"/>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9636A"/>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9636A"/>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9636A"/>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9636A"/>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9636A"/>
    <w:pPr>
      <w:tabs>
        <w:tab w:val="right" w:leader="dot" w:pos="9360"/>
      </w:tabs>
      <w:ind w:left="1440"/>
    </w:pPr>
    <w:rPr>
      <w:rFonts w:eastAsia="Times New Roman"/>
      <w:szCs w:val="26"/>
    </w:rPr>
  </w:style>
  <w:style w:type="paragraph" w:customStyle="1" w:styleId="myTOC7">
    <w:name w:val="myTOC 7"/>
    <w:basedOn w:val="Normal"/>
    <w:next w:val="Normal"/>
    <w:rsid w:val="0049636A"/>
    <w:pPr>
      <w:tabs>
        <w:tab w:val="right" w:leader="dot" w:pos="9360"/>
      </w:tabs>
      <w:ind w:left="1728"/>
    </w:pPr>
    <w:rPr>
      <w:rFonts w:eastAsia="Times New Roman"/>
      <w:szCs w:val="26"/>
    </w:rPr>
  </w:style>
  <w:style w:type="paragraph" w:customStyle="1" w:styleId="myTOC8">
    <w:name w:val="myTOC 8"/>
    <w:basedOn w:val="Normal"/>
    <w:next w:val="Normal"/>
    <w:rsid w:val="0049636A"/>
    <w:pPr>
      <w:tabs>
        <w:tab w:val="right" w:leader="dot" w:pos="9360"/>
      </w:tabs>
      <w:ind w:left="2016"/>
    </w:pPr>
    <w:rPr>
      <w:rFonts w:eastAsia="Times New Roman"/>
      <w:szCs w:val="26"/>
    </w:rPr>
  </w:style>
  <w:style w:type="paragraph" w:customStyle="1" w:styleId="myTOC9">
    <w:name w:val="myTOC 9"/>
    <w:basedOn w:val="Normal"/>
    <w:next w:val="Normal"/>
    <w:rsid w:val="0049636A"/>
    <w:pPr>
      <w:tabs>
        <w:tab w:val="right" w:leader="dot" w:pos="9360"/>
      </w:tabs>
      <w:ind w:left="2304"/>
    </w:pPr>
    <w:rPr>
      <w:rFonts w:eastAsia="Times New Roman"/>
      <w:szCs w:val="26"/>
    </w:rPr>
  </w:style>
  <w:style w:type="paragraph" w:customStyle="1" w:styleId="Non-TOCStyle">
    <w:name w:val="Non-TOC Style"/>
    <w:basedOn w:val="Normal"/>
    <w:next w:val="FERCparanumber"/>
    <w:rsid w:val="0049636A"/>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49636A"/>
    <w:rPr>
      <w:rFonts w:ascii="Arial" w:hAnsi="Arial" w:cs="Arial"/>
      <w:sz w:val="20"/>
      <w:szCs w:val="18"/>
    </w:rPr>
  </w:style>
  <w:style w:type="character" w:customStyle="1" w:styleId="BalloonTextChar">
    <w:name w:val="Balloon Text Char"/>
    <w:basedOn w:val="DefaultParagraphFont"/>
    <w:link w:val="BalloonText"/>
    <w:uiPriority w:val="99"/>
    <w:semiHidden/>
    <w:rsid w:val="0049636A"/>
    <w:rPr>
      <w:rFonts w:ascii="Arial" w:hAnsi="Arial" w:cs="Arial"/>
      <w:sz w:val="20"/>
      <w:szCs w:val="18"/>
    </w:rPr>
  </w:style>
  <w:style w:type="paragraph" w:styleId="Bibliography">
    <w:name w:val="Bibliography"/>
    <w:basedOn w:val="Normal"/>
    <w:next w:val="Normal"/>
    <w:uiPriority w:val="37"/>
    <w:semiHidden/>
    <w:unhideWhenUsed/>
    <w:rsid w:val="0049636A"/>
  </w:style>
  <w:style w:type="paragraph" w:styleId="BlockText">
    <w:name w:val="Block Text"/>
    <w:basedOn w:val="Normal"/>
    <w:uiPriority w:val="99"/>
    <w:semiHidden/>
    <w:unhideWhenUsed/>
    <w:rsid w:val="0049636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unhideWhenUsed/>
    <w:rsid w:val="0049636A"/>
    <w:pPr>
      <w:spacing w:after="240"/>
      <w:ind w:firstLine="720"/>
    </w:pPr>
  </w:style>
  <w:style w:type="character" w:customStyle="1" w:styleId="BodyTextChar">
    <w:name w:val="Body Text Char"/>
    <w:basedOn w:val="DefaultParagraphFont"/>
    <w:link w:val="BodyText"/>
    <w:uiPriority w:val="99"/>
    <w:rsid w:val="0049636A"/>
    <w:rPr>
      <w:rFonts w:ascii="Times New Roman" w:hAnsi="Times New Roman" w:cs="Times New Roman"/>
      <w:sz w:val="26"/>
    </w:rPr>
  </w:style>
  <w:style w:type="paragraph" w:styleId="BodyText2">
    <w:name w:val="Body Text 2"/>
    <w:basedOn w:val="Normal"/>
    <w:link w:val="BodyText2Char"/>
    <w:uiPriority w:val="99"/>
    <w:semiHidden/>
    <w:unhideWhenUsed/>
    <w:rsid w:val="0049636A"/>
    <w:pPr>
      <w:spacing w:after="120" w:line="480" w:lineRule="auto"/>
    </w:pPr>
  </w:style>
  <w:style w:type="character" w:customStyle="1" w:styleId="BodyText2Char">
    <w:name w:val="Body Text 2 Char"/>
    <w:basedOn w:val="DefaultParagraphFont"/>
    <w:link w:val="BodyText2"/>
    <w:uiPriority w:val="99"/>
    <w:semiHidden/>
    <w:rsid w:val="0049636A"/>
    <w:rPr>
      <w:rFonts w:ascii="Times New Roman" w:hAnsi="Times New Roman" w:cs="Times New Roman"/>
      <w:sz w:val="26"/>
    </w:rPr>
  </w:style>
  <w:style w:type="paragraph" w:styleId="BodyText3">
    <w:name w:val="Body Text 3"/>
    <w:basedOn w:val="Normal"/>
    <w:link w:val="BodyText3Char"/>
    <w:uiPriority w:val="99"/>
    <w:semiHidden/>
    <w:unhideWhenUsed/>
    <w:rsid w:val="0049636A"/>
    <w:pPr>
      <w:spacing w:after="120"/>
    </w:pPr>
    <w:rPr>
      <w:sz w:val="16"/>
      <w:szCs w:val="16"/>
    </w:rPr>
  </w:style>
  <w:style w:type="character" w:customStyle="1" w:styleId="BodyText3Char">
    <w:name w:val="Body Text 3 Char"/>
    <w:basedOn w:val="DefaultParagraphFont"/>
    <w:link w:val="BodyText3"/>
    <w:uiPriority w:val="99"/>
    <w:semiHidden/>
    <w:rsid w:val="0049636A"/>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49636A"/>
    <w:pPr>
      <w:spacing w:after="160"/>
      <w:ind w:firstLine="360"/>
    </w:pPr>
  </w:style>
  <w:style w:type="character" w:customStyle="1" w:styleId="BodyTextFirstIndentChar">
    <w:name w:val="Body Text First Indent Char"/>
    <w:basedOn w:val="BodyTextChar"/>
    <w:link w:val="BodyTextFirstIndent"/>
    <w:uiPriority w:val="99"/>
    <w:semiHidden/>
    <w:rsid w:val="0049636A"/>
    <w:rPr>
      <w:rFonts w:ascii="Times New Roman" w:hAnsi="Times New Roman" w:cs="Times New Roman"/>
      <w:sz w:val="26"/>
    </w:rPr>
  </w:style>
  <w:style w:type="paragraph" w:styleId="BodyTextIndent">
    <w:name w:val="Body Text Indent"/>
    <w:basedOn w:val="Normal"/>
    <w:link w:val="BodyTextIndentChar"/>
    <w:uiPriority w:val="99"/>
    <w:semiHidden/>
    <w:unhideWhenUsed/>
    <w:rsid w:val="0049636A"/>
    <w:pPr>
      <w:spacing w:after="120"/>
      <w:ind w:left="360"/>
    </w:pPr>
  </w:style>
  <w:style w:type="character" w:customStyle="1" w:styleId="BodyTextIndentChar">
    <w:name w:val="Body Text Indent Char"/>
    <w:basedOn w:val="DefaultParagraphFont"/>
    <w:link w:val="BodyTextIndent"/>
    <w:uiPriority w:val="99"/>
    <w:semiHidden/>
    <w:rsid w:val="0049636A"/>
    <w:rPr>
      <w:rFonts w:ascii="Times New Roman" w:hAnsi="Times New Roman" w:cs="Times New Roman"/>
      <w:sz w:val="26"/>
    </w:rPr>
  </w:style>
  <w:style w:type="paragraph" w:styleId="BodyTextFirstIndent2">
    <w:name w:val="Body Text First Indent 2"/>
    <w:basedOn w:val="BodyTextIndent"/>
    <w:link w:val="BodyTextFirstIndent2Char"/>
    <w:uiPriority w:val="99"/>
    <w:semiHidden/>
    <w:unhideWhenUsed/>
    <w:rsid w:val="0049636A"/>
    <w:pPr>
      <w:spacing w:after="160"/>
      <w:ind w:firstLine="360"/>
    </w:pPr>
  </w:style>
  <w:style w:type="character" w:customStyle="1" w:styleId="BodyTextFirstIndent2Char">
    <w:name w:val="Body Text First Indent 2 Char"/>
    <w:basedOn w:val="BodyTextIndentChar"/>
    <w:link w:val="BodyTextFirstIndent2"/>
    <w:uiPriority w:val="99"/>
    <w:semiHidden/>
    <w:rsid w:val="0049636A"/>
    <w:rPr>
      <w:rFonts w:ascii="Times New Roman" w:hAnsi="Times New Roman" w:cs="Times New Roman"/>
      <w:sz w:val="26"/>
    </w:rPr>
  </w:style>
  <w:style w:type="paragraph" w:styleId="BodyTextIndent2">
    <w:name w:val="Body Text Indent 2"/>
    <w:basedOn w:val="Normal"/>
    <w:link w:val="BodyTextIndent2Char"/>
    <w:uiPriority w:val="99"/>
    <w:semiHidden/>
    <w:unhideWhenUsed/>
    <w:rsid w:val="0049636A"/>
    <w:pPr>
      <w:spacing w:after="120" w:line="480" w:lineRule="auto"/>
      <w:ind w:left="360"/>
    </w:pPr>
  </w:style>
  <w:style w:type="character" w:customStyle="1" w:styleId="BodyTextIndent2Char">
    <w:name w:val="Body Text Indent 2 Char"/>
    <w:basedOn w:val="DefaultParagraphFont"/>
    <w:link w:val="BodyTextIndent2"/>
    <w:uiPriority w:val="99"/>
    <w:semiHidden/>
    <w:rsid w:val="0049636A"/>
    <w:rPr>
      <w:rFonts w:ascii="Times New Roman" w:hAnsi="Times New Roman" w:cs="Times New Roman"/>
      <w:sz w:val="26"/>
    </w:rPr>
  </w:style>
  <w:style w:type="paragraph" w:styleId="BodyTextIndent3">
    <w:name w:val="Body Text Indent 3"/>
    <w:basedOn w:val="Normal"/>
    <w:link w:val="BodyTextIndent3Char"/>
    <w:uiPriority w:val="99"/>
    <w:semiHidden/>
    <w:unhideWhenUsed/>
    <w:rsid w:val="0049636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9636A"/>
    <w:rPr>
      <w:rFonts w:ascii="Times New Roman" w:hAnsi="Times New Roman" w:cs="Times New Roman"/>
      <w:sz w:val="16"/>
      <w:szCs w:val="16"/>
    </w:rPr>
  </w:style>
  <w:style w:type="paragraph" w:styleId="Caption">
    <w:name w:val="caption"/>
    <w:basedOn w:val="Normal"/>
    <w:next w:val="Normal"/>
    <w:uiPriority w:val="35"/>
    <w:semiHidden/>
    <w:unhideWhenUsed/>
    <w:qFormat/>
    <w:rsid w:val="0049636A"/>
    <w:pPr>
      <w:spacing w:after="200"/>
    </w:pPr>
    <w:rPr>
      <w:iCs/>
      <w:szCs w:val="18"/>
    </w:rPr>
  </w:style>
  <w:style w:type="paragraph" w:styleId="Closing">
    <w:name w:val="Closing"/>
    <w:basedOn w:val="Normal"/>
    <w:link w:val="ClosingChar"/>
    <w:uiPriority w:val="99"/>
    <w:semiHidden/>
    <w:unhideWhenUsed/>
    <w:rsid w:val="0049636A"/>
    <w:pPr>
      <w:ind w:left="4320"/>
    </w:pPr>
  </w:style>
  <w:style w:type="character" w:customStyle="1" w:styleId="ClosingChar">
    <w:name w:val="Closing Char"/>
    <w:basedOn w:val="DefaultParagraphFont"/>
    <w:link w:val="Closing"/>
    <w:uiPriority w:val="99"/>
    <w:semiHidden/>
    <w:rsid w:val="0049636A"/>
    <w:rPr>
      <w:rFonts w:ascii="Times New Roman" w:hAnsi="Times New Roman" w:cs="Times New Roman"/>
      <w:sz w:val="26"/>
    </w:rPr>
  </w:style>
  <w:style w:type="paragraph" w:styleId="CommentText">
    <w:name w:val="annotation text"/>
    <w:basedOn w:val="Normal"/>
    <w:link w:val="CommentTextChar"/>
    <w:uiPriority w:val="99"/>
    <w:unhideWhenUsed/>
    <w:rsid w:val="0049636A"/>
    <w:rPr>
      <w:rFonts w:ascii="Arial" w:hAnsi="Arial" w:cs="Arial"/>
      <w:sz w:val="20"/>
      <w:szCs w:val="20"/>
    </w:rPr>
  </w:style>
  <w:style w:type="character" w:customStyle="1" w:styleId="CommentTextChar">
    <w:name w:val="Comment Text Char"/>
    <w:basedOn w:val="DefaultParagraphFont"/>
    <w:link w:val="CommentText"/>
    <w:uiPriority w:val="99"/>
    <w:rsid w:val="0049636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9636A"/>
    <w:rPr>
      <w:b/>
      <w:bCs/>
    </w:rPr>
  </w:style>
  <w:style w:type="character" w:customStyle="1" w:styleId="CommentSubjectChar">
    <w:name w:val="Comment Subject Char"/>
    <w:basedOn w:val="CommentTextChar"/>
    <w:link w:val="CommentSubject"/>
    <w:uiPriority w:val="99"/>
    <w:semiHidden/>
    <w:rsid w:val="0049636A"/>
    <w:rPr>
      <w:rFonts w:ascii="Arial" w:hAnsi="Arial" w:cs="Arial"/>
      <w:b/>
      <w:bCs/>
      <w:sz w:val="20"/>
      <w:szCs w:val="20"/>
    </w:rPr>
  </w:style>
  <w:style w:type="paragraph" w:styleId="Date">
    <w:name w:val="Date"/>
    <w:basedOn w:val="Normal"/>
    <w:next w:val="Normal"/>
    <w:link w:val="DateChar"/>
    <w:uiPriority w:val="99"/>
    <w:semiHidden/>
    <w:unhideWhenUsed/>
    <w:rsid w:val="0049636A"/>
  </w:style>
  <w:style w:type="character" w:customStyle="1" w:styleId="DateChar">
    <w:name w:val="Date Char"/>
    <w:basedOn w:val="DefaultParagraphFont"/>
    <w:link w:val="Date"/>
    <w:uiPriority w:val="99"/>
    <w:semiHidden/>
    <w:rsid w:val="0049636A"/>
    <w:rPr>
      <w:rFonts w:ascii="Times New Roman" w:hAnsi="Times New Roman" w:cs="Times New Roman"/>
      <w:sz w:val="26"/>
    </w:rPr>
  </w:style>
  <w:style w:type="paragraph" w:styleId="DocumentMap">
    <w:name w:val="Document Map"/>
    <w:basedOn w:val="Normal"/>
    <w:link w:val="DocumentMapChar"/>
    <w:uiPriority w:val="99"/>
    <w:semiHidden/>
    <w:unhideWhenUsed/>
    <w:rsid w:val="0049636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9636A"/>
    <w:rPr>
      <w:rFonts w:ascii="Segoe UI" w:hAnsi="Segoe UI" w:cs="Segoe UI"/>
      <w:sz w:val="16"/>
      <w:szCs w:val="16"/>
    </w:rPr>
  </w:style>
  <w:style w:type="paragraph" w:styleId="E-mailSignature">
    <w:name w:val="E-mail Signature"/>
    <w:basedOn w:val="Normal"/>
    <w:link w:val="E-mailSignatureChar"/>
    <w:uiPriority w:val="99"/>
    <w:semiHidden/>
    <w:unhideWhenUsed/>
    <w:rsid w:val="0049636A"/>
  </w:style>
  <w:style w:type="character" w:customStyle="1" w:styleId="E-mailSignatureChar">
    <w:name w:val="E-mail Signature Char"/>
    <w:basedOn w:val="DefaultParagraphFont"/>
    <w:link w:val="E-mailSignature"/>
    <w:uiPriority w:val="99"/>
    <w:semiHidden/>
    <w:rsid w:val="0049636A"/>
    <w:rPr>
      <w:rFonts w:ascii="Times New Roman" w:hAnsi="Times New Roman" w:cs="Times New Roman"/>
      <w:sz w:val="26"/>
    </w:rPr>
  </w:style>
  <w:style w:type="paragraph" w:styleId="EndnoteText">
    <w:name w:val="endnote text"/>
    <w:basedOn w:val="Normal"/>
    <w:link w:val="EndnoteTextChar"/>
    <w:uiPriority w:val="99"/>
    <w:semiHidden/>
    <w:unhideWhenUsed/>
    <w:rsid w:val="0049636A"/>
    <w:rPr>
      <w:sz w:val="20"/>
      <w:szCs w:val="20"/>
    </w:rPr>
  </w:style>
  <w:style w:type="character" w:customStyle="1" w:styleId="EndnoteTextChar">
    <w:name w:val="Endnote Text Char"/>
    <w:basedOn w:val="DefaultParagraphFont"/>
    <w:link w:val="EndnoteText"/>
    <w:uiPriority w:val="99"/>
    <w:semiHidden/>
    <w:rsid w:val="0049636A"/>
    <w:rPr>
      <w:rFonts w:ascii="Times New Roman" w:hAnsi="Times New Roman" w:cs="Times New Roman"/>
      <w:sz w:val="20"/>
      <w:szCs w:val="20"/>
    </w:rPr>
  </w:style>
  <w:style w:type="paragraph" w:styleId="EnvelopeAddress">
    <w:name w:val="envelope address"/>
    <w:basedOn w:val="Normal"/>
    <w:uiPriority w:val="99"/>
    <w:semiHidden/>
    <w:unhideWhenUsed/>
    <w:rsid w:val="0049636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9636A"/>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49636A"/>
    <w:pPr>
      <w:tabs>
        <w:tab w:val="center" w:pos="4680"/>
        <w:tab w:val="right" w:pos="9360"/>
      </w:tabs>
    </w:pPr>
  </w:style>
  <w:style w:type="character" w:customStyle="1" w:styleId="FooterChar">
    <w:name w:val="Footer Char"/>
    <w:basedOn w:val="DefaultParagraphFont"/>
    <w:link w:val="Footer"/>
    <w:uiPriority w:val="99"/>
    <w:rsid w:val="0049636A"/>
    <w:rPr>
      <w:rFonts w:ascii="Times New Roman" w:hAnsi="Times New Roman" w:cs="Times New Roman"/>
      <w:sz w:val="26"/>
    </w:rPr>
  </w:style>
  <w:style w:type="paragraph" w:styleId="Header">
    <w:name w:val="header"/>
    <w:basedOn w:val="Normal"/>
    <w:link w:val="HeaderChar"/>
    <w:uiPriority w:val="99"/>
    <w:unhideWhenUsed/>
    <w:rsid w:val="0049636A"/>
    <w:pPr>
      <w:tabs>
        <w:tab w:val="center" w:pos="4680"/>
        <w:tab w:val="right" w:pos="9360"/>
      </w:tabs>
    </w:pPr>
  </w:style>
  <w:style w:type="character" w:customStyle="1" w:styleId="HeaderChar">
    <w:name w:val="Header Char"/>
    <w:basedOn w:val="DefaultParagraphFont"/>
    <w:link w:val="Header"/>
    <w:uiPriority w:val="99"/>
    <w:rsid w:val="0049636A"/>
    <w:rPr>
      <w:rFonts w:ascii="Times New Roman" w:hAnsi="Times New Roman" w:cs="Times New Roman"/>
      <w:sz w:val="26"/>
    </w:rPr>
  </w:style>
  <w:style w:type="paragraph" w:styleId="HTMLAddress">
    <w:name w:val="HTML Address"/>
    <w:basedOn w:val="Normal"/>
    <w:link w:val="HTMLAddressChar"/>
    <w:uiPriority w:val="99"/>
    <w:semiHidden/>
    <w:unhideWhenUsed/>
    <w:rsid w:val="0049636A"/>
    <w:rPr>
      <w:i/>
      <w:iCs/>
    </w:rPr>
  </w:style>
  <w:style w:type="character" w:customStyle="1" w:styleId="HTMLAddressChar">
    <w:name w:val="HTML Address Char"/>
    <w:basedOn w:val="DefaultParagraphFont"/>
    <w:link w:val="HTMLAddress"/>
    <w:uiPriority w:val="99"/>
    <w:semiHidden/>
    <w:rsid w:val="0049636A"/>
    <w:rPr>
      <w:rFonts w:ascii="Times New Roman" w:hAnsi="Times New Roman" w:cs="Times New Roman"/>
      <w:i/>
      <w:iCs/>
      <w:sz w:val="26"/>
    </w:rPr>
  </w:style>
  <w:style w:type="paragraph" w:styleId="HTMLPreformatted">
    <w:name w:val="HTML Preformatted"/>
    <w:basedOn w:val="Normal"/>
    <w:link w:val="HTMLPreformattedChar"/>
    <w:uiPriority w:val="99"/>
    <w:semiHidden/>
    <w:unhideWhenUsed/>
    <w:rsid w:val="0049636A"/>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9636A"/>
    <w:rPr>
      <w:rFonts w:ascii="Consolas" w:hAnsi="Consolas" w:cs="Consolas"/>
      <w:sz w:val="20"/>
      <w:szCs w:val="20"/>
    </w:rPr>
  </w:style>
  <w:style w:type="paragraph" w:styleId="Index1">
    <w:name w:val="index 1"/>
    <w:basedOn w:val="Normal"/>
    <w:next w:val="Normal"/>
    <w:uiPriority w:val="99"/>
    <w:semiHidden/>
    <w:unhideWhenUsed/>
    <w:rsid w:val="0049636A"/>
    <w:pPr>
      <w:ind w:left="220" w:hanging="220"/>
    </w:pPr>
  </w:style>
  <w:style w:type="paragraph" w:styleId="Index2">
    <w:name w:val="index 2"/>
    <w:basedOn w:val="Normal"/>
    <w:next w:val="Normal"/>
    <w:uiPriority w:val="99"/>
    <w:semiHidden/>
    <w:unhideWhenUsed/>
    <w:rsid w:val="0049636A"/>
    <w:pPr>
      <w:ind w:left="440" w:hanging="220"/>
    </w:pPr>
  </w:style>
  <w:style w:type="paragraph" w:styleId="Index3">
    <w:name w:val="index 3"/>
    <w:basedOn w:val="Normal"/>
    <w:next w:val="Normal"/>
    <w:uiPriority w:val="99"/>
    <w:semiHidden/>
    <w:unhideWhenUsed/>
    <w:rsid w:val="0049636A"/>
    <w:pPr>
      <w:ind w:left="660" w:hanging="220"/>
    </w:pPr>
  </w:style>
  <w:style w:type="paragraph" w:styleId="Index4">
    <w:name w:val="index 4"/>
    <w:basedOn w:val="Normal"/>
    <w:next w:val="Normal"/>
    <w:uiPriority w:val="99"/>
    <w:semiHidden/>
    <w:unhideWhenUsed/>
    <w:rsid w:val="0049636A"/>
    <w:pPr>
      <w:ind w:left="880" w:hanging="220"/>
    </w:pPr>
  </w:style>
  <w:style w:type="paragraph" w:styleId="Index5">
    <w:name w:val="index 5"/>
    <w:basedOn w:val="Normal"/>
    <w:next w:val="Normal"/>
    <w:uiPriority w:val="99"/>
    <w:semiHidden/>
    <w:unhideWhenUsed/>
    <w:rsid w:val="0049636A"/>
    <w:pPr>
      <w:ind w:left="1100" w:hanging="220"/>
    </w:pPr>
  </w:style>
  <w:style w:type="paragraph" w:styleId="Index6">
    <w:name w:val="index 6"/>
    <w:basedOn w:val="Normal"/>
    <w:next w:val="Normal"/>
    <w:uiPriority w:val="99"/>
    <w:semiHidden/>
    <w:unhideWhenUsed/>
    <w:rsid w:val="0049636A"/>
    <w:pPr>
      <w:ind w:left="1320" w:hanging="220"/>
    </w:pPr>
  </w:style>
  <w:style w:type="paragraph" w:styleId="Index7">
    <w:name w:val="index 7"/>
    <w:basedOn w:val="Normal"/>
    <w:next w:val="Normal"/>
    <w:uiPriority w:val="99"/>
    <w:semiHidden/>
    <w:unhideWhenUsed/>
    <w:rsid w:val="0049636A"/>
    <w:pPr>
      <w:ind w:left="1540" w:hanging="220"/>
    </w:pPr>
  </w:style>
  <w:style w:type="paragraph" w:styleId="Index8">
    <w:name w:val="index 8"/>
    <w:basedOn w:val="Normal"/>
    <w:next w:val="Normal"/>
    <w:uiPriority w:val="99"/>
    <w:semiHidden/>
    <w:unhideWhenUsed/>
    <w:rsid w:val="0049636A"/>
    <w:pPr>
      <w:ind w:left="1760" w:hanging="220"/>
    </w:pPr>
  </w:style>
  <w:style w:type="paragraph" w:styleId="Index9">
    <w:name w:val="index 9"/>
    <w:basedOn w:val="Normal"/>
    <w:next w:val="Normal"/>
    <w:uiPriority w:val="99"/>
    <w:semiHidden/>
    <w:unhideWhenUsed/>
    <w:rsid w:val="0049636A"/>
    <w:pPr>
      <w:ind w:left="1980" w:hanging="220"/>
    </w:pPr>
  </w:style>
  <w:style w:type="paragraph" w:styleId="IndexHeading">
    <w:name w:val="index heading"/>
    <w:basedOn w:val="Normal"/>
    <w:next w:val="Index1"/>
    <w:uiPriority w:val="99"/>
    <w:semiHidden/>
    <w:unhideWhenUsed/>
    <w:rsid w:val="0049636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9636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9636A"/>
    <w:rPr>
      <w:rFonts w:ascii="Times New Roman" w:hAnsi="Times New Roman" w:cs="Times New Roman"/>
      <w:i/>
      <w:iCs/>
      <w:color w:val="5B9BD5" w:themeColor="accent1"/>
      <w:sz w:val="26"/>
    </w:rPr>
  </w:style>
  <w:style w:type="paragraph" w:styleId="List">
    <w:name w:val="List"/>
    <w:basedOn w:val="Normal"/>
    <w:uiPriority w:val="99"/>
    <w:semiHidden/>
    <w:unhideWhenUsed/>
    <w:rsid w:val="0049636A"/>
    <w:pPr>
      <w:ind w:left="360" w:hanging="360"/>
      <w:contextualSpacing/>
    </w:pPr>
  </w:style>
  <w:style w:type="paragraph" w:styleId="List2">
    <w:name w:val="List 2"/>
    <w:basedOn w:val="Normal"/>
    <w:uiPriority w:val="99"/>
    <w:semiHidden/>
    <w:unhideWhenUsed/>
    <w:rsid w:val="0049636A"/>
    <w:pPr>
      <w:ind w:left="720" w:hanging="360"/>
      <w:contextualSpacing/>
    </w:pPr>
  </w:style>
  <w:style w:type="paragraph" w:styleId="List3">
    <w:name w:val="List 3"/>
    <w:basedOn w:val="Normal"/>
    <w:uiPriority w:val="99"/>
    <w:semiHidden/>
    <w:unhideWhenUsed/>
    <w:rsid w:val="0049636A"/>
    <w:pPr>
      <w:ind w:left="1080" w:hanging="360"/>
      <w:contextualSpacing/>
    </w:pPr>
  </w:style>
  <w:style w:type="paragraph" w:styleId="List4">
    <w:name w:val="List 4"/>
    <w:basedOn w:val="Normal"/>
    <w:uiPriority w:val="99"/>
    <w:semiHidden/>
    <w:unhideWhenUsed/>
    <w:rsid w:val="0049636A"/>
    <w:pPr>
      <w:ind w:left="1440" w:hanging="360"/>
      <w:contextualSpacing/>
    </w:pPr>
  </w:style>
  <w:style w:type="paragraph" w:styleId="List5">
    <w:name w:val="List 5"/>
    <w:basedOn w:val="Normal"/>
    <w:uiPriority w:val="99"/>
    <w:semiHidden/>
    <w:unhideWhenUsed/>
    <w:rsid w:val="0049636A"/>
    <w:pPr>
      <w:ind w:left="1800" w:hanging="360"/>
      <w:contextualSpacing/>
    </w:pPr>
  </w:style>
  <w:style w:type="paragraph" w:styleId="ListBullet">
    <w:name w:val="List Bullet"/>
    <w:basedOn w:val="Normal"/>
    <w:uiPriority w:val="99"/>
    <w:semiHidden/>
    <w:unhideWhenUsed/>
    <w:rsid w:val="0049636A"/>
    <w:pPr>
      <w:numPr>
        <w:numId w:val="1"/>
      </w:numPr>
      <w:contextualSpacing/>
    </w:pPr>
  </w:style>
  <w:style w:type="paragraph" w:styleId="ListBullet2">
    <w:name w:val="List Bullet 2"/>
    <w:basedOn w:val="Normal"/>
    <w:uiPriority w:val="99"/>
    <w:semiHidden/>
    <w:unhideWhenUsed/>
    <w:rsid w:val="0049636A"/>
    <w:pPr>
      <w:numPr>
        <w:numId w:val="2"/>
      </w:numPr>
      <w:contextualSpacing/>
    </w:pPr>
  </w:style>
  <w:style w:type="paragraph" w:styleId="ListBullet3">
    <w:name w:val="List Bullet 3"/>
    <w:basedOn w:val="Normal"/>
    <w:uiPriority w:val="99"/>
    <w:semiHidden/>
    <w:unhideWhenUsed/>
    <w:rsid w:val="0049636A"/>
    <w:pPr>
      <w:numPr>
        <w:numId w:val="3"/>
      </w:numPr>
      <w:contextualSpacing/>
    </w:pPr>
  </w:style>
  <w:style w:type="paragraph" w:styleId="ListBullet4">
    <w:name w:val="List Bullet 4"/>
    <w:basedOn w:val="Normal"/>
    <w:uiPriority w:val="99"/>
    <w:semiHidden/>
    <w:unhideWhenUsed/>
    <w:rsid w:val="0049636A"/>
    <w:pPr>
      <w:numPr>
        <w:numId w:val="4"/>
      </w:numPr>
      <w:contextualSpacing/>
    </w:pPr>
  </w:style>
  <w:style w:type="paragraph" w:styleId="ListBullet5">
    <w:name w:val="List Bullet 5"/>
    <w:basedOn w:val="Normal"/>
    <w:uiPriority w:val="99"/>
    <w:semiHidden/>
    <w:unhideWhenUsed/>
    <w:rsid w:val="0049636A"/>
    <w:pPr>
      <w:numPr>
        <w:numId w:val="5"/>
      </w:numPr>
      <w:contextualSpacing/>
    </w:pPr>
  </w:style>
  <w:style w:type="paragraph" w:styleId="ListContinue">
    <w:name w:val="List Continue"/>
    <w:basedOn w:val="Normal"/>
    <w:uiPriority w:val="99"/>
    <w:semiHidden/>
    <w:unhideWhenUsed/>
    <w:rsid w:val="0049636A"/>
    <w:pPr>
      <w:spacing w:after="120"/>
      <w:ind w:left="360"/>
      <w:contextualSpacing/>
    </w:pPr>
  </w:style>
  <w:style w:type="paragraph" w:styleId="ListContinue2">
    <w:name w:val="List Continue 2"/>
    <w:basedOn w:val="Normal"/>
    <w:uiPriority w:val="99"/>
    <w:semiHidden/>
    <w:unhideWhenUsed/>
    <w:rsid w:val="0049636A"/>
    <w:pPr>
      <w:spacing w:after="120"/>
      <w:ind w:left="720"/>
      <w:contextualSpacing/>
    </w:pPr>
  </w:style>
  <w:style w:type="paragraph" w:styleId="ListContinue3">
    <w:name w:val="List Continue 3"/>
    <w:basedOn w:val="Normal"/>
    <w:uiPriority w:val="99"/>
    <w:semiHidden/>
    <w:unhideWhenUsed/>
    <w:rsid w:val="0049636A"/>
    <w:pPr>
      <w:spacing w:after="120"/>
      <w:ind w:left="1080"/>
      <w:contextualSpacing/>
    </w:pPr>
  </w:style>
  <w:style w:type="paragraph" w:styleId="ListContinue4">
    <w:name w:val="List Continue 4"/>
    <w:basedOn w:val="Normal"/>
    <w:uiPriority w:val="99"/>
    <w:semiHidden/>
    <w:unhideWhenUsed/>
    <w:rsid w:val="0049636A"/>
    <w:pPr>
      <w:spacing w:after="120"/>
      <w:ind w:left="1440"/>
      <w:contextualSpacing/>
    </w:pPr>
  </w:style>
  <w:style w:type="paragraph" w:styleId="ListContinue5">
    <w:name w:val="List Continue 5"/>
    <w:basedOn w:val="Normal"/>
    <w:uiPriority w:val="99"/>
    <w:semiHidden/>
    <w:unhideWhenUsed/>
    <w:rsid w:val="0049636A"/>
    <w:pPr>
      <w:spacing w:after="120"/>
      <w:ind w:left="1800"/>
      <w:contextualSpacing/>
    </w:pPr>
  </w:style>
  <w:style w:type="paragraph" w:styleId="ListNumber">
    <w:name w:val="List Number"/>
    <w:basedOn w:val="Normal"/>
    <w:uiPriority w:val="99"/>
    <w:semiHidden/>
    <w:unhideWhenUsed/>
    <w:rsid w:val="0049636A"/>
    <w:pPr>
      <w:numPr>
        <w:numId w:val="6"/>
      </w:numPr>
      <w:contextualSpacing/>
    </w:pPr>
  </w:style>
  <w:style w:type="paragraph" w:styleId="ListNumber2">
    <w:name w:val="List Number 2"/>
    <w:basedOn w:val="Normal"/>
    <w:uiPriority w:val="99"/>
    <w:semiHidden/>
    <w:unhideWhenUsed/>
    <w:rsid w:val="0049636A"/>
    <w:pPr>
      <w:numPr>
        <w:numId w:val="7"/>
      </w:numPr>
      <w:contextualSpacing/>
    </w:pPr>
  </w:style>
  <w:style w:type="paragraph" w:styleId="ListNumber3">
    <w:name w:val="List Number 3"/>
    <w:basedOn w:val="Normal"/>
    <w:uiPriority w:val="99"/>
    <w:semiHidden/>
    <w:unhideWhenUsed/>
    <w:rsid w:val="0049636A"/>
    <w:pPr>
      <w:numPr>
        <w:numId w:val="8"/>
      </w:numPr>
      <w:contextualSpacing/>
    </w:pPr>
  </w:style>
  <w:style w:type="paragraph" w:styleId="ListNumber4">
    <w:name w:val="List Number 4"/>
    <w:basedOn w:val="Normal"/>
    <w:uiPriority w:val="99"/>
    <w:semiHidden/>
    <w:unhideWhenUsed/>
    <w:rsid w:val="0049636A"/>
    <w:pPr>
      <w:numPr>
        <w:numId w:val="9"/>
      </w:numPr>
      <w:contextualSpacing/>
    </w:pPr>
  </w:style>
  <w:style w:type="paragraph" w:styleId="ListNumber5">
    <w:name w:val="List Number 5"/>
    <w:basedOn w:val="Normal"/>
    <w:uiPriority w:val="99"/>
    <w:semiHidden/>
    <w:unhideWhenUsed/>
    <w:rsid w:val="0049636A"/>
    <w:pPr>
      <w:numPr>
        <w:numId w:val="10"/>
      </w:numPr>
      <w:contextualSpacing/>
    </w:pPr>
  </w:style>
  <w:style w:type="paragraph" w:styleId="ListParagraph">
    <w:name w:val="List Paragraph"/>
    <w:basedOn w:val="Normal"/>
    <w:uiPriority w:val="34"/>
    <w:qFormat/>
    <w:rsid w:val="0049636A"/>
    <w:pPr>
      <w:ind w:left="720"/>
      <w:contextualSpacing/>
    </w:pPr>
  </w:style>
  <w:style w:type="paragraph" w:styleId="MacroText">
    <w:name w:val="macro"/>
    <w:link w:val="MacroTextChar"/>
    <w:uiPriority w:val="99"/>
    <w:semiHidden/>
    <w:unhideWhenUsed/>
    <w:rsid w:val="0049636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49636A"/>
    <w:rPr>
      <w:rFonts w:ascii="Consolas" w:hAnsi="Consolas" w:cs="Consolas"/>
      <w:sz w:val="20"/>
      <w:szCs w:val="20"/>
    </w:rPr>
  </w:style>
  <w:style w:type="paragraph" w:styleId="MessageHeader">
    <w:name w:val="Message Header"/>
    <w:basedOn w:val="Normal"/>
    <w:link w:val="MessageHeaderChar"/>
    <w:uiPriority w:val="99"/>
    <w:semiHidden/>
    <w:unhideWhenUsed/>
    <w:rsid w:val="0049636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9636A"/>
    <w:rPr>
      <w:rFonts w:asciiTheme="majorHAnsi" w:eastAsiaTheme="majorEastAsia" w:hAnsiTheme="majorHAnsi" w:cstheme="majorBidi"/>
      <w:sz w:val="24"/>
      <w:szCs w:val="24"/>
      <w:shd w:val="pct20" w:color="auto" w:fill="auto"/>
    </w:rPr>
  </w:style>
  <w:style w:type="paragraph" w:styleId="NoSpacing">
    <w:name w:val="No Spacing"/>
    <w:uiPriority w:val="3"/>
    <w:qFormat/>
    <w:rsid w:val="0049636A"/>
    <w:pPr>
      <w:spacing w:after="0" w:line="240" w:lineRule="auto"/>
    </w:pPr>
  </w:style>
  <w:style w:type="paragraph" w:styleId="NormalWeb">
    <w:name w:val="Normal (Web)"/>
    <w:basedOn w:val="Normal"/>
    <w:uiPriority w:val="99"/>
    <w:semiHidden/>
    <w:unhideWhenUsed/>
    <w:rsid w:val="0049636A"/>
    <w:rPr>
      <w:sz w:val="24"/>
      <w:szCs w:val="24"/>
    </w:rPr>
  </w:style>
  <w:style w:type="paragraph" w:styleId="NormalIndent">
    <w:name w:val="Normal Indent"/>
    <w:basedOn w:val="Normal"/>
    <w:uiPriority w:val="99"/>
    <w:semiHidden/>
    <w:unhideWhenUsed/>
    <w:rsid w:val="0049636A"/>
    <w:pPr>
      <w:ind w:left="720"/>
    </w:pPr>
  </w:style>
  <w:style w:type="paragraph" w:styleId="NoteHeading">
    <w:name w:val="Note Heading"/>
    <w:basedOn w:val="Normal"/>
    <w:next w:val="Normal"/>
    <w:link w:val="NoteHeadingChar"/>
    <w:uiPriority w:val="99"/>
    <w:semiHidden/>
    <w:unhideWhenUsed/>
    <w:rsid w:val="0049636A"/>
  </w:style>
  <w:style w:type="character" w:customStyle="1" w:styleId="NoteHeadingChar">
    <w:name w:val="Note Heading Char"/>
    <w:basedOn w:val="DefaultParagraphFont"/>
    <w:link w:val="NoteHeading"/>
    <w:uiPriority w:val="99"/>
    <w:semiHidden/>
    <w:rsid w:val="0049636A"/>
    <w:rPr>
      <w:rFonts w:ascii="Times New Roman" w:hAnsi="Times New Roman" w:cs="Times New Roman"/>
      <w:sz w:val="26"/>
    </w:rPr>
  </w:style>
  <w:style w:type="paragraph" w:styleId="PlainText">
    <w:name w:val="Plain Text"/>
    <w:basedOn w:val="Normal"/>
    <w:link w:val="PlainTextChar"/>
    <w:uiPriority w:val="99"/>
    <w:semiHidden/>
    <w:unhideWhenUsed/>
    <w:rsid w:val="0049636A"/>
    <w:rPr>
      <w:rFonts w:ascii="Consolas" w:hAnsi="Consolas" w:cs="Consolas"/>
      <w:sz w:val="21"/>
      <w:szCs w:val="21"/>
    </w:rPr>
  </w:style>
  <w:style w:type="character" w:customStyle="1" w:styleId="PlainTextChar">
    <w:name w:val="Plain Text Char"/>
    <w:basedOn w:val="DefaultParagraphFont"/>
    <w:link w:val="PlainText"/>
    <w:uiPriority w:val="99"/>
    <w:semiHidden/>
    <w:rsid w:val="0049636A"/>
    <w:rPr>
      <w:rFonts w:ascii="Consolas" w:hAnsi="Consolas" w:cs="Consolas"/>
      <w:sz w:val="21"/>
      <w:szCs w:val="21"/>
    </w:rPr>
  </w:style>
  <w:style w:type="paragraph" w:styleId="Quote">
    <w:name w:val="Quote"/>
    <w:basedOn w:val="Normal"/>
    <w:next w:val="Normal"/>
    <w:link w:val="QuoteChar"/>
    <w:uiPriority w:val="29"/>
    <w:qFormat/>
    <w:rsid w:val="0049636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9636A"/>
    <w:rPr>
      <w:rFonts w:ascii="Times New Roman" w:hAnsi="Times New Roman" w:cs="Times New Roman"/>
      <w:i/>
      <w:iCs/>
      <w:color w:val="404040" w:themeColor="text1" w:themeTint="BF"/>
      <w:sz w:val="26"/>
    </w:rPr>
  </w:style>
  <w:style w:type="paragraph" w:styleId="Salutation">
    <w:name w:val="Salutation"/>
    <w:basedOn w:val="Normal"/>
    <w:next w:val="Normal"/>
    <w:link w:val="SalutationChar"/>
    <w:uiPriority w:val="99"/>
    <w:semiHidden/>
    <w:unhideWhenUsed/>
    <w:rsid w:val="0049636A"/>
  </w:style>
  <w:style w:type="character" w:customStyle="1" w:styleId="SalutationChar">
    <w:name w:val="Salutation Char"/>
    <w:basedOn w:val="DefaultParagraphFont"/>
    <w:link w:val="Salutation"/>
    <w:uiPriority w:val="99"/>
    <w:semiHidden/>
    <w:rsid w:val="0049636A"/>
    <w:rPr>
      <w:rFonts w:ascii="Times New Roman" w:hAnsi="Times New Roman" w:cs="Times New Roman"/>
      <w:sz w:val="26"/>
    </w:rPr>
  </w:style>
  <w:style w:type="paragraph" w:styleId="Signature">
    <w:name w:val="Signature"/>
    <w:basedOn w:val="Normal"/>
    <w:link w:val="SignatureChar"/>
    <w:uiPriority w:val="99"/>
    <w:semiHidden/>
    <w:unhideWhenUsed/>
    <w:rsid w:val="0049636A"/>
    <w:pPr>
      <w:ind w:left="4320"/>
    </w:pPr>
  </w:style>
  <w:style w:type="character" w:customStyle="1" w:styleId="SignatureChar">
    <w:name w:val="Signature Char"/>
    <w:basedOn w:val="DefaultParagraphFont"/>
    <w:link w:val="Signature"/>
    <w:uiPriority w:val="99"/>
    <w:semiHidden/>
    <w:rsid w:val="0049636A"/>
    <w:rPr>
      <w:rFonts w:ascii="Times New Roman" w:hAnsi="Times New Roman" w:cs="Times New Roman"/>
      <w:sz w:val="26"/>
    </w:rPr>
  </w:style>
  <w:style w:type="paragraph" w:styleId="Subtitle">
    <w:name w:val="Subtitle"/>
    <w:basedOn w:val="Normal"/>
    <w:next w:val="Normal"/>
    <w:link w:val="SubtitleChar"/>
    <w:uiPriority w:val="11"/>
    <w:qFormat/>
    <w:rsid w:val="0049636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9636A"/>
    <w:rPr>
      <w:rFonts w:ascii="Times New Roman" w:eastAsiaTheme="minorEastAsia" w:hAnsi="Times New Roman" w:cs="Times New Roman"/>
      <w:color w:val="5A5A5A" w:themeColor="text1" w:themeTint="A5"/>
      <w:spacing w:val="15"/>
      <w:sz w:val="26"/>
    </w:rPr>
  </w:style>
  <w:style w:type="paragraph" w:styleId="TableofAuthorities">
    <w:name w:val="table of authorities"/>
    <w:basedOn w:val="Normal"/>
    <w:next w:val="Normal"/>
    <w:uiPriority w:val="99"/>
    <w:semiHidden/>
    <w:unhideWhenUsed/>
    <w:rsid w:val="0049636A"/>
    <w:pPr>
      <w:ind w:left="220" w:hanging="220"/>
    </w:pPr>
  </w:style>
  <w:style w:type="paragraph" w:styleId="TableofFigures">
    <w:name w:val="table of figures"/>
    <w:basedOn w:val="Normal"/>
    <w:next w:val="Normal"/>
    <w:uiPriority w:val="99"/>
    <w:semiHidden/>
    <w:unhideWhenUsed/>
    <w:rsid w:val="0049636A"/>
  </w:style>
  <w:style w:type="paragraph" w:styleId="Title">
    <w:name w:val="Title"/>
    <w:basedOn w:val="Normal"/>
    <w:next w:val="Normal"/>
    <w:link w:val="TitleChar"/>
    <w:uiPriority w:val="10"/>
    <w:qFormat/>
    <w:rsid w:val="0049636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36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9636A"/>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49636A"/>
    <w:pPr>
      <w:spacing w:after="100"/>
    </w:pPr>
  </w:style>
  <w:style w:type="paragraph" w:styleId="TOC2">
    <w:name w:val="toc 2"/>
    <w:basedOn w:val="Normal"/>
    <w:next w:val="Normal"/>
    <w:uiPriority w:val="39"/>
    <w:semiHidden/>
    <w:unhideWhenUsed/>
    <w:rsid w:val="0049636A"/>
    <w:pPr>
      <w:spacing w:after="100"/>
      <w:ind w:left="220"/>
    </w:pPr>
  </w:style>
  <w:style w:type="paragraph" w:styleId="TOC3">
    <w:name w:val="toc 3"/>
    <w:basedOn w:val="Normal"/>
    <w:next w:val="Normal"/>
    <w:uiPriority w:val="39"/>
    <w:semiHidden/>
    <w:unhideWhenUsed/>
    <w:rsid w:val="0049636A"/>
    <w:pPr>
      <w:spacing w:after="100"/>
      <w:ind w:left="440"/>
    </w:pPr>
  </w:style>
  <w:style w:type="paragraph" w:styleId="TOC4">
    <w:name w:val="toc 4"/>
    <w:basedOn w:val="Normal"/>
    <w:next w:val="Normal"/>
    <w:uiPriority w:val="39"/>
    <w:semiHidden/>
    <w:unhideWhenUsed/>
    <w:rsid w:val="0049636A"/>
    <w:pPr>
      <w:spacing w:after="100"/>
      <w:ind w:left="660"/>
    </w:pPr>
  </w:style>
  <w:style w:type="paragraph" w:styleId="TOC5">
    <w:name w:val="toc 5"/>
    <w:basedOn w:val="Normal"/>
    <w:next w:val="Normal"/>
    <w:uiPriority w:val="39"/>
    <w:semiHidden/>
    <w:unhideWhenUsed/>
    <w:rsid w:val="0049636A"/>
    <w:pPr>
      <w:spacing w:after="100"/>
      <w:ind w:left="880"/>
    </w:pPr>
  </w:style>
  <w:style w:type="paragraph" w:styleId="TOC6">
    <w:name w:val="toc 6"/>
    <w:basedOn w:val="Normal"/>
    <w:next w:val="Normal"/>
    <w:uiPriority w:val="39"/>
    <w:semiHidden/>
    <w:unhideWhenUsed/>
    <w:rsid w:val="0049636A"/>
    <w:pPr>
      <w:spacing w:after="100"/>
      <w:ind w:left="1100"/>
    </w:pPr>
  </w:style>
  <w:style w:type="paragraph" w:styleId="TOC7">
    <w:name w:val="toc 7"/>
    <w:basedOn w:val="Normal"/>
    <w:next w:val="Normal"/>
    <w:uiPriority w:val="39"/>
    <w:semiHidden/>
    <w:unhideWhenUsed/>
    <w:rsid w:val="0049636A"/>
    <w:pPr>
      <w:spacing w:after="100"/>
      <w:ind w:left="1320"/>
    </w:pPr>
  </w:style>
  <w:style w:type="paragraph" w:styleId="TOC8">
    <w:name w:val="toc 8"/>
    <w:basedOn w:val="Normal"/>
    <w:next w:val="Normal"/>
    <w:uiPriority w:val="39"/>
    <w:semiHidden/>
    <w:unhideWhenUsed/>
    <w:rsid w:val="0049636A"/>
    <w:pPr>
      <w:spacing w:after="100"/>
      <w:ind w:left="1540"/>
    </w:pPr>
  </w:style>
  <w:style w:type="paragraph" w:styleId="TOC9">
    <w:name w:val="toc 9"/>
    <w:basedOn w:val="Normal"/>
    <w:next w:val="Normal"/>
    <w:uiPriority w:val="39"/>
    <w:semiHidden/>
    <w:unhideWhenUsed/>
    <w:rsid w:val="0049636A"/>
    <w:pPr>
      <w:spacing w:after="100"/>
      <w:ind w:left="1760"/>
    </w:pPr>
  </w:style>
  <w:style w:type="paragraph" w:styleId="TOCHeading">
    <w:name w:val="TOC Heading"/>
    <w:basedOn w:val="Heading1"/>
    <w:next w:val="Normal"/>
    <w:uiPriority w:val="39"/>
    <w:semiHidden/>
    <w:unhideWhenUsed/>
    <w:qFormat/>
    <w:rsid w:val="0049636A"/>
    <w:pPr>
      <w:numPr>
        <w:numId w:val="0"/>
      </w:numPr>
      <w:outlineLvl w:val="9"/>
    </w:pPr>
  </w:style>
  <w:style w:type="paragraph" w:customStyle="1" w:styleId="FERCparanumber">
    <w:name w:val="FERC paranumber"/>
    <w:basedOn w:val="Normal"/>
    <w:link w:val="FERCparanumberChar"/>
    <w:qFormat/>
    <w:rsid w:val="008A4DBD"/>
    <w:pPr>
      <w:widowControl/>
      <w:numPr>
        <w:numId w:val="11"/>
      </w:numPr>
      <w:spacing w:line="480" w:lineRule="auto"/>
    </w:pPr>
  </w:style>
  <w:style w:type="character" w:customStyle="1" w:styleId="FERCparanumberChar">
    <w:name w:val="FERC paranumber Char"/>
    <w:basedOn w:val="DefaultParagraphFont"/>
    <w:link w:val="FERCparanumber"/>
    <w:rsid w:val="008A4DBD"/>
    <w:rPr>
      <w:rFonts w:ascii="Times New Roman" w:hAnsi="Times New Roman" w:cs="Times New Roman"/>
      <w:sz w:val="26"/>
    </w:rPr>
  </w:style>
  <w:style w:type="character" w:styleId="PageNumber">
    <w:name w:val="page number"/>
    <w:basedOn w:val="DefaultParagraphFont"/>
    <w:rsid w:val="0049636A"/>
  </w:style>
  <w:style w:type="table" w:styleId="TableGrid">
    <w:name w:val="Table Grid"/>
    <w:basedOn w:val="TableNormal"/>
    <w:rsid w:val="0049636A"/>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636A"/>
    <w:rPr>
      <w:color w:val="0563C1" w:themeColor="hyperlink"/>
      <w:u w:val="single"/>
    </w:rPr>
  </w:style>
  <w:style w:type="character" w:customStyle="1" w:styleId="Heading1Char">
    <w:name w:val="Heading 1 Char"/>
    <w:basedOn w:val="DefaultParagraphFont"/>
    <w:link w:val="Heading1"/>
    <w:uiPriority w:val="9"/>
    <w:rsid w:val="0049636A"/>
    <w:rPr>
      <w:rFonts w:ascii="Times New Roman" w:eastAsiaTheme="majorEastAsia" w:hAnsi="Times New Roman" w:cs="Times New Roman"/>
      <w:b/>
      <w:kern w:val="32"/>
      <w:sz w:val="26"/>
      <w:szCs w:val="32"/>
      <w:u w:val="single"/>
    </w:rPr>
  </w:style>
  <w:style w:type="character" w:customStyle="1" w:styleId="Heading2Char">
    <w:name w:val="Heading 2 Char"/>
    <w:basedOn w:val="DefaultParagraphFont"/>
    <w:link w:val="Heading2"/>
    <w:uiPriority w:val="9"/>
    <w:rsid w:val="0049636A"/>
    <w:rPr>
      <w:rFonts w:ascii="Times New Roman" w:eastAsiaTheme="majorEastAsia" w:hAnsi="Times New Roman" w:cs="Times New Roman"/>
      <w:b/>
      <w:kern w:val="32"/>
      <w:sz w:val="26"/>
      <w:szCs w:val="26"/>
      <w:u w:val="single"/>
    </w:rPr>
  </w:style>
  <w:style w:type="paragraph" w:styleId="FootnoteText">
    <w:name w:val="footnote text"/>
    <w:aliases w:val="Footnote Text Char1 Char,Footnote Text Char Char Char,Footnote Text Char1,Footnote Text Char Char,Footnote Text Char Char1,fn,Footnote Text MRP,Footnote Text Char3,Footnote Text Char2 Char,ft Char,Footnote Text Char1 Char Char Char1,ft,f,c"/>
    <w:basedOn w:val="Normal"/>
    <w:link w:val="FootnoteTextChar"/>
    <w:uiPriority w:val="99"/>
    <w:unhideWhenUsed/>
    <w:rsid w:val="0049636A"/>
    <w:pPr>
      <w:spacing w:after="260"/>
      <w:ind w:firstLine="720"/>
    </w:pPr>
    <w:rPr>
      <w:szCs w:val="20"/>
    </w:rPr>
  </w:style>
  <w:style w:type="character" w:styleId="FootnoteReference">
    <w:name w:val="footnote reference"/>
    <w:aliases w:val="o,fr,o1,fr1,o2,fr2,o3,fr3,Style 12,Style 15,Style 17,Style 9,Style 18,(NECG) Footnote Reference,Style 20,Style 7,Style 8,Style 19,Styl,Style 28,Style 11,Style 16,Footnote Reference (EIS),fnr,Footnote reference (EA),Style 30,.,Style 13"/>
    <w:basedOn w:val="DefaultParagraphFont"/>
    <w:uiPriority w:val="99"/>
    <w:unhideWhenUsed/>
    <w:rsid w:val="0049636A"/>
    <w:rPr>
      <w:rFonts w:ascii="Times New Roman" w:hAnsi="Times New Roman" w:cs="Times New Roman"/>
      <w:b/>
      <w:sz w:val="26"/>
      <w:vertAlign w:val="superscript"/>
    </w:rPr>
  </w:style>
  <w:style w:type="paragraph" w:customStyle="1" w:styleId="FERCNopara">
    <w:name w:val="FERC Nopara"/>
    <w:basedOn w:val="Normal"/>
    <w:uiPriority w:val="1"/>
    <w:qFormat/>
    <w:rsid w:val="0049636A"/>
    <w:pPr>
      <w:spacing w:after="260"/>
      <w:ind w:firstLine="720"/>
    </w:pPr>
  </w:style>
  <w:style w:type="character" w:styleId="CommentReference">
    <w:name w:val="annotation reference"/>
    <w:basedOn w:val="DefaultParagraphFont"/>
    <w:uiPriority w:val="99"/>
    <w:semiHidden/>
    <w:unhideWhenUsed/>
    <w:rsid w:val="0049636A"/>
    <w:rPr>
      <w:sz w:val="16"/>
      <w:szCs w:val="16"/>
    </w:rPr>
  </w:style>
  <w:style w:type="character" w:styleId="UnresolvedMention">
    <w:name w:val="Unresolved Mention"/>
    <w:basedOn w:val="DefaultParagraphFont"/>
    <w:uiPriority w:val="99"/>
    <w:unhideWhenUsed/>
    <w:rsid w:val="0049636A"/>
    <w:rPr>
      <w:color w:val="605E5C"/>
      <w:shd w:val="clear" w:color="auto" w:fill="E1DFDD"/>
    </w:rPr>
  </w:style>
  <w:style w:type="character" w:customStyle="1" w:styleId="FootnoteTextChar">
    <w:name w:val="Footnote Text Char"/>
    <w:aliases w:val="Footnote Text Char1 Char Char,Footnote Text Char Char Char Char,Footnote Text Char1 Char1,Footnote Text Char Char Char1,Footnote Text Char Char1 Char,fn Char,Footnote Text MRP Char,Footnote Text Char3 Char,ft Char Char,ft Char1,f Char"/>
    <w:link w:val="FootnoteText"/>
    <w:uiPriority w:val="99"/>
    <w:rsid w:val="00AC4543"/>
    <w:rPr>
      <w:rFonts w:ascii="Times New Roman" w:hAnsi="Times New Roman" w:cs="Times New Roman"/>
      <w:sz w:val="26"/>
      <w:szCs w:val="20"/>
    </w:rPr>
  </w:style>
  <w:style w:type="paragraph" w:styleId="Revision">
    <w:name w:val="Revision"/>
    <w:hidden/>
    <w:uiPriority w:val="99"/>
    <w:semiHidden/>
    <w:rsid w:val="00BC0D3E"/>
    <w:pPr>
      <w:spacing w:after="0" w:line="240" w:lineRule="auto"/>
    </w:pPr>
    <w:rPr>
      <w:rFonts w:ascii="Times New Roman" w:hAnsi="Times New Roman" w:cs="Times New Roman"/>
      <w:sz w:val="26"/>
    </w:rPr>
  </w:style>
  <w:style w:type="character" w:styleId="Mention">
    <w:name w:val="Mention"/>
    <w:basedOn w:val="DefaultParagraphFont"/>
    <w:uiPriority w:val="99"/>
    <w:unhideWhenUsed/>
    <w:rsid w:val="00776A4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455352">
      <w:bodyDiv w:val="1"/>
      <w:marLeft w:val="0"/>
      <w:marRight w:val="0"/>
      <w:marTop w:val="0"/>
      <w:marBottom w:val="0"/>
      <w:divBdr>
        <w:top w:val="none" w:sz="0" w:space="0" w:color="auto"/>
        <w:left w:val="none" w:sz="0" w:space="0" w:color="auto"/>
        <w:bottom w:val="none" w:sz="0" w:space="0" w:color="auto"/>
        <w:right w:val="none" w:sz="0" w:space="0" w:color="auto"/>
      </w:divBdr>
    </w:div>
    <w:div w:id="1474518376">
      <w:bodyDiv w:val="1"/>
      <w:marLeft w:val="0"/>
      <w:marRight w:val="0"/>
      <w:marTop w:val="0"/>
      <w:marBottom w:val="0"/>
      <w:divBdr>
        <w:top w:val="none" w:sz="0" w:space="0" w:color="auto"/>
        <w:left w:val="none" w:sz="0" w:space="0" w:color="auto"/>
        <w:bottom w:val="none" w:sz="0" w:space="0" w:color="auto"/>
        <w:right w:val="none" w:sz="0" w:space="0" w:color="auto"/>
      </w:divBdr>
    </w:div>
    <w:div w:id="166254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mso-contentType ?>
<SharedContentType xmlns="Microsoft.SharePoint.Taxonomy.ContentTypeSync" SourceId="74a4cd09-5f17-433b-814a-38e7e9115d16"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4FAF26-087B-4076-998A-49F77DC82174}">
  <ds:schemaRefs>
    <ds:schemaRef ds:uri="http://schemas.microsoft.com/office/2006/metadata/properties"/>
    <ds:schemaRef ds:uri="http://schemas.microsoft.com/office/infopath/2007/PartnerControls"/>
    <ds:schemaRef ds:uri="5e8733a2-e908-454b-85cf-c9d17e1d0943"/>
  </ds:schemaRefs>
</ds:datastoreItem>
</file>

<file path=customXml/itemProps2.xml><?xml version="1.0" encoding="utf-8"?>
<ds:datastoreItem xmlns:ds="http://schemas.openxmlformats.org/officeDocument/2006/customXml" ds:itemID="{59731DCF-B9CA-4341-B48F-638C4A4D6D40}">
  <ds:schemaRefs>
    <ds:schemaRef ds:uri="Microsoft.SharePoint.Taxonomy.ContentTypeSync"/>
  </ds:schemaRefs>
</ds:datastoreItem>
</file>

<file path=customXml/itemProps3.xml><?xml version="1.0" encoding="utf-8"?>
<ds:datastoreItem xmlns:ds="http://schemas.openxmlformats.org/officeDocument/2006/customXml" ds:itemID="{22CBB265-3F9B-47B7-8709-B6079C2B78D5}">
  <ds:schemaRefs>
    <ds:schemaRef ds:uri="http://schemas.microsoft.com/sharepoint/v3/contenttype/forms"/>
  </ds:schemaRefs>
</ds:datastoreItem>
</file>

<file path=customXml/itemProps4.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5.xml><?xml version="1.0" encoding="utf-8"?>
<ds:datastoreItem xmlns:ds="http://schemas.openxmlformats.org/officeDocument/2006/customXml" ds:itemID="{00E6B094-F75B-4552-A411-1EFA62FC4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3335</Words>
  <Characters>19016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RM19-17-0010 Electric Reliability Organization Proposal to Retire Requirements in Reliability Standards Under the NERC Standards Efficiency Review</vt:lpstr>
    </vt:vector>
  </TitlesOfParts>
  <Manager/>
  <Company/>
  <LinksUpToDate>false</LinksUpToDate>
  <CharactersWithSpaces>22307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Trum</dc:creator>
  <cp:keywords/>
  <dc:description/>
  <cp:lastModifiedBy>Caroline Trum</cp:lastModifiedBy>
  <cp:revision>2</cp:revision>
  <dcterms:created xsi:type="dcterms:W3CDTF">2023-10-27T15:08:00Z</dcterms:created>
  <dcterms:modified xsi:type="dcterms:W3CDTF">2023-10-27T15:08:00Z</dcterms:modified>
  <cp:category/>
  <dc:identifier/>
  <cp:contentStatus/>
  <cp:version/>
</cp:coreProperties>
</file>