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40827" w14:textId="10209114" w:rsidR="001624A2" w:rsidRPr="001624A2" w:rsidRDefault="001624A2" w:rsidP="007C0C74">
      <w:pPr>
        <w:jc w:val="center"/>
      </w:pPr>
      <w:bookmarkStart w:id="0" w:name="_GoBack"/>
      <w:bookmarkEnd w:id="0"/>
      <w:r>
        <w:t>156 FERC ¶ 61,055</w:t>
      </w:r>
    </w:p>
    <w:p w14:paraId="231749F7" w14:textId="77777777" w:rsidR="00A123E5" w:rsidRPr="00554D11" w:rsidRDefault="00A123E5" w:rsidP="007C0C74">
      <w:pPr>
        <w:jc w:val="center"/>
      </w:pPr>
      <w:r w:rsidRPr="00554D11">
        <w:t>UNITED STATES OF AMERICA</w:t>
      </w:r>
    </w:p>
    <w:p w14:paraId="4F7D578E" w14:textId="77777777" w:rsidR="00A123E5" w:rsidRPr="00554D11" w:rsidRDefault="00A123E5" w:rsidP="00DD00E0">
      <w:pPr>
        <w:spacing w:after="240"/>
        <w:jc w:val="center"/>
      </w:pPr>
      <w:r w:rsidRPr="00554D11">
        <w:t>FEDERAL ENERGY REGULATORY COMMISSION</w:t>
      </w:r>
    </w:p>
    <w:p w14:paraId="1694BFBA" w14:textId="77777777" w:rsidR="00A123E5" w:rsidRPr="00554D11" w:rsidRDefault="00A123E5" w:rsidP="001E2405">
      <w:pPr>
        <w:spacing w:after="240"/>
        <w:jc w:val="center"/>
      </w:pPr>
      <w:r w:rsidRPr="00554D11">
        <w:t xml:space="preserve">18 CFR </w:t>
      </w:r>
      <w:proofErr w:type="gramStart"/>
      <w:r w:rsidRPr="00554D11">
        <w:t>Part</w:t>
      </w:r>
      <w:proofErr w:type="gramEnd"/>
      <w:r w:rsidRPr="00554D11">
        <w:t xml:space="preserve"> 38</w:t>
      </w:r>
    </w:p>
    <w:p w14:paraId="638BED94" w14:textId="77777777" w:rsidR="00A123E5" w:rsidRPr="00554D11" w:rsidRDefault="002D443A" w:rsidP="001E2405">
      <w:pPr>
        <w:spacing w:after="240"/>
        <w:jc w:val="center"/>
      </w:pPr>
      <w:r w:rsidRPr="00554D11">
        <w:t>[Docket No. RM05-5-</w:t>
      </w:r>
      <w:r w:rsidR="00514B11" w:rsidRPr="00554D11">
        <w:t>025</w:t>
      </w:r>
      <w:r w:rsidR="00A123E5" w:rsidRPr="00554D11">
        <w:t>]</w:t>
      </w:r>
    </w:p>
    <w:p w14:paraId="0A262AA6" w14:textId="77777777" w:rsidR="00A123E5" w:rsidRPr="00554D11" w:rsidRDefault="00A123E5" w:rsidP="001E2405">
      <w:pPr>
        <w:spacing w:after="240"/>
        <w:jc w:val="center"/>
      </w:pPr>
      <w:r w:rsidRPr="00554D11">
        <w:t>Standards for Business Practices and Communication Protocols for Public Utilities</w:t>
      </w:r>
    </w:p>
    <w:p w14:paraId="753EDAA6" w14:textId="08FF43E5" w:rsidR="00A123E5" w:rsidRDefault="001624A2" w:rsidP="001624A2">
      <w:pPr>
        <w:widowControl/>
        <w:jc w:val="center"/>
      </w:pPr>
      <w:r w:rsidRPr="001624A2">
        <w:t>(July 2</w:t>
      </w:r>
      <w:r>
        <w:t>1</w:t>
      </w:r>
      <w:r w:rsidRPr="001624A2">
        <w:t>, 2016)</w:t>
      </w:r>
    </w:p>
    <w:p w14:paraId="6D88DF38" w14:textId="77777777" w:rsidR="001624A2" w:rsidRPr="001624A2" w:rsidRDefault="001624A2" w:rsidP="001624A2">
      <w:pPr>
        <w:widowControl/>
      </w:pPr>
    </w:p>
    <w:p w14:paraId="075702ED" w14:textId="77777777" w:rsidR="00A123E5" w:rsidRPr="00554D11" w:rsidRDefault="00A123E5" w:rsidP="007C0C74">
      <w:pPr>
        <w:spacing w:line="480" w:lineRule="auto"/>
      </w:pPr>
      <w:r w:rsidRPr="00554D11">
        <w:rPr>
          <w:u w:val="single"/>
        </w:rPr>
        <w:t>AGENCY</w:t>
      </w:r>
      <w:r w:rsidRPr="00554D11">
        <w:t>:  Federal Energy Regulatory Commission.</w:t>
      </w:r>
    </w:p>
    <w:p w14:paraId="3017F1E0" w14:textId="77777777" w:rsidR="00A123E5" w:rsidRPr="00554D11" w:rsidRDefault="00A123E5" w:rsidP="007C0C74">
      <w:pPr>
        <w:spacing w:line="480" w:lineRule="auto"/>
      </w:pPr>
      <w:r w:rsidRPr="00554D11">
        <w:rPr>
          <w:u w:val="single"/>
        </w:rPr>
        <w:t>ACTION</w:t>
      </w:r>
      <w:r w:rsidRPr="00554D11">
        <w:t xml:space="preserve">:  Notice of </w:t>
      </w:r>
      <w:r w:rsidR="00294E28" w:rsidRPr="00554D11">
        <w:t>p</w:t>
      </w:r>
      <w:r w:rsidRPr="00554D11">
        <w:t xml:space="preserve">roposed </w:t>
      </w:r>
      <w:r w:rsidR="00294E28" w:rsidRPr="00554D11">
        <w:t>r</w:t>
      </w:r>
      <w:r w:rsidRPr="00554D11">
        <w:t>ulemaking.</w:t>
      </w:r>
    </w:p>
    <w:p w14:paraId="21A6E58F" w14:textId="53E92683" w:rsidR="00A123E5" w:rsidRPr="00554D11" w:rsidRDefault="00A123E5">
      <w:pPr>
        <w:tabs>
          <w:tab w:val="left" w:pos="720"/>
          <w:tab w:val="left" w:pos="1440"/>
          <w:tab w:val="left" w:pos="4320"/>
          <w:tab w:val="left" w:pos="5040"/>
          <w:tab w:val="left" w:pos="5760"/>
          <w:tab w:val="left" w:pos="6480"/>
          <w:tab w:val="left" w:pos="7200"/>
        </w:tabs>
        <w:spacing w:line="480" w:lineRule="auto"/>
      </w:pPr>
      <w:r w:rsidRPr="00554D11">
        <w:rPr>
          <w:u w:val="single"/>
        </w:rPr>
        <w:t>SUMMARY</w:t>
      </w:r>
      <w:r w:rsidRPr="00554D11">
        <w:t xml:space="preserve">:  The Federal Energy Regulatory Commission </w:t>
      </w:r>
      <w:r w:rsidR="006E1C67">
        <w:t xml:space="preserve">(Commission) </w:t>
      </w:r>
      <w:r w:rsidRPr="00554D11">
        <w:t xml:space="preserve">proposes to incorporate by reference </w:t>
      </w:r>
      <w:r w:rsidR="00A34F1E" w:rsidRPr="00554D11">
        <w:t>the latest version (</w:t>
      </w:r>
      <w:r w:rsidR="00057A3B" w:rsidRPr="00554D11">
        <w:t>Version 003</w:t>
      </w:r>
      <w:r w:rsidR="00A34F1E" w:rsidRPr="00554D11">
        <w:t xml:space="preserve">.1) </w:t>
      </w:r>
      <w:r w:rsidRPr="00554D11">
        <w:t xml:space="preserve">of </w:t>
      </w:r>
      <w:r w:rsidR="00A34F1E" w:rsidRPr="00554D11">
        <w:t>certain</w:t>
      </w:r>
      <w:r w:rsidRPr="00554D11">
        <w:t xml:space="preserve"> Standards for Business Practices and Communication Protocols for Public Utilities adopted by the Wholesale Electric Quadrant (WEQ) of the North American Energy Standards </w:t>
      </w:r>
      <w:r w:rsidR="00EF3198" w:rsidRPr="00554D11">
        <w:t>Board (NAESB).  These standards</w:t>
      </w:r>
      <w:r w:rsidR="005A0DC4" w:rsidRPr="00554D11">
        <w:t xml:space="preserve"> </w:t>
      </w:r>
      <w:r w:rsidR="008553BA" w:rsidRPr="00554D11">
        <w:t xml:space="preserve">mainly </w:t>
      </w:r>
      <w:r w:rsidRPr="00554D11">
        <w:t xml:space="preserve">modify </w:t>
      </w:r>
      <w:r w:rsidR="00180FC0" w:rsidRPr="00554D11">
        <w:t xml:space="preserve">and update </w:t>
      </w:r>
      <w:r w:rsidRPr="00554D11">
        <w:t>NAESB’s WEQ Version 00</w:t>
      </w:r>
      <w:r w:rsidR="00A34F1E" w:rsidRPr="00554D11">
        <w:t>3</w:t>
      </w:r>
      <w:r w:rsidR="005A0DC4" w:rsidRPr="00554D11">
        <w:t xml:space="preserve"> </w:t>
      </w:r>
      <w:r w:rsidRPr="00554D11">
        <w:t>Standards.</w:t>
      </w:r>
      <w:r w:rsidR="00D938F5" w:rsidRPr="00554D11">
        <w:t xml:space="preserve">  </w:t>
      </w:r>
      <w:r w:rsidR="006E1C67">
        <w:t xml:space="preserve">The </w:t>
      </w:r>
      <w:r w:rsidR="006E1C67" w:rsidRPr="006E1C67">
        <w:t xml:space="preserve">Commission </w:t>
      </w:r>
      <w:r w:rsidR="00D938F5" w:rsidRPr="00554D11">
        <w:t>also propose</w:t>
      </w:r>
      <w:r w:rsidR="006E1C67">
        <w:t>s</w:t>
      </w:r>
      <w:r w:rsidR="00D938F5" w:rsidRPr="00554D11">
        <w:t xml:space="preserve"> to </w:t>
      </w:r>
      <w:r w:rsidR="00EF6AB2" w:rsidRPr="00554D11">
        <w:t xml:space="preserve">revise </w:t>
      </w:r>
      <w:r w:rsidR="006E1C67">
        <w:t>its</w:t>
      </w:r>
      <w:r w:rsidR="00EF6AB2" w:rsidRPr="00554D11">
        <w:t xml:space="preserve"> regulations to incorporate</w:t>
      </w:r>
      <w:r w:rsidR="00D938F5" w:rsidRPr="00554D11">
        <w:t xml:space="preserve"> NAESB’s updated Smart Grid Business Practice Standards</w:t>
      </w:r>
      <w:r w:rsidR="00EF6AB2" w:rsidRPr="00554D11">
        <w:t xml:space="preserve"> in the Commission’s General Policy and Interpretations</w:t>
      </w:r>
      <w:r w:rsidR="00D938F5" w:rsidRPr="00554D11">
        <w:t>.</w:t>
      </w:r>
    </w:p>
    <w:p w14:paraId="1AC167DB" w14:textId="77777777" w:rsidR="00A123E5" w:rsidRPr="00554D11" w:rsidRDefault="00A123E5" w:rsidP="007C0C74">
      <w:pPr>
        <w:spacing w:line="480" w:lineRule="auto"/>
      </w:pPr>
      <w:r w:rsidRPr="00554D11">
        <w:rPr>
          <w:u w:val="single"/>
        </w:rPr>
        <w:t>DATES</w:t>
      </w:r>
      <w:r w:rsidRPr="00554D11">
        <w:t>:  Comments are due</w:t>
      </w:r>
      <w:r w:rsidRPr="00554D11">
        <w:rPr>
          <w:b/>
        </w:rPr>
        <w:t xml:space="preserve"> [INSERT DATE 60 days after publication in the FEDERAL REGISTER].</w:t>
      </w:r>
    </w:p>
    <w:p w14:paraId="08BA0C49" w14:textId="77777777" w:rsidR="00A123E5" w:rsidRDefault="00A123E5" w:rsidP="007C0C74">
      <w:pPr>
        <w:spacing w:line="480" w:lineRule="auto"/>
      </w:pPr>
      <w:r w:rsidRPr="00554D11">
        <w:rPr>
          <w:u w:val="single"/>
        </w:rPr>
        <w:t>ADDRESSES</w:t>
      </w:r>
      <w:r w:rsidRPr="00554D11">
        <w:t>:  Comments, identified by Docket No. RM05-5-</w:t>
      </w:r>
      <w:proofErr w:type="gramStart"/>
      <w:r w:rsidR="00514B11" w:rsidRPr="00554D11">
        <w:t>025</w:t>
      </w:r>
      <w:r w:rsidRPr="00554D11">
        <w:t>,</w:t>
      </w:r>
      <w:proofErr w:type="gramEnd"/>
      <w:r w:rsidRPr="00554D11">
        <w:t xml:space="preserve"> may be filed in the following ways:</w:t>
      </w:r>
    </w:p>
    <w:p w14:paraId="5A8E18BC" w14:textId="77777777" w:rsidR="00854869" w:rsidRDefault="00854869">
      <w:pPr>
        <w:widowControl/>
        <w:autoSpaceDE/>
        <w:autoSpaceDN/>
        <w:adjustRightInd/>
      </w:pPr>
      <w:r>
        <w:br w:type="page"/>
      </w:r>
    </w:p>
    <w:p w14:paraId="64760A2F" w14:textId="277BFC63" w:rsidR="00A123E5" w:rsidRPr="00554D11" w:rsidRDefault="00A123E5" w:rsidP="001E2405">
      <w:pPr>
        <w:numPr>
          <w:ilvl w:val="0"/>
          <w:numId w:val="26"/>
        </w:numPr>
        <w:spacing w:after="240" w:line="480" w:lineRule="auto"/>
      </w:pPr>
      <w:r w:rsidRPr="00554D11">
        <w:lastRenderedPageBreak/>
        <w:t xml:space="preserve">Electronic Filing through </w:t>
      </w:r>
      <w:hyperlink r:id="rId12" w:history="1">
        <w:r w:rsidRPr="00A954C9">
          <w:rPr>
            <w:rStyle w:val="Hyperlink"/>
            <w:u w:val="none"/>
          </w:rPr>
          <w:t>http://www.ferc.gov</w:t>
        </w:r>
      </w:hyperlink>
      <w:r w:rsidRPr="00554D11">
        <w:t>.  Documents created electronically using word processing software should be filed in native applications or print-to-PDF format and not in a scanned format.</w:t>
      </w:r>
    </w:p>
    <w:p w14:paraId="1F7199B9" w14:textId="77777777" w:rsidR="00A123E5" w:rsidRPr="00554D11" w:rsidRDefault="00A123E5" w:rsidP="00A123E5">
      <w:pPr>
        <w:numPr>
          <w:ilvl w:val="0"/>
          <w:numId w:val="26"/>
        </w:numPr>
        <w:spacing w:line="480" w:lineRule="auto"/>
      </w:pPr>
      <w:r w:rsidRPr="00554D11">
        <w:t>Mail/Hand Delivery:  Those unable to file electronically may mail or hand-deliver comments to:  Federal Energy Regulatory Commission, Secretary of the Commission, 888 First Street, NE, Washington, DC</w:t>
      </w:r>
      <w:r w:rsidR="00565C2A" w:rsidRPr="00554D11">
        <w:t xml:space="preserve"> </w:t>
      </w:r>
      <w:r w:rsidRPr="00554D11">
        <w:t xml:space="preserve"> 20426.</w:t>
      </w:r>
    </w:p>
    <w:p w14:paraId="64231038" w14:textId="77777777" w:rsidR="00A123E5" w:rsidRPr="00554D11" w:rsidRDefault="00A123E5" w:rsidP="007C0C74">
      <w:pPr>
        <w:spacing w:line="480" w:lineRule="auto"/>
      </w:pPr>
      <w:r w:rsidRPr="00554D11">
        <w:rPr>
          <w:u w:val="single"/>
        </w:rPr>
        <w:t>I</w:t>
      </w:r>
      <w:r w:rsidR="00BB2105" w:rsidRPr="00554D11">
        <w:rPr>
          <w:u w:val="single"/>
        </w:rPr>
        <w:t>NSTRUCTIONS</w:t>
      </w:r>
      <w:r w:rsidRPr="00554D11">
        <w:t>:  For detailed instructions on submitting comments and additional information on the rulemaking process, see the Comment Procedures Section of this document.</w:t>
      </w:r>
    </w:p>
    <w:p w14:paraId="30320F28" w14:textId="77777777" w:rsidR="00A123E5" w:rsidRPr="00554D11" w:rsidRDefault="00A123E5" w:rsidP="001E2405">
      <w:pPr>
        <w:spacing w:after="240"/>
      </w:pPr>
      <w:r w:rsidRPr="00554D11">
        <w:rPr>
          <w:u w:val="single"/>
        </w:rPr>
        <w:t>FOR FURTHER INFORMATION CONTACT</w:t>
      </w:r>
      <w:r w:rsidRPr="00554D11">
        <w:t>:</w:t>
      </w:r>
    </w:p>
    <w:p w14:paraId="0B7C5111" w14:textId="77777777" w:rsidR="00A123E5" w:rsidRPr="00554D11" w:rsidRDefault="005A0DC4" w:rsidP="007C0C74">
      <w:r w:rsidRPr="00554D11">
        <w:t>Michael P. Lee</w:t>
      </w:r>
      <w:r w:rsidR="00A123E5" w:rsidRPr="00554D11">
        <w:t xml:space="preserve"> (technical issues)</w:t>
      </w:r>
    </w:p>
    <w:p w14:paraId="3B3EC35B" w14:textId="77777777" w:rsidR="00A123E5" w:rsidRPr="00554D11" w:rsidRDefault="00A123E5" w:rsidP="007C0C74">
      <w:r w:rsidRPr="00554D11">
        <w:t>Office of Energy Policy and Innovation</w:t>
      </w:r>
    </w:p>
    <w:p w14:paraId="71D94D27" w14:textId="77777777" w:rsidR="00A123E5" w:rsidRPr="00554D11" w:rsidRDefault="00A123E5" w:rsidP="007C0C74">
      <w:r w:rsidRPr="00554D11">
        <w:t>Federal Energy Regulatory Commission</w:t>
      </w:r>
    </w:p>
    <w:p w14:paraId="3871BBDE" w14:textId="77777777" w:rsidR="00A123E5" w:rsidRPr="00554D11" w:rsidRDefault="00A123E5" w:rsidP="007C0C74">
      <w:r w:rsidRPr="00554D11">
        <w:t>888 First Street, NE</w:t>
      </w:r>
    </w:p>
    <w:p w14:paraId="7E41004C" w14:textId="77777777" w:rsidR="00A123E5" w:rsidRPr="00554D11" w:rsidRDefault="00A123E5" w:rsidP="007C0C74">
      <w:r w:rsidRPr="00554D11">
        <w:t xml:space="preserve">Washington, DC </w:t>
      </w:r>
      <w:r w:rsidR="00565C2A" w:rsidRPr="00554D11">
        <w:t xml:space="preserve"> </w:t>
      </w:r>
      <w:r w:rsidRPr="00554D11">
        <w:t>20426</w:t>
      </w:r>
    </w:p>
    <w:p w14:paraId="1EB55CD9" w14:textId="77777777" w:rsidR="00A123E5" w:rsidRPr="00554D11" w:rsidRDefault="00A123E5" w:rsidP="001E2405">
      <w:pPr>
        <w:spacing w:after="240"/>
      </w:pPr>
      <w:r w:rsidRPr="00554D11">
        <w:t>(202) 502-6</w:t>
      </w:r>
      <w:r w:rsidR="005A0DC4" w:rsidRPr="00554D11">
        <w:t>548</w:t>
      </w:r>
    </w:p>
    <w:p w14:paraId="2EB7A06A" w14:textId="77777777" w:rsidR="00A123E5" w:rsidRPr="00554D11" w:rsidRDefault="00A123E5" w:rsidP="007C0C74">
      <w:r w:rsidRPr="00554D11">
        <w:t>Gary D. Cohen (legal issues)</w:t>
      </w:r>
    </w:p>
    <w:p w14:paraId="5591C318" w14:textId="77777777" w:rsidR="00A123E5" w:rsidRPr="00554D11" w:rsidRDefault="00A123E5" w:rsidP="007C0C74">
      <w:r w:rsidRPr="00554D11">
        <w:t>Office of the General Counsel</w:t>
      </w:r>
    </w:p>
    <w:p w14:paraId="53F65F96" w14:textId="77777777" w:rsidR="00A123E5" w:rsidRPr="00554D11" w:rsidRDefault="00A123E5" w:rsidP="007C0C74">
      <w:r w:rsidRPr="00554D11">
        <w:t>Federal Energy Regulatory Commission</w:t>
      </w:r>
    </w:p>
    <w:p w14:paraId="2DBDDE9A" w14:textId="77777777" w:rsidR="00A123E5" w:rsidRPr="00554D11" w:rsidRDefault="00A123E5" w:rsidP="007C0C74">
      <w:r w:rsidRPr="00554D11">
        <w:t>888 First Street, NE</w:t>
      </w:r>
    </w:p>
    <w:p w14:paraId="68117D01" w14:textId="77777777" w:rsidR="00A123E5" w:rsidRPr="00554D11" w:rsidRDefault="00A123E5" w:rsidP="007C0C74">
      <w:r w:rsidRPr="00554D11">
        <w:t xml:space="preserve">Washington, DC </w:t>
      </w:r>
      <w:r w:rsidR="00565C2A" w:rsidRPr="00554D11">
        <w:t xml:space="preserve"> </w:t>
      </w:r>
      <w:r w:rsidRPr="00554D11">
        <w:t>20426</w:t>
      </w:r>
    </w:p>
    <w:p w14:paraId="01F57F03" w14:textId="77777777" w:rsidR="00A123E5" w:rsidRPr="00554D11" w:rsidRDefault="00A123E5" w:rsidP="001E2405">
      <w:pPr>
        <w:spacing w:after="240"/>
      </w:pPr>
      <w:r w:rsidRPr="00554D11">
        <w:t>(202) 502-8321</w:t>
      </w:r>
    </w:p>
    <w:p w14:paraId="56F5C8AA" w14:textId="77777777" w:rsidR="005266EE" w:rsidRDefault="00A123E5" w:rsidP="005266EE">
      <w:r w:rsidRPr="00554D11">
        <w:rPr>
          <w:u w:val="single"/>
        </w:rPr>
        <w:t>SUPPLEMENTARY INFORMATION</w:t>
      </w:r>
      <w:r w:rsidRPr="00554D11">
        <w:t>:</w:t>
      </w:r>
    </w:p>
    <w:p w14:paraId="1E769210" w14:textId="77777777" w:rsidR="005266EE" w:rsidRDefault="005266EE">
      <w:pPr>
        <w:widowControl/>
        <w:autoSpaceDE/>
        <w:autoSpaceDN/>
        <w:adjustRightInd/>
      </w:pPr>
      <w:r>
        <w:br w:type="page"/>
      </w:r>
    </w:p>
    <w:p w14:paraId="6A05E8E3" w14:textId="2E200BEF" w:rsidR="00A123E5" w:rsidRPr="00554D11" w:rsidRDefault="00A123E5" w:rsidP="005266EE">
      <w:pPr>
        <w:jc w:val="center"/>
      </w:pPr>
      <w:r w:rsidRPr="00554D11">
        <w:lastRenderedPageBreak/>
        <w:t>UNITED STATES OF AMERICA</w:t>
      </w:r>
    </w:p>
    <w:p w14:paraId="7FC42B9F" w14:textId="77777777" w:rsidR="00A123E5" w:rsidRPr="00554D11" w:rsidRDefault="00A123E5" w:rsidP="007C0C74">
      <w:pPr>
        <w:jc w:val="center"/>
      </w:pPr>
      <w:r w:rsidRPr="00554D11">
        <w:t>FEDERAL ENERGY REGULATORY COMMISSION</w:t>
      </w:r>
    </w:p>
    <w:p w14:paraId="23CA66D4" w14:textId="77777777" w:rsidR="00A123E5" w:rsidRPr="00554D11" w:rsidRDefault="00A123E5" w:rsidP="007C0C74"/>
    <w:p w14:paraId="26D7946E" w14:textId="77777777" w:rsidR="00A123E5" w:rsidRPr="00554D11" w:rsidRDefault="00A123E5" w:rsidP="007C0C74">
      <w:pPr>
        <w:ind w:left="1440" w:hanging="1440"/>
      </w:pPr>
    </w:p>
    <w:tbl>
      <w:tblPr>
        <w:tblW w:w="0" w:type="auto"/>
        <w:tblCellMar>
          <w:left w:w="0" w:type="dxa"/>
          <w:right w:w="0" w:type="dxa"/>
        </w:tblCellMar>
        <w:tblLook w:val="01E0" w:firstRow="1" w:lastRow="1" w:firstColumn="1" w:lastColumn="1" w:noHBand="0" w:noVBand="0"/>
      </w:tblPr>
      <w:tblGrid>
        <w:gridCol w:w="5936"/>
        <w:gridCol w:w="1532"/>
        <w:gridCol w:w="1892"/>
      </w:tblGrid>
      <w:tr w:rsidR="00A123E5" w:rsidRPr="00554D11" w14:paraId="3D024833" w14:textId="77777777" w:rsidTr="00F362BB">
        <w:tc>
          <w:tcPr>
            <w:tcW w:w="5936" w:type="dxa"/>
            <w:shd w:val="clear" w:color="auto" w:fill="auto"/>
          </w:tcPr>
          <w:p w14:paraId="37660964" w14:textId="77777777" w:rsidR="00A123E5" w:rsidRPr="00554D11" w:rsidRDefault="00A123E5" w:rsidP="007C0C74">
            <w:r w:rsidRPr="00554D11">
              <w:t>Standards for Business Practices and Communication Protocols for Public Utilities</w:t>
            </w:r>
          </w:p>
        </w:tc>
        <w:tc>
          <w:tcPr>
            <w:tcW w:w="1532" w:type="dxa"/>
            <w:shd w:val="clear" w:color="auto" w:fill="auto"/>
          </w:tcPr>
          <w:p w14:paraId="60831B77" w14:textId="77777777" w:rsidR="00A123E5" w:rsidRPr="00554D11" w:rsidRDefault="00A123E5" w:rsidP="00441323">
            <w:pPr>
              <w:jc w:val="right"/>
            </w:pPr>
            <w:r w:rsidRPr="00554D11">
              <w:t>Docket No.</w:t>
            </w:r>
          </w:p>
        </w:tc>
        <w:tc>
          <w:tcPr>
            <w:tcW w:w="1892" w:type="dxa"/>
            <w:shd w:val="clear" w:color="auto" w:fill="auto"/>
            <w:tcMar>
              <w:left w:w="144" w:type="dxa"/>
              <w:right w:w="0" w:type="dxa"/>
            </w:tcMar>
          </w:tcPr>
          <w:p w14:paraId="20C191C7" w14:textId="77777777" w:rsidR="00A123E5" w:rsidRPr="00554D11" w:rsidRDefault="00A123E5" w:rsidP="005A0DC4">
            <w:r w:rsidRPr="00554D11">
              <w:t>RM05-5-</w:t>
            </w:r>
            <w:r w:rsidR="00514B11" w:rsidRPr="00554D11">
              <w:t>025</w:t>
            </w:r>
          </w:p>
        </w:tc>
      </w:tr>
    </w:tbl>
    <w:p w14:paraId="1B989C41" w14:textId="77777777" w:rsidR="00A123E5" w:rsidRPr="00554D11" w:rsidRDefault="00A123E5" w:rsidP="007C0C74"/>
    <w:p w14:paraId="48AF2747" w14:textId="77777777" w:rsidR="00A123E5" w:rsidRDefault="00A123E5" w:rsidP="001E2405">
      <w:pPr>
        <w:spacing w:after="240"/>
        <w:jc w:val="center"/>
      </w:pPr>
      <w:r w:rsidRPr="00554D11">
        <w:t>NOTICE OF PROPOSED RULEMAKING</w:t>
      </w:r>
    </w:p>
    <w:p w14:paraId="0282BB71" w14:textId="77777777" w:rsidR="00A123E5" w:rsidRDefault="00A123E5" w:rsidP="007C0C74">
      <w:pPr>
        <w:jc w:val="center"/>
        <w:rPr>
          <w:u w:val="single"/>
        </w:rPr>
      </w:pPr>
      <w:r w:rsidRPr="00554D11">
        <w:rPr>
          <w:u w:val="single"/>
        </w:rPr>
        <w:t>TABLE OF CONTENTS</w:t>
      </w:r>
    </w:p>
    <w:p w14:paraId="1857DC09" w14:textId="77777777" w:rsidR="00854869" w:rsidRPr="00554D11" w:rsidRDefault="00854869" w:rsidP="007C0C74">
      <w:pPr>
        <w:jc w:val="center"/>
        <w:rPr>
          <w:u w:val="single"/>
        </w:rPr>
      </w:pPr>
    </w:p>
    <w:p w14:paraId="6C5DA00F" w14:textId="77777777" w:rsidR="00A123E5" w:rsidRDefault="00A123E5" w:rsidP="002074E4">
      <w:pPr>
        <w:tabs>
          <w:tab w:val="right" w:pos="9648"/>
        </w:tabs>
        <w:spacing w:after="240"/>
        <w:rPr>
          <w:u w:val="single"/>
        </w:rPr>
      </w:pPr>
      <w:r w:rsidRPr="00554D11">
        <w:tab/>
      </w:r>
      <w:r w:rsidRPr="00554D11">
        <w:rPr>
          <w:u w:val="single"/>
        </w:rPr>
        <w:t>Paragraph Numbers</w:t>
      </w:r>
    </w:p>
    <w:p w14:paraId="112C677C" w14:textId="77777777" w:rsidR="005266EE" w:rsidRDefault="005266EE" w:rsidP="005266EE">
      <w:pPr>
        <w:pStyle w:val="myTOC1"/>
      </w:pPr>
      <w:bookmarkStart w:id="1" w:name="_Start_TOC"/>
      <w:bookmarkEnd w:id="1"/>
      <w:r>
        <w:t xml:space="preserve">I.  </w:t>
      </w:r>
      <w:r w:rsidRPr="00554D11">
        <w:t>Background</w:t>
      </w:r>
      <w:r>
        <w:tab/>
      </w:r>
      <w:hyperlink w:anchor="_bmk1" w:history="1">
        <w:r>
          <w:rPr>
            <w:rStyle w:val="Hyperlink"/>
            <w:szCs w:val="24"/>
          </w:rPr>
          <w:t>6.</w:t>
        </w:r>
      </w:hyperlink>
    </w:p>
    <w:p w14:paraId="29F99972" w14:textId="77777777" w:rsidR="005266EE" w:rsidRDefault="005266EE" w:rsidP="005266EE">
      <w:pPr>
        <w:pStyle w:val="myTOC1"/>
      </w:pPr>
      <w:r>
        <w:t>II</w:t>
      </w:r>
      <w:proofErr w:type="gramStart"/>
      <w:r>
        <w:t xml:space="preserve">.  </w:t>
      </w:r>
      <w:r w:rsidRPr="00554D11">
        <w:t>Discussion</w:t>
      </w:r>
      <w:proofErr w:type="gramEnd"/>
      <w:r>
        <w:tab/>
      </w:r>
      <w:hyperlink w:anchor="_bmk2" w:history="1">
        <w:r>
          <w:rPr>
            <w:rStyle w:val="Hyperlink"/>
            <w:szCs w:val="24"/>
          </w:rPr>
          <w:t>17.</w:t>
        </w:r>
      </w:hyperlink>
    </w:p>
    <w:p w14:paraId="6ABC5CC0" w14:textId="77777777" w:rsidR="005266EE" w:rsidRDefault="005266EE" w:rsidP="005266EE">
      <w:pPr>
        <w:pStyle w:val="myTOC2"/>
      </w:pPr>
      <w:r>
        <w:t xml:space="preserve">A.  </w:t>
      </w:r>
      <w:r w:rsidRPr="00554D11">
        <w:t>Revisions to WEQ OASIS Business Practice Standards in Light of Commission Policies</w:t>
      </w:r>
      <w:r>
        <w:tab/>
      </w:r>
      <w:hyperlink w:anchor="_bmk3" w:history="1">
        <w:r>
          <w:rPr>
            <w:rStyle w:val="Hyperlink"/>
            <w:szCs w:val="24"/>
          </w:rPr>
          <w:t>18.</w:t>
        </w:r>
      </w:hyperlink>
    </w:p>
    <w:p w14:paraId="40F44915" w14:textId="77777777" w:rsidR="005266EE" w:rsidRDefault="005266EE" w:rsidP="005266EE">
      <w:pPr>
        <w:pStyle w:val="myTOC3"/>
      </w:pPr>
      <w:r>
        <w:t xml:space="preserve">1.  </w:t>
      </w:r>
      <w:r w:rsidRPr="00554D11">
        <w:t>Overview</w:t>
      </w:r>
      <w:r>
        <w:tab/>
      </w:r>
      <w:hyperlink w:anchor="_bmk4" w:history="1">
        <w:r>
          <w:rPr>
            <w:rStyle w:val="Hyperlink"/>
            <w:szCs w:val="24"/>
          </w:rPr>
          <w:t>18.</w:t>
        </w:r>
      </w:hyperlink>
    </w:p>
    <w:p w14:paraId="07305407" w14:textId="332521FD" w:rsidR="005266EE" w:rsidRDefault="005266EE" w:rsidP="005266EE">
      <w:pPr>
        <w:pStyle w:val="myTOC3"/>
      </w:pPr>
      <w:r w:rsidRPr="00554D11">
        <w:t>2.</w:t>
      </w:r>
      <w:r>
        <w:t xml:space="preserve">  </w:t>
      </w:r>
      <w:r w:rsidRPr="00554D11">
        <w:t>Redirects from Conditional Parent Reservations</w:t>
      </w:r>
      <w:r>
        <w:tab/>
      </w:r>
      <w:hyperlink w:anchor="_bmk5" w:history="1">
        <w:r>
          <w:rPr>
            <w:rStyle w:val="Hyperlink"/>
            <w:szCs w:val="24"/>
          </w:rPr>
          <w:t>19.</w:t>
        </w:r>
      </w:hyperlink>
    </w:p>
    <w:p w14:paraId="3016C8E4" w14:textId="36DF4E1C" w:rsidR="005266EE" w:rsidRDefault="005266EE" w:rsidP="005266EE">
      <w:pPr>
        <w:pStyle w:val="myTOC3"/>
      </w:pPr>
      <w:r w:rsidRPr="00554D11">
        <w:t>3.</w:t>
      </w:r>
      <w:r>
        <w:t xml:space="preserve">  </w:t>
      </w:r>
      <w:r w:rsidRPr="00554D11">
        <w:t>Requirement to Post ATC Narrative within One Day</w:t>
      </w:r>
      <w:r>
        <w:tab/>
      </w:r>
      <w:hyperlink w:anchor="_bmk6" w:history="1">
        <w:r>
          <w:rPr>
            <w:rStyle w:val="Hyperlink"/>
            <w:szCs w:val="24"/>
          </w:rPr>
          <w:t>26.</w:t>
        </w:r>
      </w:hyperlink>
    </w:p>
    <w:p w14:paraId="11697C51" w14:textId="1D668DF4" w:rsidR="005266EE" w:rsidRDefault="005266EE" w:rsidP="005266EE">
      <w:pPr>
        <w:pStyle w:val="myTOC3"/>
      </w:pPr>
      <w:r w:rsidRPr="00554D11">
        <w:t>4.</w:t>
      </w:r>
      <w:r>
        <w:t xml:space="preserve">  </w:t>
      </w:r>
      <w:r w:rsidRPr="00554D11">
        <w:t>SAMTS Point-to-Point Treatment</w:t>
      </w:r>
      <w:r>
        <w:tab/>
      </w:r>
      <w:hyperlink w:anchor="_bmk7" w:history="1">
        <w:r>
          <w:rPr>
            <w:rStyle w:val="Hyperlink"/>
            <w:szCs w:val="24"/>
          </w:rPr>
          <w:t>28.</w:t>
        </w:r>
      </w:hyperlink>
    </w:p>
    <w:p w14:paraId="3EF5416C" w14:textId="4ACF3805" w:rsidR="005266EE" w:rsidRDefault="005266EE" w:rsidP="005266EE">
      <w:pPr>
        <w:pStyle w:val="myTOC3"/>
      </w:pPr>
      <w:r w:rsidRPr="00554D11">
        <w:t>5.</w:t>
      </w:r>
      <w:r>
        <w:t xml:space="preserve">  </w:t>
      </w:r>
      <w:r w:rsidRPr="00554D11">
        <w:t>Clarification of Discretion of Transmission Providers to Deny Service Requests under Standard WEQ-001-106.2.5</w:t>
      </w:r>
      <w:r>
        <w:tab/>
      </w:r>
      <w:hyperlink w:anchor="_bmk8" w:history="1">
        <w:r>
          <w:rPr>
            <w:rStyle w:val="Hyperlink"/>
            <w:szCs w:val="24"/>
          </w:rPr>
          <w:t>30.</w:t>
        </w:r>
      </w:hyperlink>
    </w:p>
    <w:p w14:paraId="2F3E7FEA" w14:textId="731CF69F" w:rsidR="005266EE" w:rsidRDefault="005266EE" w:rsidP="005266EE">
      <w:pPr>
        <w:pStyle w:val="myTOC3"/>
      </w:pPr>
      <w:r w:rsidRPr="00554D11">
        <w:t>6.</w:t>
      </w:r>
      <w:r>
        <w:t xml:space="preserve">  </w:t>
      </w:r>
      <w:r w:rsidRPr="00554D11">
        <w:t>Modifications to Allow a Transmission Provider to Extend the Time to Perform its Biennial Reassessment</w:t>
      </w:r>
      <w:r>
        <w:tab/>
      </w:r>
      <w:hyperlink w:anchor="_bmk9" w:history="1">
        <w:r>
          <w:rPr>
            <w:rStyle w:val="Hyperlink"/>
            <w:szCs w:val="24"/>
          </w:rPr>
          <w:t>32.</w:t>
        </w:r>
      </w:hyperlink>
    </w:p>
    <w:p w14:paraId="4511E11C" w14:textId="3831F117" w:rsidR="005266EE" w:rsidRDefault="005266EE" w:rsidP="005266EE">
      <w:pPr>
        <w:pStyle w:val="myTOC3"/>
      </w:pPr>
      <w:r w:rsidRPr="00554D11">
        <w:t>7.</w:t>
      </w:r>
      <w:r>
        <w:t xml:space="preserve">  </w:t>
      </w:r>
      <w:r w:rsidRPr="00554D11">
        <w:t>Industry-Wide Mechanism for Consistent Posting of AFC-Related Data</w:t>
      </w:r>
      <w:r>
        <w:tab/>
      </w:r>
      <w:hyperlink w:anchor="_bmk10" w:history="1">
        <w:r>
          <w:rPr>
            <w:rStyle w:val="Hyperlink"/>
            <w:szCs w:val="24"/>
          </w:rPr>
          <w:t>34.</w:t>
        </w:r>
      </w:hyperlink>
    </w:p>
    <w:p w14:paraId="04FEB656" w14:textId="2715143A" w:rsidR="005266EE" w:rsidRDefault="005266EE" w:rsidP="005266EE">
      <w:pPr>
        <w:pStyle w:val="myTOC3"/>
      </w:pPr>
      <w:r w:rsidRPr="00412CFB">
        <w:t>8.</w:t>
      </w:r>
      <w:r>
        <w:t xml:space="preserve">  </w:t>
      </w:r>
      <w:r w:rsidRPr="00554D11">
        <w:t>Use of DUNS Numbers</w:t>
      </w:r>
      <w:r>
        <w:tab/>
      </w:r>
      <w:hyperlink w:anchor="_bmk11" w:history="1">
        <w:r>
          <w:rPr>
            <w:rStyle w:val="Hyperlink"/>
            <w:szCs w:val="24"/>
          </w:rPr>
          <w:t>36.</w:t>
        </w:r>
      </w:hyperlink>
    </w:p>
    <w:p w14:paraId="5F787FC1" w14:textId="77777777" w:rsidR="005266EE" w:rsidRDefault="005266EE" w:rsidP="005266EE">
      <w:pPr>
        <w:pStyle w:val="myTOC2"/>
      </w:pPr>
      <w:r>
        <w:t xml:space="preserve">B.  </w:t>
      </w:r>
      <w:r w:rsidRPr="00554D11">
        <w:t>Revised and New Standards Designed to Complement NERC Reliability Standards and Developments</w:t>
      </w:r>
      <w:r>
        <w:tab/>
      </w:r>
      <w:hyperlink w:anchor="_bmk12" w:history="1">
        <w:r>
          <w:rPr>
            <w:rStyle w:val="Hyperlink"/>
            <w:szCs w:val="24"/>
          </w:rPr>
          <w:t>38.</w:t>
        </w:r>
      </w:hyperlink>
    </w:p>
    <w:p w14:paraId="6F3CE557" w14:textId="77777777" w:rsidR="005266EE" w:rsidRDefault="005266EE" w:rsidP="005266EE">
      <w:pPr>
        <w:pStyle w:val="myTOC3"/>
      </w:pPr>
      <w:r>
        <w:t xml:space="preserve">1.  </w:t>
      </w:r>
      <w:r w:rsidRPr="00554D11">
        <w:t>NERC Compliance Registry</w:t>
      </w:r>
      <w:r>
        <w:tab/>
      </w:r>
      <w:hyperlink w:anchor="_bmk13" w:history="1">
        <w:r>
          <w:rPr>
            <w:rStyle w:val="Hyperlink"/>
            <w:szCs w:val="24"/>
          </w:rPr>
          <w:t>38.</w:t>
        </w:r>
      </w:hyperlink>
    </w:p>
    <w:p w14:paraId="4F720D67" w14:textId="77777777" w:rsidR="005266EE" w:rsidRDefault="005266EE" w:rsidP="005266EE">
      <w:pPr>
        <w:pStyle w:val="myTOC3"/>
      </w:pPr>
      <w:r>
        <w:t xml:space="preserve">2.  </w:t>
      </w:r>
      <w:r w:rsidRPr="00554D11">
        <w:t>Electric Industry Registry Standards</w:t>
      </w:r>
      <w:r>
        <w:tab/>
      </w:r>
      <w:hyperlink w:anchor="_bmk14" w:history="1">
        <w:r>
          <w:rPr>
            <w:rStyle w:val="Hyperlink"/>
            <w:szCs w:val="24"/>
          </w:rPr>
          <w:t>39.</w:t>
        </w:r>
      </w:hyperlink>
    </w:p>
    <w:p w14:paraId="62AB0540" w14:textId="77777777" w:rsidR="005266EE" w:rsidRDefault="005266EE" w:rsidP="005266EE">
      <w:pPr>
        <w:pStyle w:val="myTOC3"/>
      </w:pPr>
      <w:r>
        <w:t xml:space="preserve">3.  </w:t>
      </w:r>
      <w:r w:rsidRPr="00554D11">
        <w:t>WEQ-023 Modeling Business Practice</w:t>
      </w:r>
      <w:r>
        <w:t xml:space="preserve"> Standards</w:t>
      </w:r>
      <w:r>
        <w:tab/>
      </w:r>
      <w:hyperlink w:anchor="_bmk15" w:history="1">
        <w:r>
          <w:rPr>
            <w:rStyle w:val="Hyperlink"/>
            <w:szCs w:val="24"/>
          </w:rPr>
          <w:t>41.</w:t>
        </w:r>
      </w:hyperlink>
    </w:p>
    <w:p w14:paraId="705F9307" w14:textId="4E822151" w:rsidR="005266EE" w:rsidRDefault="005266EE" w:rsidP="005266EE">
      <w:pPr>
        <w:pStyle w:val="myTOC2"/>
      </w:pPr>
      <w:r w:rsidRPr="00554D11">
        <w:t>C.</w:t>
      </w:r>
      <w:r>
        <w:t xml:space="preserve">  </w:t>
      </w:r>
      <w:r w:rsidRPr="00554D11">
        <w:t>Revisions to WEQ Business Practice Standards Not Requested by Commission or Developed to Comply with a Commission Directive</w:t>
      </w:r>
      <w:r>
        <w:tab/>
      </w:r>
      <w:hyperlink w:anchor="_bmk16" w:history="1">
        <w:r>
          <w:rPr>
            <w:rStyle w:val="Hyperlink"/>
            <w:szCs w:val="24"/>
          </w:rPr>
          <w:t>43.</w:t>
        </w:r>
      </w:hyperlink>
    </w:p>
    <w:p w14:paraId="525681A8" w14:textId="77777777" w:rsidR="005266EE" w:rsidRDefault="005266EE" w:rsidP="005266EE">
      <w:pPr>
        <w:pStyle w:val="myTOC3"/>
      </w:pPr>
      <w:r>
        <w:t xml:space="preserve">1.  </w:t>
      </w:r>
      <w:r w:rsidRPr="00554D11">
        <w:t>Proper Method to Post Off-OASIS Resale Transactions</w:t>
      </w:r>
      <w:r>
        <w:tab/>
      </w:r>
      <w:hyperlink w:anchor="_bmk17" w:history="1">
        <w:r>
          <w:rPr>
            <w:rStyle w:val="Hyperlink"/>
            <w:szCs w:val="24"/>
          </w:rPr>
          <w:t>44.</w:t>
        </w:r>
      </w:hyperlink>
    </w:p>
    <w:p w14:paraId="52822757" w14:textId="77777777" w:rsidR="005266EE" w:rsidRDefault="005266EE" w:rsidP="005266EE">
      <w:pPr>
        <w:pStyle w:val="myTOC3"/>
      </w:pPr>
      <w:r>
        <w:t xml:space="preserve">2.  </w:t>
      </w:r>
      <w:r w:rsidRPr="00554D11">
        <w:t>Unmasking of Final State Source and Sink Requests</w:t>
      </w:r>
      <w:r>
        <w:tab/>
      </w:r>
      <w:hyperlink w:anchor="_bmk18" w:history="1">
        <w:r>
          <w:rPr>
            <w:rStyle w:val="Hyperlink"/>
            <w:szCs w:val="24"/>
          </w:rPr>
          <w:t>46.</w:t>
        </w:r>
      </w:hyperlink>
    </w:p>
    <w:p w14:paraId="57D3C002" w14:textId="77777777" w:rsidR="005266EE" w:rsidRDefault="005266EE" w:rsidP="005266EE">
      <w:pPr>
        <w:pStyle w:val="myTOC3"/>
      </w:pPr>
      <w:r>
        <w:t xml:space="preserve">3.  </w:t>
      </w:r>
      <w:r w:rsidRPr="00554D11">
        <w:t>Modifications to Smart Grid Standards</w:t>
      </w:r>
      <w:r>
        <w:tab/>
      </w:r>
      <w:hyperlink w:anchor="_bmk19" w:history="1">
        <w:r>
          <w:rPr>
            <w:rStyle w:val="Hyperlink"/>
            <w:szCs w:val="24"/>
          </w:rPr>
          <w:t>48.</w:t>
        </w:r>
      </w:hyperlink>
    </w:p>
    <w:p w14:paraId="2A2B4BBD" w14:textId="77777777" w:rsidR="005266EE" w:rsidRDefault="005266EE" w:rsidP="005266EE">
      <w:pPr>
        <w:pStyle w:val="myTOC3"/>
      </w:pPr>
      <w:r>
        <w:t xml:space="preserve">4.  </w:t>
      </w:r>
      <w:r w:rsidRPr="00554D11">
        <w:t>Modification to Standards on Abbreviations, Acronyms and Definitions of Terms</w:t>
      </w:r>
      <w:r>
        <w:tab/>
      </w:r>
      <w:hyperlink w:anchor="_bmk20" w:history="1">
        <w:r>
          <w:rPr>
            <w:rStyle w:val="Hyperlink"/>
            <w:szCs w:val="24"/>
          </w:rPr>
          <w:t>51.</w:t>
        </w:r>
      </w:hyperlink>
    </w:p>
    <w:p w14:paraId="19DE88F6" w14:textId="77777777" w:rsidR="005266EE" w:rsidRDefault="005266EE" w:rsidP="005266EE">
      <w:pPr>
        <w:pStyle w:val="myTOC3"/>
      </w:pPr>
      <w:r>
        <w:t xml:space="preserve">5.  </w:t>
      </w:r>
      <w:r w:rsidRPr="00554D11">
        <w:t>Public Key Infrastructure-Related Standards</w:t>
      </w:r>
      <w:r>
        <w:tab/>
      </w:r>
      <w:hyperlink w:anchor="_bmk21" w:history="1">
        <w:r>
          <w:rPr>
            <w:rStyle w:val="Hyperlink"/>
            <w:szCs w:val="24"/>
          </w:rPr>
          <w:t>53.</w:t>
        </w:r>
      </w:hyperlink>
    </w:p>
    <w:p w14:paraId="3E49D0D3" w14:textId="00D6F6A2" w:rsidR="005266EE" w:rsidRDefault="005266EE" w:rsidP="005266EE">
      <w:pPr>
        <w:pStyle w:val="myTOC2"/>
      </w:pPr>
      <w:r w:rsidRPr="00554D11">
        <w:t>D.</w:t>
      </w:r>
      <w:r>
        <w:t xml:space="preserve">  </w:t>
      </w:r>
      <w:r w:rsidRPr="00554D11">
        <w:t>Implementation</w:t>
      </w:r>
      <w:r>
        <w:tab/>
      </w:r>
      <w:hyperlink w:anchor="_bmk22" w:history="1">
        <w:r>
          <w:rPr>
            <w:rStyle w:val="Hyperlink"/>
            <w:szCs w:val="24"/>
          </w:rPr>
          <w:t>56.</w:t>
        </w:r>
      </w:hyperlink>
    </w:p>
    <w:p w14:paraId="2D40DC4C" w14:textId="736CFBE5" w:rsidR="005266EE" w:rsidRDefault="005266EE" w:rsidP="005266EE">
      <w:pPr>
        <w:pStyle w:val="myTOC1"/>
      </w:pPr>
      <w:r w:rsidRPr="00554D11">
        <w:t>III</w:t>
      </w:r>
      <w:proofErr w:type="gramStart"/>
      <w:r w:rsidRPr="00554D11">
        <w:t>.</w:t>
      </w:r>
      <w:r>
        <w:t xml:space="preserve">  </w:t>
      </w:r>
      <w:r w:rsidRPr="00554D11">
        <w:t>Notice</w:t>
      </w:r>
      <w:proofErr w:type="gramEnd"/>
      <w:r w:rsidRPr="00554D11">
        <w:t xml:space="preserve"> of Use of Voluntary Consensus Standards</w:t>
      </w:r>
      <w:r>
        <w:tab/>
      </w:r>
      <w:hyperlink w:anchor="_bmk23" w:history="1">
        <w:r>
          <w:rPr>
            <w:rStyle w:val="Hyperlink"/>
            <w:szCs w:val="24"/>
          </w:rPr>
          <w:t>57.</w:t>
        </w:r>
      </w:hyperlink>
    </w:p>
    <w:p w14:paraId="6C70144D" w14:textId="58E27A83" w:rsidR="005266EE" w:rsidRDefault="005266EE" w:rsidP="005266EE">
      <w:pPr>
        <w:pStyle w:val="myTOC1"/>
      </w:pPr>
      <w:r w:rsidRPr="00554D11">
        <w:lastRenderedPageBreak/>
        <w:t>IV</w:t>
      </w:r>
      <w:proofErr w:type="gramStart"/>
      <w:r w:rsidRPr="00554D11">
        <w:t>.</w:t>
      </w:r>
      <w:r>
        <w:t xml:space="preserve">  </w:t>
      </w:r>
      <w:r w:rsidRPr="00554D11">
        <w:t>Incorporation</w:t>
      </w:r>
      <w:proofErr w:type="gramEnd"/>
      <w:r w:rsidRPr="00554D11">
        <w:t xml:space="preserve"> By Reference</w:t>
      </w:r>
      <w:r>
        <w:tab/>
      </w:r>
      <w:hyperlink w:anchor="_bmk24" w:history="1">
        <w:r>
          <w:rPr>
            <w:rStyle w:val="Hyperlink"/>
            <w:szCs w:val="24"/>
          </w:rPr>
          <w:t>59.</w:t>
        </w:r>
      </w:hyperlink>
    </w:p>
    <w:p w14:paraId="49F99454" w14:textId="4FF539C2" w:rsidR="005266EE" w:rsidRDefault="005266EE" w:rsidP="005266EE">
      <w:pPr>
        <w:pStyle w:val="myTOC1"/>
      </w:pPr>
      <w:r w:rsidRPr="00554D11">
        <w:t>V.</w:t>
      </w:r>
      <w:r>
        <w:t xml:space="preserve">  </w:t>
      </w:r>
      <w:r w:rsidRPr="00554D11">
        <w:t>Information Collection Statement</w:t>
      </w:r>
      <w:r>
        <w:tab/>
      </w:r>
      <w:hyperlink w:anchor="_bmk25" w:history="1">
        <w:r>
          <w:rPr>
            <w:rStyle w:val="Hyperlink"/>
            <w:szCs w:val="24"/>
          </w:rPr>
          <w:t>62.</w:t>
        </w:r>
      </w:hyperlink>
    </w:p>
    <w:p w14:paraId="0FC36408" w14:textId="0A53E51D" w:rsidR="005266EE" w:rsidRDefault="005266EE" w:rsidP="005266EE">
      <w:pPr>
        <w:pStyle w:val="myTOC1"/>
      </w:pPr>
      <w:r w:rsidRPr="00554D11">
        <w:t>VI</w:t>
      </w:r>
      <w:proofErr w:type="gramStart"/>
      <w:r w:rsidRPr="00554D11">
        <w:t>.</w:t>
      </w:r>
      <w:r>
        <w:t xml:space="preserve">  </w:t>
      </w:r>
      <w:r w:rsidRPr="00554D11">
        <w:t>Environmental</w:t>
      </w:r>
      <w:proofErr w:type="gramEnd"/>
      <w:r w:rsidRPr="00554D11">
        <w:t xml:space="preserve"> Analysis</w:t>
      </w:r>
      <w:r>
        <w:tab/>
      </w:r>
      <w:hyperlink w:anchor="_bmk26" w:history="1">
        <w:r>
          <w:rPr>
            <w:rStyle w:val="Hyperlink"/>
            <w:szCs w:val="24"/>
          </w:rPr>
          <w:t>69.</w:t>
        </w:r>
      </w:hyperlink>
    </w:p>
    <w:p w14:paraId="53105FD8" w14:textId="5DB19C60" w:rsidR="005266EE" w:rsidRDefault="005266EE" w:rsidP="005266EE">
      <w:pPr>
        <w:pStyle w:val="myTOC1"/>
      </w:pPr>
      <w:r w:rsidRPr="00554D11">
        <w:t>VII</w:t>
      </w:r>
      <w:proofErr w:type="gramStart"/>
      <w:r w:rsidRPr="00554D11">
        <w:t>.</w:t>
      </w:r>
      <w:r>
        <w:t xml:space="preserve">  </w:t>
      </w:r>
      <w:r w:rsidRPr="00554D11">
        <w:t>Regulatory</w:t>
      </w:r>
      <w:proofErr w:type="gramEnd"/>
      <w:r w:rsidRPr="00554D11">
        <w:t xml:space="preserve"> Flexibility Act Certification</w:t>
      </w:r>
      <w:r>
        <w:tab/>
      </w:r>
      <w:hyperlink w:anchor="_bmk27" w:history="1">
        <w:r>
          <w:rPr>
            <w:rStyle w:val="Hyperlink"/>
            <w:szCs w:val="24"/>
          </w:rPr>
          <w:t>70.</w:t>
        </w:r>
      </w:hyperlink>
    </w:p>
    <w:p w14:paraId="581E6B5F" w14:textId="144F5DC0" w:rsidR="005266EE" w:rsidRDefault="005266EE" w:rsidP="005266EE">
      <w:pPr>
        <w:pStyle w:val="myTOC1"/>
      </w:pPr>
      <w:r w:rsidRPr="00554D11">
        <w:t>VIII</w:t>
      </w:r>
      <w:proofErr w:type="gramStart"/>
      <w:r w:rsidRPr="00554D11">
        <w:t>.</w:t>
      </w:r>
      <w:r>
        <w:t xml:space="preserve">  </w:t>
      </w:r>
      <w:r w:rsidRPr="00554D11">
        <w:t>Comment</w:t>
      </w:r>
      <w:proofErr w:type="gramEnd"/>
      <w:r w:rsidRPr="00554D11">
        <w:t xml:space="preserve"> Procedures</w:t>
      </w:r>
      <w:r>
        <w:tab/>
      </w:r>
      <w:hyperlink w:anchor="_bmk28" w:history="1">
        <w:r>
          <w:rPr>
            <w:rStyle w:val="Hyperlink"/>
            <w:szCs w:val="24"/>
          </w:rPr>
          <w:t>74.</w:t>
        </w:r>
      </w:hyperlink>
    </w:p>
    <w:p w14:paraId="37A51462" w14:textId="77777777" w:rsidR="005266EE" w:rsidRDefault="005266EE" w:rsidP="005266EE">
      <w:pPr>
        <w:pStyle w:val="myTOC1"/>
      </w:pPr>
      <w:r w:rsidRPr="00554D11">
        <w:t>IX</w:t>
      </w:r>
      <w:proofErr w:type="gramStart"/>
      <w:r w:rsidRPr="00554D11">
        <w:t>.</w:t>
      </w:r>
      <w:r>
        <w:t xml:space="preserve">  </w:t>
      </w:r>
      <w:r w:rsidRPr="00554D11">
        <w:t>Document</w:t>
      </w:r>
      <w:proofErr w:type="gramEnd"/>
      <w:r w:rsidRPr="00554D11">
        <w:t xml:space="preserve"> Availability</w:t>
      </w:r>
      <w:r>
        <w:tab/>
      </w:r>
      <w:hyperlink w:anchor="_bmk29" w:history="1">
        <w:r>
          <w:rPr>
            <w:rStyle w:val="Hyperlink"/>
            <w:szCs w:val="24"/>
          </w:rPr>
          <w:t>78.</w:t>
        </w:r>
      </w:hyperlink>
    </w:p>
    <w:p w14:paraId="426E6BB0" w14:textId="77777777" w:rsidR="005266EE" w:rsidRDefault="005266EE" w:rsidP="005266EE">
      <w:pPr>
        <w:pStyle w:val="myTOC1"/>
        <w:sectPr w:rsidR="005266EE" w:rsidSect="00854869">
          <w:headerReference w:type="even" r:id="rId13"/>
          <w:headerReference w:type="default" r:id="rId14"/>
          <w:pgSz w:w="12240" w:h="15840"/>
          <w:pgMar w:top="1440" w:right="1440" w:bottom="1440" w:left="1440" w:header="720" w:footer="720" w:gutter="0"/>
          <w:pgNumType w:fmt="lowerRoman" w:start="1"/>
          <w:cols w:space="720"/>
          <w:titlePg/>
          <w:docGrid w:linePitch="360"/>
        </w:sectPr>
      </w:pPr>
    </w:p>
    <w:p w14:paraId="63D99498" w14:textId="761B07C3" w:rsidR="00EA6F0E" w:rsidRPr="00EA6F0E" w:rsidRDefault="00EA6F0E" w:rsidP="00EA6F0E">
      <w:pPr>
        <w:widowControl/>
        <w:jc w:val="center"/>
      </w:pPr>
      <w:r>
        <w:lastRenderedPageBreak/>
        <w:t>156 FERC ¶ 61,055</w:t>
      </w:r>
    </w:p>
    <w:p w14:paraId="4E9DB50A" w14:textId="79D5CD85" w:rsidR="00EA6F0E" w:rsidRPr="00EA6F0E" w:rsidRDefault="00EA6F0E" w:rsidP="00EA6F0E">
      <w:pPr>
        <w:widowControl/>
        <w:jc w:val="center"/>
      </w:pPr>
      <w:r w:rsidRPr="00EA6F0E">
        <w:t>UNITED STATES OF AMERICA</w:t>
      </w:r>
    </w:p>
    <w:p w14:paraId="1A3A7396" w14:textId="3BA09DB2" w:rsidR="00EA6F0E" w:rsidRDefault="00EA6F0E" w:rsidP="00EA6F0E">
      <w:pPr>
        <w:widowControl/>
        <w:jc w:val="center"/>
      </w:pPr>
      <w:r w:rsidRPr="00EA6F0E">
        <w:t>FEDERAL ENERGY REGULATORY COMMISSION</w:t>
      </w:r>
    </w:p>
    <w:p w14:paraId="0605A9AC" w14:textId="77777777" w:rsidR="00EA6F0E" w:rsidRDefault="00EA6F0E" w:rsidP="00EA6F0E">
      <w:pPr>
        <w:widowControl/>
        <w:jc w:val="center"/>
      </w:pPr>
    </w:p>
    <w:p w14:paraId="1BCE99D9" w14:textId="5FF0C7B0" w:rsidR="00EA6F0E" w:rsidRDefault="00EA6F0E" w:rsidP="00EA6F0E">
      <w:pPr>
        <w:widowControl/>
        <w:jc w:val="center"/>
      </w:pPr>
    </w:p>
    <w:tbl>
      <w:tblPr>
        <w:tblpPr w:leftFromText="180" w:rightFromText="180" w:vertAnchor="text" w:horzAnchor="margin" w:tblpY="-28"/>
        <w:tblW w:w="0" w:type="auto"/>
        <w:tblCellMar>
          <w:left w:w="0" w:type="dxa"/>
          <w:right w:w="0" w:type="dxa"/>
        </w:tblCellMar>
        <w:tblLook w:val="01E0" w:firstRow="1" w:lastRow="1" w:firstColumn="1" w:lastColumn="1" w:noHBand="0" w:noVBand="0"/>
      </w:tblPr>
      <w:tblGrid>
        <w:gridCol w:w="5934"/>
        <w:gridCol w:w="1534"/>
        <w:gridCol w:w="1892"/>
      </w:tblGrid>
      <w:tr w:rsidR="00EA6F0E" w:rsidRPr="00554D11" w14:paraId="3FF63845" w14:textId="77777777" w:rsidTr="005F2B8B">
        <w:tc>
          <w:tcPr>
            <w:tcW w:w="5934" w:type="dxa"/>
            <w:shd w:val="clear" w:color="auto" w:fill="auto"/>
          </w:tcPr>
          <w:p w14:paraId="1EC79C86" w14:textId="77777777" w:rsidR="00EA6F0E" w:rsidRPr="00554D11" w:rsidRDefault="00EA6F0E" w:rsidP="005F2B8B">
            <w:r w:rsidRPr="00554D11">
              <w:t>Standards for Business Practices and Communication Protocols for Public Utilities</w:t>
            </w:r>
          </w:p>
        </w:tc>
        <w:tc>
          <w:tcPr>
            <w:tcW w:w="1534" w:type="dxa"/>
            <w:shd w:val="clear" w:color="auto" w:fill="auto"/>
            <w:tcMar>
              <w:left w:w="72" w:type="dxa"/>
            </w:tcMar>
          </w:tcPr>
          <w:p w14:paraId="6ACC7128" w14:textId="77777777" w:rsidR="00EA6F0E" w:rsidRPr="00554D11" w:rsidRDefault="00EA6F0E" w:rsidP="005F2B8B">
            <w:pPr>
              <w:jc w:val="right"/>
            </w:pPr>
            <w:r w:rsidRPr="00554D11">
              <w:t>Docket No.</w:t>
            </w:r>
          </w:p>
        </w:tc>
        <w:tc>
          <w:tcPr>
            <w:tcW w:w="1892" w:type="dxa"/>
            <w:shd w:val="clear" w:color="auto" w:fill="auto"/>
            <w:tcMar>
              <w:left w:w="144" w:type="dxa"/>
            </w:tcMar>
          </w:tcPr>
          <w:p w14:paraId="401DF960" w14:textId="77777777" w:rsidR="00EA6F0E" w:rsidRDefault="00EA6F0E" w:rsidP="005F2B8B">
            <w:r w:rsidRPr="00554D11">
              <w:t>RM05-5-025</w:t>
            </w:r>
          </w:p>
          <w:p w14:paraId="58F4BCA7" w14:textId="77777777" w:rsidR="00EA6F0E" w:rsidRPr="00554D11" w:rsidRDefault="00EA6F0E" w:rsidP="005F2B8B"/>
        </w:tc>
      </w:tr>
    </w:tbl>
    <w:p w14:paraId="6003888B" w14:textId="77777777" w:rsidR="00A123E5" w:rsidRPr="00554D11" w:rsidRDefault="00A123E5" w:rsidP="001E2405">
      <w:pPr>
        <w:spacing w:before="240" w:after="240"/>
        <w:jc w:val="center"/>
      </w:pPr>
      <w:r w:rsidRPr="00554D11">
        <w:t>NOTICE OF PROPOSED RULEMAKING</w:t>
      </w:r>
    </w:p>
    <w:p w14:paraId="029A2972" w14:textId="62393F82" w:rsidR="00A123E5" w:rsidRDefault="001624A2" w:rsidP="001624A2">
      <w:pPr>
        <w:widowControl/>
        <w:tabs>
          <w:tab w:val="left" w:pos="720"/>
          <w:tab w:val="left" w:pos="1440"/>
          <w:tab w:val="left" w:pos="2880"/>
          <w:tab w:val="left" w:pos="4320"/>
          <w:tab w:val="left" w:pos="5040"/>
          <w:tab w:val="left" w:pos="5760"/>
          <w:tab w:val="left" w:pos="6480"/>
          <w:tab w:val="left" w:pos="7200"/>
        </w:tabs>
        <w:jc w:val="center"/>
      </w:pPr>
      <w:r w:rsidRPr="001624A2">
        <w:t>(</w:t>
      </w:r>
      <w:r>
        <w:t>July 21</w:t>
      </w:r>
      <w:r w:rsidRPr="001624A2">
        <w:t>, 2016)</w:t>
      </w:r>
    </w:p>
    <w:p w14:paraId="2B9CFAF8" w14:textId="77777777" w:rsidR="001624A2" w:rsidRPr="001624A2" w:rsidRDefault="001624A2" w:rsidP="001624A2">
      <w:pPr>
        <w:widowControl/>
        <w:tabs>
          <w:tab w:val="left" w:pos="720"/>
          <w:tab w:val="left" w:pos="1440"/>
          <w:tab w:val="left" w:pos="2880"/>
          <w:tab w:val="left" w:pos="4320"/>
          <w:tab w:val="left" w:pos="5040"/>
          <w:tab w:val="left" w:pos="5760"/>
          <w:tab w:val="left" w:pos="6480"/>
          <w:tab w:val="left" w:pos="7200"/>
        </w:tabs>
      </w:pPr>
    </w:p>
    <w:p w14:paraId="432E0C64" w14:textId="4C47A1E6" w:rsidR="00A744E4" w:rsidRPr="00554D11" w:rsidRDefault="00A123E5" w:rsidP="00554D11">
      <w:pPr>
        <w:pStyle w:val="FERCparanumber"/>
      </w:pPr>
      <w:r w:rsidRPr="00554D11">
        <w:t xml:space="preserve">In this </w:t>
      </w:r>
      <w:r w:rsidR="001877A3" w:rsidRPr="00554D11">
        <w:t>n</w:t>
      </w:r>
      <w:r w:rsidRPr="00554D11">
        <w:t xml:space="preserve">otice of </w:t>
      </w:r>
      <w:r w:rsidR="001877A3" w:rsidRPr="00554D11">
        <w:t>p</w:t>
      </w:r>
      <w:r w:rsidRPr="00554D11">
        <w:t xml:space="preserve">roposed </w:t>
      </w:r>
      <w:r w:rsidR="001877A3" w:rsidRPr="00554D11">
        <w:t>r</w:t>
      </w:r>
      <w:r w:rsidRPr="00554D11">
        <w:t>ulemaking (NOPR), the Federal Energy Regulatory Commission (Commission) proposes to amend its regulations under the Federal Power Act</w:t>
      </w:r>
      <w:r w:rsidRPr="00554D11">
        <w:rPr>
          <w:rStyle w:val="FootnoteReference"/>
        </w:rPr>
        <w:footnoteReference w:id="2"/>
      </w:r>
      <w:r w:rsidRPr="00554D11">
        <w:t xml:space="preserve"> to incorporate by reference the latest version of </w:t>
      </w:r>
      <w:r w:rsidR="00B759BE" w:rsidRPr="00554D11">
        <w:t>certain</w:t>
      </w:r>
      <w:r w:rsidRPr="00554D11">
        <w:t xml:space="preserve"> Standards for Business Practices and Communication Protocols for Public Utilities (Version 003</w:t>
      </w:r>
      <w:r w:rsidR="005A0DC4" w:rsidRPr="00554D11">
        <w:t>.1</w:t>
      </w:r>
      <w:r w:rsidRPr="00554D11">
        <w:t xml:space="preserve">) adopted by the Wholesale Electric Quadrant (WEQ) of the North American Energy Standards Board (NAESB) and filed with the Commission on </w:t>
      </w:r>
      <w:r w:rsidR="005A0DC4" w:rsidRPr="00554D11">
        <w:t>October</w:t>
      </w:r>
      <w:r w:rsidRPr="00554D11">
        <w:t xml:space="preserve"> </w:t>
      </w:r>
      <w:r w:rsidR="005A0DC4" w:rsidRPr="00554D11">
        <w:t>26</w:t>
      </w:r>
      <w:r w:rsidRPr="00554D11">
        <w:t>, 201</w:t>
      </w:r>
      <w:r w:rsidR="005A0DC4" w:rsidRPr="00554D11">
        <w:t>5</w:t>
      </w:r>
      <w:r w:rsidRPr="00554D11">
        <w:t xml:space="preserve"> (</w:t>
      </w:r>
      <w:r w:rsidR="005A0DC4" w:rsidRPr="00554D11">
        <w:t>Octob</w:t>
      </w:r>
      <w:r w:rsidRPr="00554D11">
        <w:t xml:space="preserve">er </w:t>
      </w:r>
      <w:r w:rsidR="005A0DC4" w:rsidRPr="00554D11">
        <w:t>26</w:t>
      </w:r>
      <w:r w:rsidRPr="00554D11">
        <w:t xml:space="preserve"> Filing).</w:t>
      </w:r>
      <w:r w:rsidR="00246073" w:rsidRPr="00554D11">
        <w:t xml:space="preserve">  </w:t>
      </w:r>
      <w:r w:rsidR="00A744E4" w:rsidRPr="00554D11">
        <w:t>We also propose to list informationally, as guidance, NAESB’s updated Smart Grid Business Practice Standards in Standard WEQ-019.</w:t>
      </w:r>
      <w:r w:rsidR="006E1C67">
        <w:t xml:space="preserve">  In addition, as explained further below, there are several NAESB standards included in the WEQ Version 003.1 package of standards that we are not proposing in this NOPR to incorporate by reference.</w:t>
      </w:r>
    </w:p>
    <w:p w14:paraId="08B18DA2" w14:textId="77777777" w:rsidR="005D15CB" w:rsidRDefault="00246073" w:rsidP="00554D11">
      <w:pPr>
        <w:pStyle w:val="FERCparanumber"/>
      </w:pPr>
      <w:r w:rsidRPr="00554D11">
        <w:t xml:space="preserve">These revised </w:t>
      </w:r>
      <w:r w:rsidR="006E1C67">
        <w:t xml:space="preserve">NAESB </w:t>
      </w:r>
      <w:r w:rsidRPr="00554D11">
        <w:t xml:space="preserve">standards update earlier versions </w:t>
      </w:r>
      <w:r w:rsidR="009441B9" w:rsidRPr="00554D11">
        <w:t xml:space="preserve">of these standards </w:t>
      </w:r>
      <w:r w:rsidRPr="00554D11">
        <w:t>that the Commission previously incorporated by reference into its regulations at 18 CFR 38.</w:t>
      </w:r>
      <w:r w:rsidR="00BB7506">
        <w:t>1</w:t>
      </w:r>
      <w:r w:rsidRPr="00554D11">
        <w:t xml:space="preserve"> in </w:t>
      </w:r>
    </w:p>
    <w:p w14:paraId="0DC94A59" w14:textId="77777777" w:rsidR="005D15CB" w:rsidRDefault="005D15CB">
      <w:pPr>
        <w:widowControl/>
        <w:autoSpaceDE/>
        <w:autoSpaceDN/>
        <w:adjustRightInd/>
      </w:pPr>
      <w:r>
        <w:br w:type="page"/>
      </w:r>
    </w:p>
    <w:p w14:paraId="3A258DA0" w14:textId="77777777" w:rsidR="00874244" w:rsidRDefault="00246073" w:rsidP="005D15CB">
      <w:pPr>
        <w:pStyle w:val="FERCparanumber"/>
        <w:numPr>
          <w:ilvl w:val="0"/>
          <w:numId w:val="0"/>
        </w:numPr>
      </w:pPr>
      <w:r w:rsidRPr="00554D11">
        <w:lastRenderedPageBreak/>
        <w:t>Order Nos. 676-E,</w:t>
      </w:r>
      <w:r w:rsidR="007A14AF" w:rsidRPr="00554D11">
        <w:rPr>
          <w:rStyle w:val="FootnoteReference"/>
        </w:rPr>
        <w:footnoteReference w:id="3"/>
      </w:r>
      <w:r w:rsidRPr="00554D11">
        <w:t xml:space="preserve"> 676-H,</w:t>
      </w:r>
      <w:r w:rsidR="007A14AF" w:rsidRPr="00554D11">
        <w:rPr>
          <w:rStyle w:val="FootnoteReference"/>
        </w:rPr>
        <w:footnoteReference w:id="4"/>
      </w:r>
      <w:r w:rsidRPr="00554D11">
        <w:t xml:space="preserve"> 764,</w:t>
      </w:r>
      <w:r w:rsidR="007A14AF" w:rsidRPr="00554D11">
        <w:rPr>
          <w:rStyle w:val="FootnoteReference"/>
        </w:rPr>
        <w:footnoteReference w:id="5"/>
      </w:r>
      <w:r w:rsidRPr="00554D11">
        <w:t xml:space="preserve"> and 890</w:t>
      </w:r>
      <w:r w:rsidR="001B3574" w:rsidRPr="00554D11">
        <w:t>.</w:t>
      </w:r>
      <w:r w:rsidRPr="00554D11">
        <w:rPr>
          <w:rStyle w:val="FootnoteReference"/>
        </w:rPr>
        <w:footnoteReference w:id="6"/>
      </w:r>
      <w:r w:rsidRPr="00554D11">
        <w:t xml:space="preserve">  In addition, NAESB developed </w:t>
      </w:r>
      <w:r w:rsidR="00B138C8" w:rsidRPr="00554D11">
        <w:t>two</w:t>
      </w:r>
      <w:r w:rsidR="005B0629" w:rsidRPr="00554D11">
        <w:t xml:space="preserve"> new suite</w:t>
      </w:r>
      <w:r w:rsidR="00B138C8" w:rsidRPr="00554D11">
        <w:t>s</w:t>
      </w:r>
      <w:r w:rsidR="005B0629" w:rsidRPr="00554D11">
        <w:t xml:space="preserve"> of </w:t>
      </w:r>
      <w:r w:rsidRPr="00554D11">
        <w:t xml:space="preserve">standards </w:t>
      </w:r>
      <w:r w:rsidR="006E1C67">
        <w:t xml:space="preserve">in </w:t>
      </w:r>
      <w:r w:rsidRPr="00554D11">
        <w:t xml:space="preserve">coordination with the North American Electric Reliability Corporation (NERC) </w:t>
      </w:r>
      <w:r w:rsidR="00523460">
        <w:t xml:space="preserve">(the Commission-certified “electric reliability organization” responsible </w:t>
      </w:r>
      <w:r w:rsidR="00523460" w:rsidRPr="00523460">
        <w:t>for developing and enforcing mandatory Reliability Standards</w:t>
      </w:r>
      <w:r w:rsidR="00523460">
        <w:t>)</w:t>
      </w:r>
      <w:r w:rsidR="00523460" w:rsidRPr="00523460">
        <w:t>.</w:t>
      </w:r>
      <w:r w:rsidR="00523460" w:rsidRPr="00523460">
        <w:rPr>
          <w:b/>
          <w:vertAlign w:val="superscript"/>
        </w:rPr>
        <w:footnoteReference w:id="7"/>
      </w:r>
      <w:r w:rsidR="00523460" w:rsidRPr="00523460">
        <w:t xml:space="preserve"> </w:t>
      </w:r>
      <w:r w:rsidR="00D35826">
        <w:t xml:space="preserve"> </w:t>
      </w:r>
      <w:r w:rsidR="00523460" w:rsidRPr="00523460">
        <w:t>These two NAESB proposals would</w:t>
      </w:r>
      <w:r w:rsidR="001B48CC" w:rsidRPr="00554D11">
        <w:t xml:space="preserve"> establish</w:t>
      </w:r>
      <w:r w:rsidR="0076215F">
        <w:t xml:space="preserve">: </w:t>
      </w:r>
      <w:r w:rsidR="001B48CC" w:rsidRPr="00554D11">
        <w:t xml:space="preserve"> </w:t>
      </w:r>
      <w:r w:rsidR="00523460">
        <w:t xml:space="preserve">(1) </w:t>
      </w:r>
      <w:r w:rsidR="001B48CC" w:rsidRPr="00554D11">
        <w:t xml:space="preserve">NAESB Electric Industry Registry (EIR) business practice standards that replace the NERC Transmission System Information Networks (TSIN) as the tool </w:t>
      </w:r>
      <w:r w:rsidR="00B759BE" w:rsidRPr="00554D11">
        <w:t xml:space="preserve">to be used </w:t>
      </w:r>
      <w:r w:rsidR="001B48CC" w:rsidRPr="00554D11">
        <w:t>by wholesale electric markets to conduct electronic transactions via electronic tagging (e-</w:t>
      </w:r>
      <w:r w:rsidR="00B759BE" w:rsidRPr="00554D11">
        <w:t>T</w:t>
      </w:r>
      <w:r w:rsidR="0076215F">
        <w:t>ags);</w:t>
      </w:r>
      <w:r w:rsidR="001B48CC" w:rsidRPr="00554D11">
        <w:t xml:space="preserve"> and (2</w:t>
      </w:r>
      <w:r w:rsidR="00343CF4" w:rsidRPr="00554D11">
        <w:t>)</w:t>
      </w:r>
      <w:r w:rsidR="00523460">
        <w:t> </w:t>
      </w:r>
      <w:r w:rsidR="0036392D" w:rsidRPr="00554D11">
        <w:t xml:space="preserve">Modeling </w:t>
      </w:r>
      <w:r w:rsidR="005A59B7" w:rsidRPr="00554D11">
        <w:t xml:space="preserve">Business </w:t>
      </w:r>
    </w:p>
    <w:p w14:paraId="03312921" w14:textId="77777777" w:rsidR="00874244" w:rsidRDefault="00874244">
      <w:pPr>
        <w:widowControl/>
        <w:autoSpaceDE/>
        <w:autoSpaceDN/>
        <w:adjustRightInd/>
      </w:pPr>
      <w:r>
        <w:br w:type="page"/>
      </w:r>
    </w:p>
    <w:p w14:paraId="6F34B1EF" w14:textId="4DB711C2" w:rsidR="00A123E5" w:rsidRPr="00554D11" w:rsidRDefault="005A59B7" w:rsidP="005D15CB">
      <w:pPr>
        <w:pStyle w:val="FERCparanumber"/>
        <w:numPr>
          <w:ilvl w:val="0"/>
          <w:numId w:val="0"/>
        </w:numPr>
      </w:pPr>
      <w:r w:rsidRPr="00554D11">
        <w:lastRenderedPageBreak/>
        <w:t xml:space="preserve">Practice Standards to </w:t>
      </w:r>
      <w:r w:rsidR="00246073" w:rsidRPr="00554D11">
        <w:t xml:space="preserve">support and complement </w:t>
      </w:r>
      <w:r w:rsidR="001E7E23" w:rsidRPr="00554D11">
        <w:t xml:space="preserve">NERC’s </w:t>
      </w:r>
      <w:r w:rsidR="00246073" w:rsidRPr="00554D11">
        <w:t xml:space="preserve">proposed </w:t>
      </w:r>
      <w:r w:rsidR="00FE483F" w:rsidRPr="00554D11">
        <w:t xml:space="preserve">retirement </w:t>
      </w:r>
      <w:r w:rsidR="00246073" w:rsidRPr="00554D11">
        <w:t xml:space="preserve">of </w:t>
      </w:r>
      <w:r w:rsidR="001E7E23" w:rsidRPr="00554D11">
        <w:t>its</w:t>
      </w:r>
      <w:r w:rsidR="00246073" w:rsidRPr="00554D11">
        <w:t xml:space="preserve"> </w:t>
      </w:r>
      <w:r w:rsidR="005D15CB">
        <w:t xml:space="preserve"> </w:t>
      </w:r>
      <w:r w:rsidR="00246073" w:rsidRPr="00554D11">
        <w:t>“MOD A” Reliability Standards</w:t>
      </w:r>
      <w:r w:rsidR="00526792">
        <w:t>.</w:t>
      </w:r>
      <w:r w:rsidR="000C07CA" w:rsidRPr="00554D11">
        <w:rPr>
          <w:rStyle w:val="FootnoteReference"/>
        </w:rPr>
        <w:footnoteReference w:id="8"/>
      </w:r>
    </w:p>
    <w:p w14:paraId="539B0E85" w14:textId="77777777" w:rsidR="00C45360" w:rsidRPr="00554D11" w:rsidRDefault="00062F52" w:rsidP="00554D11">
      <w:pPr>
        <w:pStyle w:val="FERCparanumber"/>
      </w:pPr>
      <w:r w:rsidRPr="00554D11">
        <w:t>NAESB</w:t>
      </w:r>
      <w:r w:rsidR="00DA5D10" w:rsidRPr="00554D11">
        <w:t xml:space="preserve">’s </w:t>
      </w:r>
      <w:r w:rsidR="00CF237D" w:rsidRPr="00554D11">
        <w:t>WEQ Version 003.1</w:t>
      </w:r>
      <w:r w:rsidR="00DA5D10" w:rsidRPr="00554D11">
        <w:t xml:space="preserve"> Business Practice Standards</w:t>
      </w:r>
      <w:r w:rsidRPr="00554D11">
        <w:t xml:space="preserve"> </w:t>
      </w:r>
      <w:r w:rsidR="00C45360" w:rsidRPr="00554D11">
        <w:t xml:space="preserve">include </w:t>
      </w:r>
      <w:r w:rsidR="00C97B57" w:rsidRPr="00554D11">
        <w:t>mo</w:t>
      </w:r>
      <w:r w:rsidR="00C45360" w:rsidRPr="00554D11">
        <w:t xml:space="preserve">difications to </w:t>
      </w:r>
      <w:r w:rsidR="00B843CC" w:rsidRPr="00554D11">
        <w:t xml:space="preserve">the following set of </w:t>
      </w:r>
      <w:r w:rsidR="00C45360" w:rsidRPr="00554D11">
        <w:t>existing standards:</w:t>
      </w:r>
      <w:r w:rsidR="00C45360" w:rsidRPr="00554D11">
        <w:rPr>
          <w:rStyle w:val="FootnoteReference"/>
        </w:rPr>
        <w:footnoteReference w:id="9"/>
      </w:r>
    </w:p>
    <w:p w14:paraId="7E88D60F" w14:textId="77777777" w:rsidR="00C45360" w:rsidRPr="00554D11" w:rsidRDefault="00C45360" w:rsidP="00C45360">
      <w:pPr>
        <w:pStyle w:val="BodyText3"/>
        <w:ind w:left="720" w:right="-1035"/>
        <w:rPr>
          <w:sz w:val="26"/>
          <w:szCs w:val="26"/>
        </w:rPr>
      </w:pPr>
      <w:r w:rsidRPr="00554D11">
        <w:rPr>
          <w:b/>
          <w:sz w:val="26"/>
          <w:szCs w:val="26"/>
          <w:u w:val="single"/>
        </w:rPr>
        <w:t>WEQ</w:t>
      </w:r>
      <w:r w:rsidRPr="00554D11">
        <w:rPr>
          <w:sz w:val="26"/>
          <w:szCs w:val="26"/>
          <w:u w:val="single"/>
        </w:rPr>
        <w:tab/>
      </w:r>
      <w:r w:rsidRPr="00554D11">
        <w:rPr>
          <w:sz w:val="26"/>
          <w:szCs w:val="26"/>
        </w:rPr>
        <w:tab/>
      </w:r>
      <w:r w:rsidR="008C1621" w:rsidRPr="00554D11">
        <w:rPr>
          <w:b/>
          <w:sz w:val="26"/>
          <w:szCs w:val="26"/>
          <w:u w:val="single"/>
        </w:rPr>
        <w:t>Business Practice Standards</w:t>
      </w:r>
      <w:r w:rsidRPr="00554D11">
        <w:rPr>
          <w:sz w:val="26"/>
          <w:szCs w:val="26"/>
        </w:rPr>
        <w:t xml:space="preserve"> </w:t>
      </w:r>
    </w:p>
    <w:p w14:paraId="6289042B" w14:textId="77777777" w:rsidR="00C45360" w:rsidRPr="00554D11" w:rsidRDefault="00C45360" w:rsidP="00C45360">
      <w:pPr>
        <w:pStyle w:val="BodyText3"/>
        <w:ind w:left="2160" w:right="-1037" w:hanging="1440"/>
        <w:rPr>
          <w:sz w:val="26"/>
          <w:szCs w:val="26"/>
        </w:rPr>
      </w:pPr>
      <w:r w:rsidRPr="00554D11">
        <w:rPr>
          <w:sz w:val="26"/>
          <w:szCs w:val="26"/>
        </w:rPr>
        <w:t>000</w:t>
      </w:r>
      <w:r w:rsidRPr="00554D11">
        <w:rPr>
          <w:sz w:val="26"/>
          <w:szCs w:val="26"/>
        </w:rPr>
        <w:tab/>
        <w:t xml:space="preserve">Abbreviations, Acronyms, and Definition of Terms </w:t>
      </w:r>
    </w:p>
    <w:p w14:paraId="3D71D63D" w14:textId="77777777" w:rsidR="00C45360" w:rsidRPr="00554D11" w:rsidRDefault="00C45360" w:rsidP="00C45360">
      <w:pPr>
        <w:pStyle w:val="BodyText3"/>
        <w:ind w:left="2160" w:right="-1035" w:hanging="1440"/>
        <w:rPr>
          <w:sz w:val="26"/>
          <w:szCs w:val="26"/>
        </w:rPr>
      </w:pPr>
      <w:r w:rsidRPr="00554D11">
        <w:rPr>
          <w:sz w:val="26"/>
          <w:szCs w:val="26"/>
        </w:rPr>
        <w:t>001</w:t>
      </w:r>
      <w:r w:rsidRPr="00554D11">
        <w:rPr>
          <w:sz w:val="26"/>
          <w:szCs w:val="26"/>
        </w:rPr>
        <w:tab/>
        <w:t>Open Access Same-Time Information System (OASIS)</w:t>
      </w:r>
    </w:p>
    <w:p w14:paraId="5334BC39" w14:textId="77777777" w:rsidR="00C45360" w:rsidRPr="00554D11" w:rsidRDefault="00C45360" w:rsidP="00C45360">
      <w:pPr>
        <w:pStyle w:val="BodyText3"/>
        <w:ind w:left="2160" w:right="-1035" w:hanging="1440"/>
        <w:rPr>
          <w:sz w:val="26"/>
          <w:szCs w:val="26"/>
        </w:rPr>
      </w:pPr>
      <w:r w:rsidRPr="00554D11">
        <w:rPr>
          <w:sz w:val="26"/>
          <w:szCs w:val="26"/>
        </w:rPr>
        <w:t>002</w:t>
      </w:r>
      <w:r w:rsidRPr="00554D11">
        <w:rPr>
          <w:sz w:val="26"/>
          <w:szCs w:val="26"/>
        </w:rPr>
        <w:tab/>
        <w:t>OASIS Standards and Communication Protocols (S&amp;CP)</w:t>
      </w:r>
    </w:p>
    <w:p w14:paraId="2925BD49" w14:textId="77777777" w:rsidR="00C45360" w:rsidRPr="00554D11" w:rsidRDefault="00C45360" w:rsidP="00C45360">
      <w:pPr>
        <w:pStyle w:val="BodyText3"/>
        <w:ind w:left="720" w:right="-1035"/>
        <w:rPr>
          <w:sz w:val="26"/>
          <w:szCs w:val="26"/>
        </w:rPr>
      </w:pPr>
      <w:r w:rsidRPr="00554D11">
        <w:rPr>
          <w:sz w:val="26"/>
          <w:szCs w:val="26"/>
        </w:rPr>
        <w:t xml:space="preserve">003 </w:t>
      </w:r>
      <w:r w:rsidRPr="00554D11">
        <w:rPr>
          <w:sz w:val="26"/>
          <w:szCs w:val="26"/>
        </w:rPr>
        <w:tab/>
      </w:r>
      <w:r w:rsidRPr="00554D11">
        <w:rPr>
          <w:sz w:val="26"/>
          <w:szCs w:val="26"/>
        </w:rPr>
        <w:tab/>
        <w:t>OASIS S&amp;CP Data Dictionaries</w:t>
      </w:r>
    </w:p>
    <w:p w14:paraId="27DB668C" w14:textId="77777777" w:rsidR="00C45360" w:rsidRPr="00554D11" w:rsidRDefault="00C45360" w:rsidP="00C45360">
      <w:pPr>
        <w:pStyle w:val="BodyText3"/>
        <w:ind w:left="720" w:right="-1035"/>
        <w:rPr>
          <w:sz w:val="26"/>
          <w:szCs w:val="26"/>
        </w:rPr>
      </w:pPr>
      <w:r w:rsidRPr="00554D11">
        <w:rPr>
          <w:sz w:val="26"/>
          <w:szCs w:val="26"/>
        </w:rPr>
        <w:t xml:space="preserve">004 </w:t>
      </w:r>
      <w:r w:rsidRPr="00554D11">
        <w:rPr>
          <w:sz w:val="26"/>
          <w:szCs w:val="26"/>
        </w:rPr>
        <w:tab/>
        <w:t xml:space="preserve"> </w:t>
      </w:r>
      <w:r w:rsidRPr="00554D11">
        <w:rPr>
          <w:sz w:val="26"/>
          <w:szCs w:val="26"/>
        </w:rPr>
        <w:tab/>
        <w:t>Coordinate Interchange</w:t>
      </w:r>
    </w:p>
    <w:p w14:paraId="26F9D836" w14:textId="77777777" w:rsidR="00C45360" w:rsidRPr="00554D11" w:rsidRDefault="00C45360" w:rsidP="00C45360">
      <w:pPr>
        <w:pStyle w:val="BodyText3"/>
        <w:ind w:left="720" w:right="-1035"/>
        <w:rPr>
          <w:sz w:val="26"/>
          <w:szCs w:val="26"/>
        </w:rPr>
      </w:pPr>
      <w:r w:rsidRPr="00554D11">
        <w:rPr>
          <w:sz w:val="26"/>
          <w:szCs w:val="26"/>
        </w:rPr>
        <w:t>006</w:t>
      </w:r>
      <w:r w:rsidRPr="00554D11">
        <w:rPr>
          <w:sz w:val="26"/>
          <w:szCs w:val="26"/>
        </w:rPr>
        <w:tab/>
      </w:r>
      <w:r w:rsidRPr="00554D11">
        <w:rPr>
          <w:sz w:val="26"/>
          <w:szCs w:val="26"/>
        </w:rPr>
        <w:tab/>
        <w:t>Manual Time Error Corrections</w:t>
      </w:r>
    </w:p>
    <w:p w14:paraId="59E850CE" w14:textId="77777777" w:rsidR="00C45360" w:rsidRPr="00554D11" w:rsidRDefault="00C45360" w:rsidP="00C45360">
      <w:pPr>
        <w:pStyle w:val="BodyText3"/>
        <w:ind w:left="720" w:right="-1035"/>
        <w:rPr>
          <w:sz w:val="26"/>
          <w:szCs w:val="26"/>
        </w:rPr>
      </w:pPr>
      <w:r w:rsidRPr="00554D11">
        <w:rPr>
          <w:sz w:val="26"/>
          <w:szCs w:val="26"/>
        </w:rPr>
        <w:t>012</w:t>
      </w:r>
      <w:r w:rsidRPr="00554D11">
        <w:rPr>
          <w:sz w:val="26"/>
          <w:szCs w:val="26"/>
        </w:rPr>
        <w:tab/>
      </w:r>
      <w:r w:rsidRPr="00554D11">
        <w:rPr>
          <w:sz w:val="26"/>
          <w:szCs w:val="26"/>
        </w:rPr>
        <w:tab/>
        <w:t>Public Key Infrastructure (PKI)</w:t>
      </w:r>
    </w:p>
    <w:p w14:paraId="4070C9B9" w14:textId="77777777" w:rsidR="00C45360" w:rsidRPr="00554D11" w:rsidRDefault="00C45360" w:rsidP="00C45360">
      <w:pPr>
        <w:pStyle w:val="BodyText3"/>
        <w:ind w:left="720" w:right="-1035"/>
        <w:rPr>
          <w:sz w:val="26"/>
          <w:szCs w:val="26"/>
        </w:rPr>
      </w:pPr>
      <w:r w:rsidRPr="00554D11">
        <w:rPr>
          <w:sz w:val="26"/>
          <w:szCs w:val="26"/>
        </w:rPr>
        <w:t>013</w:t>
      </w:r>
      <w:r w:rsidRPr="00554D11">
        <w:rPr>
          <w:sz w:val="26"/>
          <w:szCs w:val="26"/>
        </w:rPr>
        <w:tab/>
      </w:r>
      <w:r w:rsidRPr="00554D11">
        <w:rPr>
          <w:sz w:val="26"/>
          <w:szCs w:val="26"/>
        </w:rPr>
        <w:tab/>
        <w:t>OASIS Implementation Guide</w:t>
      </w:r>
    </w:p>
    <w:p w14:paraId="41F7A4B6" w14:textId="77777777" w:rsidR="00454FCA" w:rsidRPr="00554D11" w:rsidRDefault="009A7538" w:rsidP="001E2405">
      <w:pPr>
        <w:pStyle w:val="BodyText3"/>
        <w:spacing w:after="240"/>
        <w:ind w:left="720" w:right="-1037"/>
        <w:rPr>
          <w:sz w:val="26"/>
        </w:rPr>
      </w:pPr>
      <w:r w:rsidRPr="00554D11">
        <w:rPr>
          <w:sz w:val="26"/>
          <w:szCs w:val="26"/>
        </w:rPr>
        <w:t>019</w:t>
      </w:r>
      <w:r w:rsidRPr="00554D11">
        <w:rPr>
          <w:sz w:val="26"/>
          <w:szCs w:val="26"/>
        </w:rPr>
        <w:tab/>
      </w:r>
      <w:r w:rsidRPr="00554D11">
        <w:rPr>
          <w:sz w:val="26"/>
          <w:szCs w:val="26"/>
        </w:rPr>
        <w:tab/>
      </w:r>
      <w:r w:rsidR="00C45360" w:rsidRPr="00554D11">
        <w:rPr>
          <w:sz w:val="26"/>
          <w:szCs w:val="26"/>
        </w:rPr>
        <w:t>Customer Energy Usage Information Communication</w:t>
      </w:r>
    </w:p>
    <w:p w14:paraId="738A8167" w14:textId="77777777" w:rsidR="00874244" w:rsidRDefault="00874244">
      <w:pPr>
        <w:widowControl/>
        <w:autoSpaceDE/>
        <w:autoSpaceDN/>
        <w:adjustRightInd/>
      </w:pPr>
      <w:r>
        <w:br w:type="page"/>
      </w:r>
    </w:p>
    <w:p w14:paraId="5476A02D" w14:textId="10038ED0" w:rsidR="009A7538" w:rsidRPr="00554D11" w:rsidRDefault="00152FD5" w:rsidP="00554D11">
      <w:pPr>
        <w:pStyle w:val="FERCparanumber"/>
      </w:pPr>
      <w:r w:rsidRPr="00554D11">
        <w:lastRenderedPageBreak/>
        <w:t>Additionally, t</w:t>
      </w:r>
      <w:r w:rsidR="009A7538" w:rsidRPr="00554D11">
        <w:t>he Version 003.1 standards include two new suites of standards:</w:t>
      </w:r>
    </w:p>
    <w:p w14:paraId="65EBB1D1" w14:textId="77777777" w:rsidR="00A324F9" w:rsidRPr="00554D11" w:rsidRDefault="00A324F9" w:rsidP="00A744E4">
      <w:pPr>
        <w:pStyle w:val="FERCparanumber"/>
        <w:numPr>
          <w:ilvl w:val="0"/>
          <w:numId w:val="0"/>
        </w:numPr>
        <w:ind w:firstLine="720"/>
        <w:rPr>
          <w:b/>
        </w:rPr>
      </w:pPr>
      <w:r w:rsidRPr="00554D11">
        <w:rPr>
          <w:b/>
          <w:u w:val="single"/>
        </w:rPr>
        <w:t>WEQ</w:t>
      </w:r>
      <w:r w:rsidR="008C1621" w:rsidRPr="00554D11">
        <w:rPr>
          <w:b/>
        </w:rPr>
        <w:tab/>
      </w:r>
      <w:r w:rsidR="008C1621" w:rsidRPr="00554D11">
        <w:rPr>
          <w:b/>
        </w:rPr>
        <w:tab/>
      </w:r>
      <w:r w:rsidR="008C1621" w:rsidRPr="00554D11">
        <w:rPr>
          <w:b/>
          <w:szCs w:val="26"/>
          <w:u w:val="single"/>
        </w:rPr>
        <w:t>Business Practice Standards</w:t>
      </w:r>
    </w:p>
    <w:p w14:paraId="1E11861B" w14:textId="77777777" w:rsidR="009A7538" w:rsidRPr="00554D11" w:rsidRDefault="009A7538" w:rsidP="009A7538">
      <w:pPr>
        <w:pStyle w:val="BodyText3"/>
        <w:ind w:left="720" w:right="-1035"/>
        <w:rPr>
          <w:sz w:val="26"/>
          <w:szCs w:val="26"/>
        </w:rPr>
      </w:pPr>
      <w:r w:rsidRPr="00554D11">
        <w:rPr>
          <w:sz w:val="26"/>
          <w:szCs w:val="26"/>
        </w:rPr>
        <w:t>022</w:t>
      </w:r>
      <w:r w:rsidRPr="00554D11">
        <w:rPr>
          <w:sz w:val="26"/>
          <w:szCs w:val="26"/>
        </w:rPr>
        <w:tab/>
      </w:r>
      <w:r w:rsidRPr="00554D11">
        <w:rPr>
          <w:sz w:val="26"/>
          <w:szCs w:val="26"/>
        </w:rPr>
        <w:tab/>
        <w:t xml:space="preserve">Electric Industry Registry (EIR) </w:t>
      </w:r>
    </w:p>
    <w:p w14:paraId="215271DB" w14:textId="77777777" w:rsidR="009A7538" w:rsidRPr="00554D11" w:rsidRDefault="008C1621" w:rsidP="001E2405">
      <w:pPr>
        <w:pStyle w:val="BodyText3"/>
        <w:spacing w:after="240"/>
        <w:ind w:left="720" w:right="-1037"/>
        <w:rPr>
          <w:sz w:val="26"/>
          <w:szCs w:val="26"/>
        </w:rPr>
      </w:pPr>
      <w:r w:rsidRPr="00554D11">
        <w:rPr>
          <w:sz w:val="26"/>
          <w:szCs w:val="26"/>
        </w:rPr>
        <w:t>023</w:t>
      </w:r>
      <w:r w:rsidRPr="00554D11">
        <w:rPr>
          <w:sz w:val="26"/>
          <w:szCs w:val="26"/>
        </w:rPr>
        <w:tab/>
      </w:r>
      <w:r w:rsidRPr="00554D11">
        <w:rPr>
          <w:sz w:val="26"/>
          <w:szCs w:val="26"/>
        </w:rPr>
        <w:tab/>
        <w:t>Modeling</w:t>
      </w:r>
    </w:p>
    <w:p w14:paraId="72E6B34D" w14:textId="105CFAA0" w:rsidR="00A123E5" w:rsidRPr="00554D11" w:rsidRDefault="008C1621" w:rsidP="00554D11">
      <w:pPr>
        <w:pStyle w:val="FERCparanumber"/>
      </w:pPr>
      <w:r w:rsidRPr="00554D11">
        <w:t>These NAESB standards, developed through the NAESB standards development process or the NAESB minor</w:t>
      </w:r>
      <w:r w:rsidR="00E94846" w:rsidRPr="00554D11">
        <w:t xml:space="preserve"> correction process</w:t>
      </w:r>
      <w:r w:rsidR="00B66C33" w:rsidRPr="00554D11">
        <w:t>,</w:t>
      </w:r>
      <w:r w:rsidR="00E94846" w:rsidRPr="00554D11">
        <w:t xml:space="preserve"> build upon </w:t>
      </w:r>
      <w:r w:rsidR="00DA5D10" w:rsidRPr="00554D11">
        <w:t xml:space="preserve">the </w:t>
      </w:r>
      <w:r w:rsidR="00E94846" w:rsidRPr="00554D11">
        <w:t>V</w:t>
      </w:r>
      <w:r w:rsidRPr="00554D11">
        <w:t xml:space="preserve">ersion 003 WEQ Business Practice Standards </w:t>
      </w:r>
      <w:r w:rsidR="00E26EC8" w:rsidRPr="00554D11">
        <w:t xml:space="preserve">that NAESB </w:t>
      </w:r>
      <w:r w:rsidRPr="00554D11">
        <w:t>filed with the Commission on September 18, 2012 and th</w:t>
      </w:r>
      <w:r w:rsidR="00E26EC8" w:rsidRPr="00554D11">
        <w:t xml:space="preserve">at the </w:t>
      </w:r>
      <w:r w:rsidRPr="00554D11">
        <w:t xml:space="preserve">Commission </w:t>
      </w:r>
      <w:r w:rsidR="00E26EC8" w:rsidRPr="00554D11">
        <w:t xml:space="preserve">incorporated by reference into its regulations in </w:t>
      </w:r>
      <w:r w:rsidR="0014507F" w:rsidRPr="00554D11">
        <w:t>Order</w:t>
      </w:r>
      <w:r w:rsidRPr="00554D11">
        <w:t xml:space="preserve"> </w:t>
      </w:r>
      <w:r w:rsidR="00FF62E4">
        <w:t xml:space="preserve"> </w:t>
      </w:r>
      <w:r w:rsidRPr="00554D11">
        <w:t xml:space="preserve">No. 676-H, </w:t>
      </w:r>
      <w:r w:rsidR="00E26EC8" w:rsidRPr="00554D11">
        <w:t xml:space="preserve">a final rule </w:t>
      </w:r>
      <w:r w:rsidRPr="00554D11">
        <w:t xml:space="preserve">issued </w:t>
      </w:r>
      <w:r w:rsidR="00F44E0F" w:rsidRPr="00554D11">
        <w:t xml:space="preserve">by the Commission </w:t>
      </w:r>
      <w:r w:rsidR="00E26EC8" w:rsidRPr="00554D11">
        <w:t xml:space="preserve">on </w:t>
      </w:r>
      <w:r w:rsidRPr="00554D11">
        <w:t>September 18, 2014.</w:t>
      </w:r>
      <w:r w:rsidR="00450F40" w:rsidRPr="00554D11">
        <w:rPr>
          <w:rStyle w:val="FootnoteReference"/>
        </w:rPr>
        <w:footnoteReference w:id="10"/>
      </w:r>
    </w:p>
    <w:p w14:paraId="17797B86" w14:textId="77777777" w:rsidR="00A123E5" w:rsidRPr="00554D11" w:rsidRDefault="00A123E5" w:rsidP="00F362BB">
      <w:pPr>
        <w:pStyle w:val="Heading1"/>
        <w:numPr>
          <w:ilvl w:val="0"/>
          <w:numId w:val="27"/>
        </w:numPr>
      </w:pPr>
      <w:bookmarkStart w:id="2" w:name="_Toc441070563"/>
      <w:r w:rsidRPr="00554D11">
        <w:t>Background</w:t>
      </w:r>
      <w:bookmarkStart w:id="3" w:name="_bmk1"/>
      <w:bookmarkEnd w:id="2"/>
    </w:p>
    <w:bookmarkEnd w:id="3"/>
    <w:p w14:paraId="2A84828C" w14:textId="4DBC84D1" w:rsidR="00A123E5" w:rsidRPr="00554D11" w:rsidRDefault="00A123E5" w:rsidP="00554D11">
      <w:pPr>
        <w:pStyle w:val="FERCparanumber"/>
      </w:pPr>
      <w:r w:rsidRPr="00554D11">
        <w:t xml:space="preserve">NAESB is a non-profit standards development organization established in </w:t>
      </w:r>
      <w:r w:rsidR="0006298B">
        <w:t>late 2001</w:t>
      </w:r>
      <w:r w:rsidRPr="00554D11">
        <w:t xml:space="preserve"> </w:t>
      </w:r>
      <w:r w:rsidR="005716B3">
        <w:t xml:space="preserve">(as the successor to the </w:t>
      </w:r>
      <w:r w:rsidR="005716B3" w:rsidRPr="005716B3">
        <w:t>Gas Industry Standards Board</w:t>
      </w:r>
      <w:r w:rsidR="005716B3">
        <w:t xml:space="preserve"> (GISB), </w:t>
      </w:r>
      <w:r w:rsidR="00D321E5">
        <w:t xml:space="preserve">which was </w:t>
      </w:r>
      <w:r w:rsidR="005716B3">
        <w:t>established in 1994) and</w:t>
      </w:r>
      <w:r w:rsidRPr="00554D11">
        <w:t xml:space="preserve"> serves as an industry forum for the development of business practice standards </w:t>
      </w:r>
      <w:r w:rsidR="005716B3">
        <w:t xml:space="preserve">and communication protocols </w:t>
      </w:r>
      <w:r w:rsidRPr="00554D11">
        <w:t xml:space="preserve">for </w:t>
      </w:r>
      <w:r w:rsidR="005716B3">
        <w:t xml:space="preserve">the </w:t>
      </w:r>
      <w:r w:rsidRPr="00554D11">
        <w:t>wholesale and retail natural gas and electricity</w:t>
      </w:r>
      <w:r w:rsidR="0006298B">
        <w:t xml:space="preserve"> industry sectors</w:t>
      </w:r>
      <w:r w:rsidRPr="00554D11">
        <w:t xml:space="preserve">.  Since 1995, NAESB and its predecessor, the </w:t>
      </w:r>
      <w:r w:rsidR="005716B3">
        <w:t>GISB</w:t>
      </w:r>
      <w:r w:rsidRPr="00554D11">
        <w:t>, have been accredited members of the American National Standards Institute (ANSI), complying with ANSI’s requirements that its standards reflect a consensus of the affected industries.</w:t>
      </w:r>
      <w:r w:rsidR="005716B3">
        <w:rPr>
          <w:rStyle w:val="FootnoteReference"/>
        </w:rPr>
        <w:footnoteReference w:id="11"/>
      </w:r>
    </w:p>
    <w:p w14:paraId="3890F78C" w14:textId="7A5C4A6E" w:rsidR="00A123E5" w:rsidRPr="00554D11" w:rsidRDefault="00A123E5" w:rsidP="00554D11">
      <w:pPr>
        <w:pStyle w:val="FERCparanumber"/>
      </w:pPr>
      <w:r w:rsidRPr="00554D11">
        <w:lastRenderedPageBreak/>
        <w:t xml:space="preserve">NAESB’s standards include business practices </w:t>
      </w:r>
      <w:r w:rsidR="006858BB" w:rsidRPr="00554D11">
        <w:t>intended to standardize and</w:t>
      </w:r>
      <w:r w:rsidRPr="00554D11">
        <w:t xml:space="preserve"> streamline the transactional processes of the natural gas and electric industries, as well as communication protocols and related standards designed to improve the efficiency of communication within each industry.  NAESB supports all </w:t>
      </w:r>
      <w:r w:rsidR="00E375E7" w:rsidRPr="00554D11">
        <w:t>three</w:t>
      </w:r>
      <w:r w:rsidRPr="00554D11">
        <w:t xml:space="preserve"> quadrants of the gas and electric industries – wholesale gas, wholesale electric, </w:t>
      </w:r>
      <w:r w:rsidR="00E375E7" w:rsidRPr="00554D11">
        <w:t xml:space="preserve">and </w:t>
      </w:r>
      <w:r w:rsidRPr="00554D11">
        <w:t>retail</w:t>
      </w:r>
      <w:r w:rsidR="00E375E7" w:rsidRPr="00554D11">
        <w:t xml:space="preserve"> </w:t>
      </w:r>
      <w:r w:rsidR="006A6A6D" w:rsidRPr="00554D11">
        <w:t xml:space="preserve">markets </w:t>
      </w:r>
      <w:r w:rsidR="00E375E7" w:rsidRPr="00554D11">
        <w:t>quadrant</w:t>
      </w:r>
      <w:r w:rsidRPr="00554D11">
        <w:t>.</w:t>
      </w:r>
      <w:r w:rsidR="00407A36" w:rsidRPr="00554D11">
        <w:rPr>
          <w:rStyle w:val="FootnoteReference"/>
        </w:rPr>
        <w:footnoteReference w:id="12"/>
      </w:r>
      <w:r w:rsidRPr="00554D11">
        <w:t xml:space="preserve">  All participants in the gas and electric industries are eligible to join NAESB and participate in standards development.</w:t>
      </w:r>
    </w:p>
    <w:p w14:paraId="2C7582AA" w14:textId="4A975C85" w:rsidR="00A123E5" w:rsidRPr="00554D11" w:rsidRDefault="00A123E5" w:rsidP="00554D11">
      <w:pPr>
        <w:pStyle w:val="FERCparanumber"/>
      </w:pPr>
      <w:r w:rsidRPr="00554D11">
        <w:t xml:space="preserve">NAESB develops its standards under a consensus process so that the standards draw support from a wide range of industry members.  NAESB’s procedures are designed to ensure that all </w:t>
      </w:r>
      <w:r w:rsidR="00FB40DB" w:rsidRPr="00554D11">
        <w:t>persons choosing to participate</w:t>
      </w:r>
      <w:r w:rsidRPr="00554D11">
        <w:t xml:space="preserve"> can have input into the development of a standard, </w:t>
      </w:r>
      <w:r w:rsidR="009441B9" w:rsidRPr="00554D11">
        <w:t xml:space="preserve">regardless of </w:t>
      </w:r>
      <w:r w:rsidRPr="00554D11">
        <w:t>whether they are members of NAESB, and each standard NAESB adopts is supported by a consensus of the relevant industry segments.  Standards that fail to gain consensus support are not adopted.</w:t>
      </w:r>
      <w:r w:rsidR="00FB40DB" w:rsidRPr="00554D11">
        <w:t xml:space="preserve">  NAESB’s consistent practice has been to submit a report to the Commission after it has made revisions to existing business practice standards or has developed and adopted new business practice standards.  NAESB’s standards are </w:t>
      </w:r>
      <w:r w:rsidR="00F9150F" w:rsidRPr="00554D11">
        <w:t>voluntary</w:t>
      </w:r>
      <w:r w:rsidR="00FB40DB" w:rsidRPr="00554D11">
        <w:t xml:space="preserve"> standards</w:t>
      </w:r>
      <w:r w:rsidR="00EF6AB2" w:rsidRPr="00554D11">
        <w:t>, which</w:t>
      </w:r>
      <w:r w:rsidR="00FE483F" w:rsidRPr="00554D11">
        <w:t xml:space="preserve"> become mandatory</w:t>
      </w:r>
      <w:r w:rsidR="00F9150F" w:rsidRPr="00554D11">
        <w:t xml:space="preserve"> </w:t>
      </w:r>
      <w:r w:rsidR="00EF6AB2" w:rsidRPr="00554D11">
        <w:t>for public utilities upon</w:t>
      </w:r>
      <w:r w:rsidR="00FB40DB" w:rsidRPr="00554D11">
        <w:t xml:space="preserve"> </w:t>
      </w:r>
      <w:r w:rsidR="00F9150F" w:rsidRPr="00554D11">
        <w:t>incorporat</w:t>
      </w:r>
      <w:r w:rsidR="00EF6AB2" w:rsidRPr="00554D11">
        <w:t>ion</w:t>
      </w:r>
      <w:r w:rsidR="00FB40DB" w:rsidRPr="00554D11">
        <w:t xml:space="preserve"> by reference </w:t>
      </w:r>
      <w:r w:rsidR="00EF6AB2" w:rsidRPr="00554D11">
        <w:t xml:space="preserve">by </w:t>
      </w:r>
      <w:r w:rsidR="00FE483F" w:rsidRPr="00554D11">
        <w:t>the</w:t>
      </w:r>
      <w:r w:rsidR="00FB40DB" w:rsidRPr="00554D11">
        <w:t xml:space="preserve"> </w:t>
      </w:r>
      <w:r w:rsidR="00F9150F" w:rsidRPr="00554D11">
        <w:t>Commission</w:t>
      </w:r>
      <w:r w:rsidR="006D18A3" w:rsidRPr="00554D11">
        <w:t>.</w:t>
      </w:r>
    </w:p>
    <w:p w14:paraId="33226E34" w14:textId="2BC52A44" w:rsidR="00A123E5" w:rsidRPr="00554D11" w:rsidRDefault="00A123E5" w:rsidP="00554D11">
      <w:pPr>
        <w:pStyle w:val="FERCparanumber"/>
      </w:pPr>
      <w:r w:rsidRPr="00554D11">
        <w:lastRenderedPageBreak/>
        <w:t>In Order No. 676,</w:t>
      </w:r>
      <w:r w:rsidR="001E7E23" w:rsidRPr="00554D11">
        <w:rPr>
          <w:rStyle w:val="FootnoteReference"/>
        </w:rPr>
        <w:footnoteReference w:id="13"/>
      </w:r>
      <w:r w:rsidRPr="00554D11">
        <w:t xml:space="preserve"> the Commission not only </w:t>
      </w:r>
      <w:r w:rsidR="001E7E23" w:rsidRPr="00554D11">
        <w:t xml:space="preserve">incorporated by reference into its regulations </w:t>
      </w:r>
      <w:r w:rsidRPr="00554D11">
        <w:t>business practice standards and communication protocols for the wholesale electric industry, it also established a formal ongoing process for reviewing and upgrading the Commission’s OASIS standards and other wholesale electric industry business practice standards.  In later orders in this series, the Commission incorporated by reference</w:t>
      </w:r>
      <w:r w:rsidR="00A414AF" w:rsidRPr="00554D11">
        <w:t xml:space="preserve"> revisions to these standards.</w:t>
      </w:r>
      <w:r w:rsidR="00A414AF" w:rsidRPr="00554D11">
        <w:rPr>
          <w:rStyle w:val="FootnoteReference"/>
        </w:rPr>
        <w:footnoteReference w:id="14"/>
      </w:r>
    </w:p>
    <w:p w14:paraId="4AEA8E71" w14:textId="7769C310" w:rsidR="004E12B9" w:rsidRPr="00554D11" w:rsidRDefault="00752495" w:rsidP="00554D11">
      <w:pPr>
        <w:pStyle w:val="FERCparanumber"/>
      </w:pPr>
      <w:r w:rsidRPr="00554D11">
        <w:t xml:space="preserve">The </w:t>
      </w:r>
      <w:r w:rsidR="009441B9" w:rsidRPr="00554D11">
        <w:t xml:space="preserve">WEQ </w:t>
      </w:r>
      <w:r w:rsidRPr="00554D11">
        <w:t xml:space="preserve">Version 003.1 </w:t>
      </w:r>
      <w:r w:rsidR="009441B9" w:rsidRPr="00554D11">
        <w:t>Business Practice S</w:t>
      </w:r>
      <w:r w:rsidRPr="00554D11">
        <w:t xml:space="preserve">tandards include six </w:t>
      </w:r>
      <w:r w:rsidR="00F522DA" w:rsidRPr="00554D11">
        <w:t xml:space="preserve">OASIS-related </w:t>
      </w:r>
      <w:r w:rsidRPr="00554D11">
        <w:t>standards</w:t>
      </w:r>
      <w:r w:rsidR="00F522DA" w:rsidRPr="00554D11">
        <w:rPr>
          <w:rStyle w:val="FootnoteReference"/>
        </w:rPr>
        <w:footnoteReference w:id="15"/>
      </w:r>
      <w:r w:rsidRPr="00554D11">
        <w:t xml:space="preserve"> </w:t>
      </w:r>
      <w:r w:rsidR="00F522DA" w:rsidRPr="00554D11">
        <w:t xml:space="preserve">that </w:t>
      </w:r>
      <w:r w:rsidR="001E7E23" w:rsidRPr="00554D11">
        <w:t>NAESB</w:t>
      </w:r>
      <w:r w:rsidR="00F522DA" w:rsidRPr="00554D11">
        <w:t xml:space="preserve"> </w:t>
      </w:r>
      <w:r w:rsidRPr="00554D11">
        <w:t>modifi</w:t>
      </w:r>
      <w:r w:rsidR="00F522DA" w:rsidRPr="00554D11">
        <w:t xml:space="preserve">ed </w:t>
      </w:r>
      <w:r w:rsidRPr="00554D11">
        <w:t xml:space="preserve">in response to </w:t>
      </w:r>
      <w:r w:rsidR="00F522DA" w:rsidRPr="00554D11">
        <w:t xml:space="preserve">directives and guidance provided in </w:t>
      </w:r>
      <w:r w:rsidRPr="00554D11">
        <w:t>Order Nos. 676-E, 676-H, and 890</w:t>
      </w:r>
      <w:r w:rsidR="00F522DA" w:rsidRPr="00554D11">
        <w:t>.</w:t>
      </w:r>
      <w:r w:rsidRPr="00554D11">
        <w:t xml:space="preserve">  </w:t>
      </w:r>
      <w:r w:rsidR="00B66C33" w:rsidRPr="00554D11">
        <w:t>Specifically</w:t>
      </w:r>
      <w:r w:rsidR="00BF78C7" w:rsidRPr="00554D11">
        <w:t>,</w:t>
      </w:r>
      <w:r w:rsidR="00B66C33" w:rsidRPr="00554D11">
        <w:t xml:space="preserve"> i</w:t>
      </w:r>
      <w:r w:rsidR="00DE1A6F" w:rsidRPr="00554D11">
        <w:t>n response to</w:t>
      </w:r>
      <w:r w:rsidR="00E13E2A" w:rsidRPr="00554D11">
        <w:t xml:space="preserve"> </w:t>
      </w:r>
      <w:r w:rsidR="00DE1A6F" w:rsidRPr="00554D11">
        <w:t xml:space="preserve">the Commission’s guidance in </w:t>
      </w:r>
      <w:r w:rsidR="00E13E2A" w:rsidRPr="00554D11">
        <w:t xml:space="preserve">Order No. 676-E, NAESB modified </w:t>
      </w:r>
      <w:r w:rsidR="00FB40DB" w:rsidRPr="00554D11">
        <w:t xml:space="preserve">its </w:t>
      </w:r>
      <w:r w:rsidR="00BF78C7" w:rsidRPr="00554D11">
        <w:t xml:space="preserve">OASIS </w:t>
      </w:r>
      <w:r w:rsidR="00E13E2A" w:rsidRPr="00554D11">
        <w:t xml:space="preserve">standards to explicitly permit a transmission provider to extend the performance of the biennial assessment.  </w:t>
      </w:r>
      <w:r w:rsidR="00DE1A6F" w:rsidRPr="00554D11">
        <w:t xml:space="preserve">In response </w:t>
      </w:r>
      <w:r w:rsidR="00E13E2A" w:rsidRPr="00554D11">
        <w:t xml:space="preserve">to </w:t>
      </w:r>
      <w:r w:rsidR="00DE1A6F" w:rsidRPr="00554D11">
        <w:t xml:space="preserve">the Commission’s guidance in </w:t>
      </w:r>
      <w:r w:rsidR="00E13E2A" w:rsidRPr="00554D11">
        <w:t>Order No. 676-H,</w:t>
      </w:r>
      <w:r w:rsidR="00DE1A6F" w:rsidRPr="00554D11">
        <w:t xml:space="preserve"> NAESB </w:t>
      </w:r>
      <w:r w:rsidR="00F522DA" w:rsidRPr="00554D11">
        <w:t xml:space="preserve">made </w:t>
      </w:r>
      <w:r w:rsidR="00DE1A6F" w:rsidRPr="00554D11">
        <w:t xml:space="preserve">four modifications </w:t>
      </w:r>
      <w:r w:rsidR="00287278" w:rsidRPr="00554D11">
        <w:t xml:space="preserve">to the OASIS suite of standards </w:t>
      </w:r>
      <w:r w:rsidR="00DE1A6F" w:rsidRPr="00554D11">
        <w:t>regarding</w:t>
      </w:r>
      <w:r w:rsidR="0076215F">
        <w:t xml:space="preserve">: </w:t>
      </w:r>
      <w:r w:rsidR="00DE1A6F" w:rsidRPr="00554D11">
        <w:t xml:space="preserve"> (1) the treatment of redirects </w:t>
      </w:r>
      <w:r w:rsidR="00DE1A6F" w:rsidRPr="00554D11">
        <w:lastRenderedPageBreak/>
        <w:t>for transmission service from conditional parent reservations</w:t>
      </w:r>
      <w:r w:rsidR="0076215F">
        <w:t>;</w:t>
      </w:r>
      <w:r w:rsidR="00BF78C7" w:rsidRPr="00554D11">
        <w:t xml:space="preserve"> </w:t>
      </w:r>
      <w:r w:rsidR="00DE1A6F" w:rsidRPr="00554D11">
        <w:t xml:space="preserve">(2) the one-day requirement for the posting of </w:t>
      </w:r>
      <w:r w:rsidR="00523460" w:rsidRPr="00523460">
        <w:t>Available Transfer Capability (</w:t>
      </w:r>
      <w:r w:rsidR="00DE1A6F" w:rsidRPr="00554D11">
        <w:t>ATC</w:t>
      </w:r>
      <w:r w:rsidR="00523460">
        <w:t>)</w:t>
      </w:r>
      <w:r w:rsidR="00DE1A6F" w:rsidRPr="00554D11">
        <w:t xml:space="preserve"> Narratives</w:t>
      </w:r>
      <w:r w:rsidR="0076215F">
        <w:t>;</w:t>
      </w:r>
      <w:r w:rsidR="00BF78C7" w:rsidRPr="00554D11">
        <w:t xml:space="preserve"> </w:t>
      </w:r>
      <w:r w:rsidR="00DE1A6F" w:rsidRPr="00554D11">
        <w:t xml:space="preserve">(3) the treatment of point-to-point reservations under Service Across Multiple </w:t>
      </w:r>
      <w:r w:rsidR="00B66C33" w:rsidRPr="00554D11">
        <w:t>Transmission</w:t>
      </w:r>
      <w:r w:rsidR="00DE1A6F" w:rsidRPr="00554D11">
        <w:t xml:space="preserve"> Systems (SAMTS</w:t>
      </w:r>
      <w:r w:rsidR="00BF78C7" w:rsidRPr="00554D11">
        <w:t>)</w:t>
      </w:r>
      <w:r w:rsidR="0076215F">
        <w:t>;</w:t>
      </w:r>
      <w:r w:rsidR="00BF78C7" w:rsidRPr="00554D11">
        <w:t xml:space="preserve"> </w:t>
      </w:r>
      <w:r w:rsidR="00DE1A6F" w:rsidRPr="00554D11">
        <w:t xml:space="preserve">and (4) the clarification of the requirements under which a transmission provider may deny a request to terminate service.  To implement Commission guidance in Order No. 890, NAESB modified standards to allow for the consistent posting of </w:t>
      </w:r>
      <w:r w:rsidR="00523460" w:rsidRPr="00523460">
        <w:t xml:space="preserve">Available </w:t>
      </w:r>
      <w:proofErr w:type="spellStart"/>
      <w:r w:rsidR="00523460" w:rsidRPr="00523460">
        <w:t>Flowgate</w:t>
      </w:r>
      <w:proofErr w:type="spellEnd"/>
      <w:r w:rsidR="00523460" w:rsidRPr="00523460">
        <w:t xml:space="preserve"> Capability (</w:t>
      </w:r>
      <w:r w:rsidR="00DE1A6F" w:rsidRPr="00554D11">
        <w:t>A</w:t>
      </w:r>
      <w:r w:rsidR="00FC474A" w:rsidRPr="00554D11">
        <w:t>F</w:t>
      </w:r>
      <w:r w:rsidR="00DE1A6F" w:rsidRPr="00554D11">
        <w:t>C</w:t>
      </w:r>
      <w:r w:rsidR="00523460">
        <w:t>)</w:t>
      </w:r>
      <w:r w:rsidR="00DE1A6F" w:rsidRPr="00554D11">
        <w:t xml:space="preserve"> related data on OASIS </w:t>
      </w:r>
      <w:r w:rsidR="00B2721D" w:rsidRPr="00554D11">
        <w:t>sites</w:t>
      </w:r>
      <w:r w:rsidR="00DE1A6F" w:rsidRPr="00554D11">
        <w:t>.</w:t>
      </w:r>
    </w:p>
    <w:p w14:paraId="23675ED1" w14:textId="7A586314" w:rsidR="00A90798" w:rsidRPr="00554D11" w:rsidRDefault="00F522DA" w:rsidP="00554D11">
      <w:pPr>
        <w:pStyle w:val="FERCparanumber"/>
      </w:pPr>
      <w:r w:rsidRPr="00554D11">
        <w:t>In addition, a</w:t>
      </w:r>
      <w:r w:rsidR="004E12B9" w:rsidRPr="00554D11">
        <w:t xml:space="preserve">s part of the standards development process, NAESB made </w:t>
      </w:r>
      <w:r w:rsidR="003F60B5">
        <w:t>two</w:t>
      </w:r>
      <w:r w:rsidR="00A954C9">
        <w:t xml:space="preserve"> </w:t>
      </w:r>
      <w:r w:rsidR="004E12B9" w:rsidRPr="00554D11">
        <w:t xml:space="preserve">additional </w:t>
      </w:r>
      <w:r w:rsidR="00A17740">
        <w:t>revisions</w:t>
      </w:r>
      <w:r w:rsidR="00A17740" w:rsidRPr="00554D11">
        <w:t xml:space="preserve"> </w:t>
      </w:r>
      <w:r w:rsidR="004E12B9" w:rsidRPr="00554D11">
        <w:t>to the OASIS suite of standards</w:t>
      </w:r>
      <w:r w:rsidRPr="00554D11">
        <w:t xml:space="preserve"> that were not made in response to Commission orders</w:t>
      </w:r>
      <w:r w:rsidR="004E12B9" w:rsidRPr="00554D11">
        <w:t xml:space="preserve">. </w:t>
      </w:r>
      <w:r w:rsidR="005001FB" w:rsidRPr="00554D11">
        <w:t xml:space="preserve"> </w:t>
      </w:r>
      <w:r w:rsidR="004E12B9" w:rsidRPr="00554D11">
        <w:t>First, NAESB modified WEQ-001 and WEQ-013 to require resellers to enter off-OASIS resale transactions into OASIS s</w:t>
      </w:r>
      <w:r w:rsidR="009A1917">
        <w:t>ites</w:t>
      </w:r>
      <w:r w:rsidR="004E12B9" w:rsidRPr="00554D11">
        <w:t xml:space="preserve"> in the “accepted” status to provide the assignee of the resale the opportunity to confirm the transaction on the OASIS.  Second, NAESB revised WEQ-002-4.3.6.2 to allow for the unmasking of the source and sink of a request for transmission when that request is moved to any final state.</w:t>
      </w:r>
    </w:p>
    <w:p w14:paraId="2BF3E5DA" w14:textId="5A077868" w:rsidR="00034FA3" w:rsidRPr="00554D11" w:rsidRDefault="00C0026A">
      <w:pPr>
        <w:pStyle w:val="FERCparanumber"/>
        <w:rPr>
          <w:szCs w:val="26"/>
        </w:rPr>
      </w:pPr>
      <w:r w:rsidRPr="00C0026A">
        <w:t>NAESB has adopted certain</w:t>
      </w:r>
      <w:r>
        <w:t xml:space="preserve"> </w:t>
      </w:r>
      <w:r w:rsidR="00C1525A" w:rsidRPr="00554D11">
        <w:t xml:space="preserve">new and revised WEQ Version 003.1 Business Practice Standards based on developments involving NERC.  </w:t>
      </w:r>
      <w:r w:rsidRPr="00C0026A">
        <w:t xml:space="preserve">First, NAESB developed the WEQ-022 Electric Industry Registry (EIR) Business Practice Standards to complement the transfer of registry functions from the NERC TSIN to the NAESB EIR.  The EIR </w:t>
      </w:r>
      <w:r>
        <w:t>database</w:t>
      </w:r>
      <w:r w:rsidRPr="00C0026A">
        <w:t xml:space="preserve"> </w:t>
      </w:r>
      <w:r w:rsidR="00565F73" w:rsidRPr="00565F73">
        <w:rPr>
          <w:bCs/>
        </w:rPr>
        <w:t>serves as a central repository of information required for commercial interactions</w:t>
      </w:r>
      <w:r w:rsidR="00565F73">
        <w:rPr>
          <w:bCs/>
        </w:rPr>
        <w:t xml:space="preserve">, including </w:t>
      </w:r>
      <w:r w:rsidRPr="00C0026A">
        <w:t>electronic transactions via e-Tags.</w:t>
      </w:r>
      <w:r>
        <w:t xml:space="preserve">  Second, </w:t>
      </w:r>
      <w:r w:rsidRPr="00C0026A">
        <w:t xml:space="preserve">NAESB developed the WEQ-023 Modeling Business Practice Standards </w:t>
      </w:r>
      <w:r w:rsidR="003C0ABB">
        <w:t>in response to</w:t>
      </w:r>
      <w:r w:rsidRPr="00C0026A">
        <w:t xml:space="preserve"> a NERC petition to </w:t>
      </w:r>
      <w:r w:rsidRPr="00C0026A">
        <w:lastRenderedPageBreak/>
        <w:t>delete and retire the six “MOD A” Reliability Standards.  As mentioned above</w:t>
      </w:r>
      <w:r w:rsidR="00C1525A" w:rsidRPr="00554D11">
        <w:t>, NERC filed a petition with the Commission on February 10, 201</w:t>
      </w:r>
      <w:r w:rsidR="006D18A3" w:rsidRPr="00554D11">
        <w:t>4</w:t>
      </w:r>
      <w:r w:rsidR="00C1525A" w:rsidRPr="00554D11">
        <w:t xml:space="preserve"> proposing t</w:t>
      </w:r>
      <w:r>
        <w:t xml:space="preserve">o </w:t>
      </w:r>
      <w:r w:rsidR="00C1525A" w:rsidRPr="00554D11">
        <w:t>retire</w:t>
      </w:r>
      <w:r>
        <w:t xml:space="preserve"> </w:t>
      </w:r>
      <w:r w:rsidR="00FF62E4">
        <w:t xml:space="preserve">      </w:t>
      </w:r>
      <w:r w:rsidR="00C1525A" w:rsidRPr="00554D11">
        <w:t xml:space="preserve">NERC’s </w:t>
      </w:r>
      <w:r>
        <w:t xml:space="preserve">six </w:t>
      </w:r>
      <w:r w:rsidR="00C1525A" w:rsidRPr="00554D11">
        <w:t>MOD A Reliability Standards</w:t>
      </w:r>
      <w:r>
        <w:t xml:space="preserve"> </w:t>
      </w:r>
      <w:r w:rsidRPr="00C0026A">
        <w:t>and replace the</w:t>
      </w:r>
      <w:r>
        <w:t xml:space="preserve">m </w:t>
      </w:r>
      <w:r w:rsidRPr="00C0026A">
        <w:t xml:space="preserve">with Reliability Standard MOD-001-2, which </w:t>
      </w:r>
      <w:r w:rsidR="003C0ABB">
        <w:t xml:space="preserve">NERC states </w:t>
      </w:r>
      <w:r w:rsidRPr="00C0026A">
        <w:t>will focus exclusively on the reliability aspects of ATC and AFC</w:t>
      </w:r>
      <w:r w:rsidR="00C1525A" w:rsidRPr="00554D11">
        <w:t>.</w:t>
      </w:r>
      <w:r w:rsidR="00300E64" w:rsidRPr="00554D11">
        <w:rPr>
          <w:rStyle w:val="FootnoteReference"/>
        </w:rPr>
        <w:footnoteReference w:id="16"/>
      </w:r>
      <w:r w:rsidR="00C1525A" w:rsidRPr="00554D11">
        <w:t xml:space="preserve">  </w:t>
      </w:r>
      <w:r w:rsidR="00136F72">
        <w:t>On February 7, 2014</w:t>
      </w:r>
      <w:r w:rsidRPr="00C0026A">
        <w:t xml:space="preserve">, NERC submitted a request to NAESB </w:t>
      </w:r>
      <w:r w:rsidR="00136F72">
        <w:t>(Standards Request 14002)</w:t>
      </w:r>
      <w:r w:rsidR="00565F73">
        <w:rPr>
          <w:rStyle w:val="FootnoteReference"/>
        </w:rPr>
        <w:footnoteReference w:id="17"/>
      </w:r>
      <w:r w:rsidR="00136F72">
        <w:t xml:space="preserve"> </w:t>
      </w:r>
      <w:r w:rsidRPr="00C0026A">
        <w:t xml:space="preserve">asking NAESB </w:t>
      </w:r>
      <w:r w:rsidR="00565F73">
        <w:t xml:space="preserve">to </w:t>
      </w:r>
      <w:r w:rsidRPr="00C0026A">
        <w:t>consider adopting standards that address the commercial and business aspects of the MOD standards proposed for retirement</w:t>
      </w:r>
      <w:r>
        <w:t>.</w:t>
      </w:r>
      <w:r w:rsidR="00526792">
        <w:t xml:space="preserve">  </w:t>
      </w:r>
      <w:r w:rsidR="00A84E51" w:rsidRPr="00554D11">
        <w:t xml:space="preserve">NAESB subsequently developed </w:t>
      </w:r>
      <w:r w:rsidR="00835A5E" w:rsidRPr="00554D11">
        <w:t xml:space="preserve">the </w:t>
      </w:r>
      <w:r w:rsidR="00A84E51" w:rsidRPr="00554D11">
        <w:t xml:space="preserve">WEQ-023 Business Practice Standards </w:t>
      </w:r>
      <w:r w:rsidR="004766DE" w:rsidRPr="00554D11">
        <w:t>to</w:t>
      </w:r>
      <w:r w:rsidR="00297CE1" w:rsidRPr="00554D11">
        <w:t xml:space="preserve"> support and complement the proposed retirement of the</w:t>
      </w:r>
      <w:r w:rsidR="004766DE" w:rsidRPr="00554D11">
        <w:t xml:space="preserve"> </w:t>
      </w:r>
      <w:r w:rsidR="004E6553" w:rsidRPr="00554D11">
        <w:t>MOD A Reliability Standards</w:t>
      </w:r>
      <w:r w:rsidR="0093055C" w:rsidRPr="00554D11">
        <w:t>.</w:t>
      </w:r>
      <w:r w:rsidR="00E15006" w:rsidRPr="00554D11">
        <w:t xml:space="preserve">  </w:t>
      </w:r>
      <w:r w:rsidR="00DA5D10" w:rsidRPr="00554D11">
        <w:t xml:space="preserve">The </w:t>
      </w:r>
      <w:r w:rsidR="00E15006" w:rsidRPr="00554D11">
        <w:t xml:space="preserve">WEQ-023 </w:t>
      </w:r>
      <w:r w:rsidR="001D2922" w:rsidRPr="00554D11">
        <w:t xml:space="preserve">Business Practice Standard </w:t>
      </w:r>
      <w:r w:rsidR="00D321E5" w:rsidRPr="00D321E5">
        <w:t>specifies the requirements for calculating ATC and AFC and</w:t>
      </w:r>
      <w:r w:rsidR="00D321E5">
        <w:t xml:space="preserve"> </w:t>
      </w:r>
      <w:r w:rsidR="00E15006" w:rsidRPr="00554D11">
        <w:t xml:space="preserve">supports the </w:t>
      </w:r>
      <w:r w:rsidR="001D2922" w:rsidRPr="00554D11">
        <w:t xml:space="preserve">task of </w:t>
      </w:r>
      <w:r w:rsidR="00E15006" w:rsidRPr="00554D11">
        <w:t>reporting o</w:t>
      </w:r>
      <w:r w:rsidR="001D2922" w:rsidRPr="00554D11">
        <w:t>n</w:t>
      </w:r>
      <w:r w:rsidR="00E15006" w:rsidRPr="00554D11">
        <w:t xml:space="preserve"> </w:t>
      </w:r>
      <w:r w:rsidR="001D2922" w:rsidRPr="00554D11">
        <w:t xml:space="preserve">the </w:t>
      </w:r>
      <w:r w:rsidR="00E15006" w:rsidRPr="00554D11">
        <w:t xml:space="preserve">commercial aspects of </w:t>
      </w:r>
      <w:r w:rsidR="00D321E5">
        <w:t>these</w:t>
      </w:r>
      <w:r w:rsidR="001D2922" w:rsidRPr="00554D11">
        <w:t xml:space="preserve"> calculations</w:t>
      </w:r>
      <w:r w:rsidR="00E15006" w:rsidRPr="00554D11">
        <w:t>.</w:t>
      </w:r>
      <w:r w:rsidR="004A337F" w:rsidRPr="00554D11">
        <w:rPr>
          <w:rStyle w:val="FootnoteReference"/>
        </w:rPr>
        <w:footnoteReference w:id="18"/>
      </w:r>
    </w:p>
    <w:p w14:paraId="46C5AB78" w14:textId="4E28F5C1" w:rsidR="00A123E5" w:rsidRPr="00554D11" w:rsidRDefault="00DA5D10" w:rsidP="00554D11">
      <w:pPr>
        <w:pStyle w:val="FERCparanumber"/>
        <w:rPr>
          <w:szCs w:val="26"/>
        </w:rPr>
      </w:pPr>
      <w:r w:rsidRPr="00554D11">
        <w:t>Third</w:t>
      </w:r>
      <w:r w:rsidR="00BA2507" w:rsidRPr="00554D11">
        <w:t xml:space="preserve">, </w:t>
      </w:r>
      <w:r w:rsidR="0085073E" w:rsidRPr="00554D11">
        <w:t xml:space="preserve">NAESB </w:t>
      </w:r>
      <w:r w:rsidRPr="00554D11">
        <w:t xml:space="preserve">has adopted </w:t>
      </w:r>
      <w:r w:rsidR="00BA2507" w:rsidRPr="00554D11">
        <w:t>revisions to</w:t>
      </w:r>
      <w:r w:rsidR="00034FA3" w:rsidRPr="00554D11">
        <w:t xml:space="preserve"> </w:t>
      </w:r>
      <w:r w:rsidRPr="00554D11">
        <w:t xml:space="preserve">NAESB </w:t>
      </w:r>
      <w:r w:rsidR="00034FA3" w:rsidRPr="00554D11">
        <w:t xml:space="preserve">standards </w:t>
      </w:r>
      <w:r w:rsidR="00BA2507" w:rsidRPr="00554D11">
        <w:t xml:space="preserve">that </w:t>
      </w:r>
      <w:r w:rsidR="0031395B" w:rsidRPr="00554D11">
        <w:t>need to match up</w:t>
      </w:r>
      <w:r w:rsidR="00034FA3" w:rsidRPr="00554D11">
        <w:t xml:space="preserve"> with NERC</w:t>
      </w:r>
      <w:r w:rsidR="0031395B" w:rsidRPr="00554D11">
        <w:t>’s</w:t>
      </w:r>
      <w:r w:rsidR="00034FA3" w:rsidRPr="00554D11">
        <w:t xml:space="preserve"> Interchange Scheduling and Coordination </w:t>
      </w:r>
      <w:r w:rsidR="008F52DA" w:rsidRPr="00554D11">
        <w:t xml:space="preserve">(INT) </w:t>
      </w:r>
      <w:r w:rsidR="00034FA3" w:rsidRPr="00554D11">
        <w:t>Reliability Standards.</w:t>
      </w:r>
      <w:r w:rsidR="008F52DA" w:rsidRPr="00554D11">
        <w:t xml:space="preserve">  </w:t>
      </w:r>
      <w:r w:rsidRPr="00554D11">
        <w:t xml:space="preserve">In this regard, </w:t>
      </w:r>
      <w:r w:rsidR="0085073E" w:rsidRPr="00554D11">
        <w:t xml:space="preserve">NAESB modified </w:t>
      </w:r>
      <w:r w:rsidR="00835A5E" w:rsidRPr="00554D11">
        <w:t xml:space="preserve">certain </w:t>
      </w:r>
      <w:r w:rsidR="0085073E" w:rsidRPr="00554D11">
        <w:t>WEQ-000 and</w:t>
      </w:r>
      <w:r w:rsidR="008F52DA" w:rsidRPr="00554D11">
        <w:t xml:space="preserve"> WEQ-004 Business Practice Standards </w:t>
      </w:r>
      <w:r w:rsidR="0031395B" w:rsidRPr="00554D11">
        <w:t>to</w:t>
      </w:r>
      <w:r w:rsidR="00D901E6" w:rsidRPr="00554D11">
        <w:t xml:space="preserve"> </w:t>
      </w:r>
      <w:r w:rsidR="00B32E52" w:rsidRPr="00554D11">
        <w:t xml:space="preserve">complement </w:t>
      </w:r>
      <w:r w:rsidR="0085073E" w:rsidRPr="00554D11">
        <w:t>NERC</w:t>
      </w:r>
      <w:r w:rsidR="00D901E6" w:rsidRPr="00554D11">
        <w:t>’s proposal to</w:t>
      </w:r>
      <w:r w:rsidR="0085073E" w:rsidRPr="00554D11">
        <w:t xml:space="preserve"> modify the INT Reliability Standards</w:t>
      </w:r>
      <w:r w:rsidR="00D901E6" w:rsidRPr="00554D11">
        <w:t xml:space="preserve">, including </w:t>
      </w:r>
      <w:r w:rsidR="008F52DA" w:rsidRPr="00554D11">
        <w:t>removal of the Load Serving Enti</w:t>
      </w:r>
      <w:r w:rsidR="0085073E" w:rsidRPr="00554D11">
        <w:t>ty</w:t>
      </w:r>
      <w:r w:rsidR="008F52DA" w:rsidRPr="00554D11">
        <w:t xml:space="preserve"> (LSE) </w:t>
      </w:r>
      <w:r w:rsidR="00D901E6" w:rsidRPr="00554D11">
        <w:t xml:space="preserve">category </w:t>
      </w:r>
      <w:r w:rsidR="008F52DA" w:rsidRPr="00554D11">
        <w:t>as one of the functional registration categories in the NERC Compliance Registry.</w:t>
      </w:r>
      <w:r w:rsidR="000A4B59">
        <w:rPr>
          <w:rStyle w:val="FootnoteReference"/>
        </w:rPr>
        <w:footnoteReference w:id="19"/>
      </w:r>
    </w:p>
    <w:p w14:paraId="284FFB2E" w14:textId="1D22F9F3" w:rsidR="00CB0C1A" w:rsidRPr="00554D11" w:rsidRDefault="00BA2507" w:rsidP="00554D11">
      <w:pPr>
        <w:pStyle w:val="FERCparanumber"/>
        <w:rPr>
          <w:color w:val="000000"/>
        </w:rPr>
      </w:pPr>
      <w:r w:rsidRPr="00554D11">
        <w:lastRenderedPageBreak/>
        <w:t xml:space="preserve">NAESB also includes </w:t>
      </w:r>
      <w:r w:rsidR="00DA5D10" w:rsidRPr="00554D11">
        <w:t>as part of its Version 003.1 Business Practice Standards</w:t>
      </w:r>
      <w:r w:rsidRPr="00554D11">
        <w:t xml:space="preserve"> additional </w:t>
      </w:r>
      <w:r w:rsidR="003F60B5">
        <w:t xml:space="preserve">non-OASIS </w:t>
      </w:r>
      <w:r w:rsidR="00DA5D10" w:rsidRPr="00554D11">
        <w:t xml:space="preserve">standards </w:t>
      </w:r>
      <w:r w:rsidRPr="00554D11">
        <w:t xml:space="preserve">modifications </w:t>
      </w:r>
      <w:r w:rsidR="00077618" w:rsidRPr="00554D11">
        <w:t xml:space="preserve">to </w:t>
      </w:r>
      <w:r w:rsidR="00CF237D" w:rsidRPr="00554D11">
        <w:t>WEQ Version 003.1</w:t>
      </w:r>
      <w:r w:rsidR="00446712" w:rsidRPr="00554D11">
        <w:t xml:space="preserve"> </w:t>
      </w:r>
      <w:r w:rsidR="0031395B" w:rsidRPr="00554D11">
        <w:t xml:space="preserve">that it </w:t>
      </w:r>
      <w:r w:rsidRPr="00554D11">
        <w:t xml:space="preserve">made in the course of normal standards development.  </w:t>
      </w:r>
      <w:r w:rsidR="00A02E88" w:rsidRPr="00554D11">
        <w:t>In O</w:t>
      </w:r>
      <w:r w:rsidR="00EB7254" w:rsidRPr="00554D11">
        <w:t>rder No. 76</w:t>
      </w:r>
      <w:r w:rsidR="00DA1BF3" w:rsidRPr="00554D11">
        <w:t>4</w:t>
      </w:r>
      <w:r w:rsidR="00EB7254" w:rsidRPr="00554D11">
        <w:t xml:space="preserve">, the Commission required transmission providers to provide for the scheduling of interchange in </w:t>
      </w:r>
      <w:r w:rsidR="00C63F83" w:rsidRPr="00554D11">
        <w:t>15</w:t>
      </w:r>
      <w:r w:rsidR="00123D22" w:rsidRPr="00554D11">
        <w:t>-</w:t>
      </w:r>
      <w:r w:rsidR="00EB7254" w:rsidRPr="00554D11">
        <w:t xml:space="preserve">minute intervals.  </w:t>
      </w:r>
      <w:r w:rsidR="00A02E88" w:rsidRPr="00554D11">
        <w:t>In response, NAESB made t</w:t>
      </w:r>
      <w:r w:rsidR="00EB7254" w:rsidRPr="00554D11">
        <w:t>wo changes to the WEQ-004 Coordinate Interchange Business Practice Standards</w:t>
      </w:r>
      <w:r w:rsidR="00A02E88" w:rsidRPr="00554D11">
        <w:t>.  NAESB also modified WEQ-019 to ensure consistency between WEQ Business Practice Standards and other standards organizations’ standards.  Additionally, NAESB modified WE</w:t>
      </w:r>
      <w:r w:rsidR="00CB0C1A" w:rsidRPr="00554D11">
        <w:t>Q</w:t>
      </w:r>
      <w:r w:rsidR="00A02E88" w:rsidRPr="00554D11">
        <w:t xml:space="preserve">-000 to harmonize definitions with </w:t>
      </w:r>
      <w:r w:rsidR="00763706" w:rsidRPr="00554D11">
        <w:t>NAESB Retail Market Quadrant</w:t>
      </w:r>
      <w:r w:rsidR="00CB0C1A" w:rsidRPr="00554D11">
        <w:t xml:space="preserve"> efforts</w:t>
      </w:r>
      <w:r w:rsidR="00D74DEE" w:rsidRPr="00554D11">
        <w:t>.</w:t>
      </w:r>
    </w:p>
    <w:p w14:paraId="1F63CC5C" w14:textId="77777777" w:rsidR="00E10F2D" w:rsidRPr="00554D11" w:rsidRDefault="00CB0C1A" w:rsidP="00554D11">
      <w:pPr>
        <w:pStyle w:val="FERCparanumber"/>
        <w:rPr>
          <w:color w:val="000000"/>
        </w:rPr>
      </w:pPr>
      <w:r w:rsidRPr="00554D11">
        <w:t xml:space="preserve">In Order 676-H, the Commission incorporated by reference WEQ Business Practice Standards to support Public Key Infrastructure (PKI).  The </w:t>
      </w:r>
      <w:r w:rsidR="00CF237D" w:rsidRPr="00554D11">
        <w:t>WEQ Version 003.1</w:t>
      </w:r>
      <w:r w:rsidR="00DA5D10" w:rsidRPr="00554D11">
        <w:t xml:space="preserve"> </w:t>
      </w:r>
      <w:r w:rsidRPr="00554D11">
        <w:t xml:space="preserve">Business Practice Standards include additional PKI modifications </w:t>
      </w:r>
      <w:r w:rsidR="002A481A" w:rsidRPr="00554D11">
        <w:t>to WEQ-002, WEQ-004, and WEQ-012 to support the NAESB Authorized Certification Authority (</w:t>
      </w:r>
      <w:r w:rsidR="000C4BC6" w:rsidRPr="00554D11">
        <w:t>Certification Authority</w:t>
      </w:r>
      <w:r w:rsidR="002A481A" w:rsidRPr="00554D11">
        <w:t>) Certification Program</w:t>
      </w:r>
      <w:r w:rsidR="00E10F2D" w:rsidRPr="00554D11">
        <w:t xml:space="preserve"> and to account for technological advances.</w:t>
      </w:r>
    </w:p>
    <w:p w14:paraId="52A3A52F" w14:textId="77777777" w:rsidR="00A123E5" w:rsidRPr="00554D11" w:rsidRDefault="004A337F" w:rsidP="00554D11">
      <w:pPr>
        <w:pStyle w:val="FERCparanumber"/>
        <w:rPr>
          <w:color w:val="000000"/>
        </w:rPr>
      </w:pPr>
      <w:r w:rsidRPr="00554D11">
        <w:t xml:space="preserve">NAESB also has in place a process to make necessary minor corrections to its standards, when </w:t>
      </w:r>
      <w:r w:rsidR="00BC0A67" w:rsidRPr="00554D11">
        <w:t xml:space="preserve">needed.  The </w:t>
      </w:r>
      <w:r w:rsidR="00CF237D" w:rsidRPr="00554D11">
        <w:t>WEQ Version 003.1</w:t>
      </w:r>
      <w:r w:rsidR="00DA5D10" w:rsidRPr="00554D11">
        <w:t xml:space="preserve"> </w:t>
      </w:r>
      <w:r w:rsidR="00E10F2D" w:rsidRPr="00554D11">
        <w:t>Business Practice Standards</w:t>
      </w:r>
      <w:r w:rsidRPr="00554D11">
        <w:t xml:space="preserve"> include </w:t>
      </w:r>
      <w:r w:rsidR="00BC0A67" w:rsidRPr="00554D11">
        <w:t xml:space="preserve">seven new </w:t>
      </w:r>
      <w:r w:rsidRPr="00554D11">
        <w:t>minor corrections made by NAESB</w:t>
      </w:r>
      <w:r w:rsidR="00E10F2D" w:rsidRPr="00554D11">
        <w:t>.</w:t>
      </w:r>
      <w:r w:rsidR="0031395B" w:rsidRPr="00554D11">
        <w:rPr>
          <w:rStyle w:val="FootnoteReference"/>
        </w:rPr>
        <w:footnoteReference w:id="20"/>
      </w:r>
    </w:p>
    <w:p w14:paraId="6B04EC04" w14:textId="77777777" w:rsidR="00A123E5" w:rsidRPr="00554D11" w:rsidRDefault="00A123E5" w:rsidP="00F362BB">
      <w:pPr>
        <w:pStyle w:val="Heading1"/>
        <w:numPr>
          <w:ilvl w:val="0"/>
          <w:numId w:val="27"/>
        </w:numPr>
      </w:pPr>
      <w:bookmarkStart w:id="4" w:name="_Toc441070564"/>
      <w:r w:rsidRPr="00554D11">
        <w:lastRenderedPageBreak/>
        <w:t>Discussion</w:t>
      </w:r>
      <w:bookmarkStart w:id="5" w:name="_bmk2"/>
      <w:bookmarkEnd w:id="4"/>
    </w:p>
    <w:bookmarkEnd w:id="5"/>
    <w:p w14:paraId="6A6AB948" w14:textId="77777777" w:rsidR="00FF62E4" w:rsidRDefault="00A123E5" w:rsidP="00554D11">
      <w:pPr>
        <w:pStyle w:val="FERCparanumber"/>
      </w:pPr>
      <w:r w:rsidRPr="00554D11">
        <w:t>As discussed below, with certain enumerated exceptions, we propose to incorporate by reference (into the Commission’s regulations at 18 CFR 38.</w:t>
      </w:r>
      <w:r w:rsidR="00B7470D">
        <w:t>1(b)</w:t>
      </w:r>
      <w:r w:rsidRPr="00554D11">
        <w:t xml:space="preserve">) the </w:t>
      </w:r>
    </w:p>
    <w:p w14:paraId="36DF3D88" w14:textId="2BCABDA5" w:rsidR="00752961" w:rsidRPr="00554D11" w:rsidRDefault="00A123E5" w:rsidP="00FF62E4">
      <w:pPr>
        <w:pStyle w:val="FERCparanumber"/>
        <w:numPr>
          <w:ilvl w:val="0"/>
          <w:numId w:val="0"/>
        </w:numPr>
        <w:rPr>
          <w:color w:val="000000"/>
        </w:rPr>
      </w:pPr>
      <w:r w:rsidRPr="00554D11">
        <w:t>NAESB WEQ Version 003</w:t>
      </w:r>
      <w:r w:rsidR="00752495" w:rsidRPr="00554D11">
        <w:t>.1</w:t>
      </w:r>
      <w:r w:rsidRPr="00554D11">
        <w:t xml:space="preserve"> </w:t>
      </w:r>
      <w:r w:rsidR="00DA5D10" w:rsidRPr="00554D11">
        <w:t>Business Practice S</w:t>
      </w:r>
      <w:r w:rsidRPr="00554D11">
        <w:t>tandards.</w:t>
      </w:r>
      <w:r w:rsidRPr="00554D11">
        <w:rPr>
          <w:rStyle w:val="FootnoteReference"/>
        </w:rPr>
        <w:footnoteReference w:id="21"/>
      </w:r>
      <w:r w:rsidRPr="00554D11">
        <w:t xml:space="preserve">  The Version 003</w:t>
      </w:r>
      <w:r w:rsidR="00752495" w:rsidRPr="00554D11">
        <w:t>.1</w:t>
      </w:r>
      <w:r w:rsidRPr="00554D11">
        <w:t xml:space="preserve"> standards will </w:t>
      </w:r>
      <w:r w:rsidR="0020744B" w:rsidRPr="00554D11">
        <w:t xml:space="preserve">replace </w:t>
      </w:r>
      <w:r w:rsidRPr="00554D11">
        <w:t>the Version 00</w:t>
      </w:r>
      <w:r w:rsidR="00752495" w:rsidRPr="00554D11">
        <w:t>3</w:t>
      </w:r>
      <w:r w:rsidRPr="00554D11">
        <w:t xml:space="preserve"> standards currently incorporated by reference into the Commission’s regulations.</w:t>
      </w:r>
      <w:r w:rsidR="00FE483F" w:rsidRPr="00554D11">
        <w:t xml:space="preserve">  Where we have proposed</w:t>
      </w:r>
      <w:r w:rsidR="00F94F31" w:rsidRPr="00554D11">
        <w:t xml:space="preserve"> in this NOPR</w:t>
      </w:r>
      <w:r w:rsidR="00FE483F" w:rsidRPr="00554D11">
        <w:t xml:space="preserve"> to incorporate a NAESB Business Practice Standard by reference into the Commission’s regulations, this has been based on a preliminary determination that the standard at issue is </w:t>
      </w:r>
      <w:r w:rsidR="00D87EED" w:rsidRPr="00554D11">
        <w:t xml:space="preserve">consistent with </w:t>
      </w:r>
      <w:r w:rsidR="00F94F31" w:rsidRPr="00554D11">
        <w:t xml:space="preserve">the </w:t>
      </w:r>
      <w:r w:rsidR="00D87EED" w:rsidRPr="00554D11">
        <w:t>Commission</w:t>
      </w:r>
      <w:r w:rsidR="00F94F31" w:rsidRPr="00554D11">
        <w:t>’s findings in Order No. 676-H and does not appear inconsistent with any Commission directives or findings in other orders</w:t>
      </w:r>
      <w:r w:rsidR="00D87EED" w:rsidRPr="00554D11">
        <w:t>.</w:t>
      </w:r>
    </w:p>
    <w:p w14:paraId="2D48496C" w14:textId="5598A78D" w:rsidR="00A123E5" w:rsidRPr="00554D11" w:rsidRDefault="00A123E5" w:rsidP="00E405D4">
      <w:pPr>
        <w:pStyle w:val="Heading2"/>
        <w:numPr>
          <w:ilvl w:val="1"/>
          <w:numId w:val="27"/>
        </w:numPr>
        <w:tabs>
          <w:tab w:val="clear" w:pos="1080"/>
          <w:tab w:val="num" w:pos="1440"/>
        </w:tabs>
        <w:ind w:left="1440" w:hanging="720"/>
      </w:pPr>
      <w:bookmarkStart w:id="6" w:name="_Toc441070565"/>
      <w:r w:rsidRPr="00554D11">
        <w:t xml:space="preserve">Revisions to </w:t>
      </w:r>
      <w:r w:rsidR="00F37A4D" w:rsidRPr="00554D11">
        <w:t xml:space="preserve">WEQ </w:t>
      </w:r>
      <w:r w:rsidR="0090470D" w:rsidRPr="00554D11">
        <w:t xml:space="preserve">OASIS </w:t>
      </w:r>
      <w:r w:rsidR="00F37A4D" w:rsidRPr="00554D11">
        <w:t>Business Practice</w:t>
      </w:r>
      <w:r w:rsidRPr="00554D11">
        <w:t xml:space="preserve"> Standards </w:t>
      </w:r>
      <w:r w:rsidR="0090470D" w:rsidRPr="00554D11">
        <w:t xml:space="preserve">in Light of </w:t>
      </w:r>
      <w:r w:rsidR="00614B06" w:rsidRPr="00554D11">
        <w:t>Commission</w:t>
      </w:r>
      <w:r w:rsidR="00256E85" w:rsidRPr="00554D11">
        <w:t xml:space="preserve"> </w:t>
      </w:r>
      <w:bookmarkEnd w:id="6"/>
      <w:r w:rsidR="0090470D" w:rsidRPr="00554D11">
        <w:t>Policies</w:t>
      </w:r>
      <w:bookmarkStart w:id="7" w:name="_bmk3"/>
    </w:p>
    <w:bookmarkEnd w:id="7"/>
    <w:p w14:paraId="2536B07C" w14:textId="59C0543A" w:rsidR="001A1CFC" w:rsidRPr="00554D11" w:rsidRDefault="001A1CFC" w:rsidP="00412CFB">
      <w:pPr>
        <w:pStyle w:val="Heading3"/>
        <w:numPr>
          <w:ilvl w:val="2"/>
          <w:numId w:val="27"/>
        </w:numPr>
      </w:pPr>
      <w:r w:rsidRPr="00554D11">
        <w:t>Overview</w:t>
      </w:r>
      <w:bookmarkStart w:id="8" w:name="_bmk4"/>
    </w:p>
    <w:bookmarkEnd w:id="8"/>
    <w:p w14:paraId="3E1D403E" w14:textId="61DB8DF5" w:rsidR="00985C9D" w:rsidRPr="00554D11" w:rsidRDefault="0014507F" w:rsidP="00554D11">
      <w:pPr>
        <w:pStyle w:val="FERCparanumber"/>
      </w:pPr>
      <w:r w:rsidRPr="00554D11">
        <w:t>T</w:t>
      </w:r>
      <w:r w:rsidR="00A123E5" w:rsidRPr="00554D11">
        <w:t>he NAESB WEQ Version 003</w:t>
      </w:r>
      <w:r w:rsidR="00614B06" w:rsidRPr="00554D11">
        <w:t>.1</w:t>
      </w:r>
      <w:r w:rsidR="00A123E5" w:rsidRPr="00554D11">
        <w:t xml:space="preserve"> </w:t>
      </w:r>
      <w:r w:rsidR="00F37A4D" w:rsidRPr="00554D11">
        <w:t>Business Practice S</w:t>
      </w:r>
      <w:r w:rsidR="00A123E5" w:rsidRPr="00554D11">
        <w:t>tandards</w:t>
      </w:r>
      <w:r w:rsidRPr="00554D11">
        <w:t xml:space="preserve"> contain</w:t>
      </w:r>
      <w:r w:rsidR="00A123E5" w:rsidRPr="00554D11">
        <w:t xml:space="preserve"> </w:t>
      </w:r>
      <w:r w:rsidR="00256E85" w:rsidRPr="00554D11">
        <w:t xml:space="preserve">six modifications to the OASIS suite of standards </w:t>
      </w:r>
      <w:r w:rsidRPr="00554D11">
        <w:t xml:space="preserve">that NAESB developed </w:t>
      </w:r>
      <w:r w:rsidR="00256E85" w:rsidRPr="00554D11">
        <w:t xml:space="preserve">to </w:t>
      </w:r>
      <w:r w:rsidR="00A123E5" w:rsidRPr="00554D11">
        <w:t xml:space="preserve">ensure </w:t>
      </w:r>
      <w:r w:rsidR="00A123E5" w:rsidRPr="00554D11">
        <w:lastRenderedPageBreak/>
        <w:t>consistency with certain policies articulated by the Commission in</w:t>
      </w:r>
      <w:r w:rsidR="00614B06" w:rsidRPr="00554D11">
        <w:t xml:space="preserve"> Order Nos. 676-H, 676-E, and 890</w:t>
      </w:r>
      <w:r w:rsidR="00A123E5" w:rsidRPr="00554D11">
        <w:t>.</w:t>
      </w:r>
      <w:r w:rsidR="005077A6" w:rsidRPr="00554D11">
        <w:t xml:space="preserve">  NAESB states </w:t>
      </w:r>
      <w:r w:rsidRPr="00554D11">
        <w:t xml:space="preserve">that </w:t>
      </w:r>
      <w:r w:rsidR="005077A6" w:rsidRPr="00554D11">
        <w:t xml:space="preserve">four of the six modifications align the OASIS suite of standards with guidance provided </w:t>
      </w:r>
      <w:r w:rsidRPr="00554D11">
        <w:t xml:space="preserve">by the Commission </w:t>
      </w:r>
      <w:r w:rsidR="005077A6" w:rsidRPr="00554D11">
        <w:t>in Order No. 676-H</w:t>
      </w:r>
      <w:r w:rsidR="00057954" w:rsidRPr="00554D11">
        <w:t xml:space="preserve"> </w:t>
      </w:r>
      <w:r w:rsidRPr="00554D11">
        <w:t>concerning</w:t>
      </w:r>
      <w:r w:rsidR="005077A6" w:rsidRPr="00554D11">
        <w:t xml:space="preserve"> the treatment of redirects for transmission service from conditional parent reservations, the one-day requirement for the posting of ATC</w:t>
      </w:r>
      <w:r w:rsidR="00680F83" w:rsidRPr="00554D11">
        <w:t xml:space="preserve"> Narratives, the treatment of point-to-point reservations under SAMTS, and </w:t>
      </w:r>
      <w:r w:rsidR="00DB63FB" w:rsidRPr="00554D11">
        <w:t xml:space="preserve">new </w:t>
      </w:r>
      <w:r w:rsidR="00680F83" w:rsidRPr="00554D11">
        <w:t xml:space="preserve">clarification of the requirements under which a transmission provider may deny a request to terminate service.  In response to a </w:t>
      </w:r>
      <w:r w:rsidR="00F44E0F" w:rsidRPr="00554D11">
        <w:t xml:space="preserve">directive in </w:t>
      </w:r>
      <w:r w:rsidR="00680F83" w:rsidRPr="00554D11">
        <w:t xml:space="preserve">Order No. 676-E, NAESB </w:t>
      </w:r>
      <w:r w:rsidR="00DB63FB" w:rsidRPr="00554D11">
        <w:t xml:space="preserve">also </w:t>
      </w:r>
      <w:r w:rsidR="00680F83" w:rsidRPr="00554D11">
        <w:t>modified standards to explicitly permit a transmission provider to exten</w:t>
      </w:r>
      <w:r w:rsidR="00EB6325">
        <w:t>d</w:t>
      </w:r>
      <w:r w:rsidR="00680F83" w:rsidRPr="00554D11">
        <w:t xml:space="preserve"> the performance of the biennial reassessment.</w:t>
      </w:r>
      <w:r w:rsidR="00DF5D31" w:rsidRPr="00554D11">
        <w:t xml:space="preserve">  </w:t>
      </w:r>
      <w:r w:rsidR="00DB63FB" w:rsidRPr="00554D11">
        <w:t>Additionally, t</w:t>
      </w:r>
      <w:r w:rsidR="00DF5D31" w:rsidRPr="00554D11">
        <w:t>o</w:t>
      </w:r>
      <w:r w:rsidR="004C2162" w:rsidRPr="00554D11">
        <w:t xml:space="preserve"> implement </w:t>
      </w:r>
      <w:r w:rsidR="00F17778" w:rsidRPr="00554D11">
        <w:t>the</w:t>
      </w:r>
      <w:r w:rsidR="00F44E0F" w:rsidRPr="00554D11">
        <w:t xml:space="preserve"> Commis</w:t>
      </w:r>
      <w:r w:rsidR="00F17778" w:rsidRPr="00554D11">
        <w:t>s</w:t>
      </w:r>
      <w:r w:rsidR="00F44E0F" w:rsidRPr="00554D11">
        <w:t xml:space="preserve">ion’s </w:t>
      </w:r>
      <w:r w:rsidR="004C2162" w:rsidRPr="00554D11">
        <w:t xml:space="preserve">guidance </w:t>
      </w:r>
      <w:r w:rsidR="00F44E0F" w:rsidRPr="00554D11">
        <w:t xml:space="preserve">provided in </w:t>
      </w:r>
      <w:r w:rsidR="004C2162" w:rsidRPr="00554D11">
        <w:t>Or</w:t>
      </w:r>
      <w:r w:rsidR="00DF5D31" w:rsidRPr="00554D11">
        <w:t xml:space="preserve">der </w:t>
      </w:r>
      <w:r w:rsidR="004C2162" w:rsidRPr="00554D11">
        <w:t xml:space="preserve">No. 890, NAESB modified </w:t>
      </w:r>
      <w:r w:rsidR="00F44E0F" w:rsidRPr="00554D11">
        <w:t xml:space="preserve">pertinent </w:t>
      </w:r>
      <w:r w:rsidR="004C2162" w:rsidRPr="00554D11">
        <w:t>standards to allow for the consistent posting of AFC</w:t>
      </w:r>
      <w:r w:rsidR="00F44E0F" w:rsidRPr="00554D11">
        <w:t>-</w:t>
      </w:r>
      <w:r w:rsidR="004C2162" w:rsidRPr="00554D11">
        <w:t>related data on OASIS s</w:t>
      </w:r>
      <w:r w:rsidR="009A1917">
        <w:t>ites</w:t>
      </w:r>
      <w:r w:rsidR="004C2162" w:rsidRPr="00554D11">
        <w:t>.</w:t>
      </w:r>
      <w:bookmarkStart w:id="9" w:name="_Toc441070566"/>
    </w:p>
    <w:p w14:paraId="03365109" w14:textId="01E1399D" w:rsidR="00A123E5" w:rsidRPr="00554D11" w:rsidRDefault="0090470D" w:rsidP="00E405D4">
      <w:pPr>
        <w:pStyle w:val="Heading3"/>
        <w:ind w:left="0" w:firstLine="1440"/>
      </w:pPr>
      <w:r w:rsidRPr="00554D11">
        <w:rPr>
          <w:u w:val="none"/>
        </w:rPr>
        <w:t>2.</w:t>
      </w:r>
      <w:r w:rsidRPr="00554D11">
        <w:rPr>
          <w:u w:val="none"/>
        </w:rPr>
        <w:tab/>
      </w:r>
      <w:r w:rsidR="00256E85" w:rsidRPr="00554D11">
        <w:t>Redirects from Conditional Parent Reservations</w:t>
      </w:r>
      <w:bookmarkStart w:id="10" w:name="_bmk5"/>
      <w:bookmarkEnd w:id="9"/>
    </w:p>
    <w:bookmarkEnd w:id="10"/>
    <w:p w14:paraId="55CF76D2" w14:textId="1E10830A" w:rsidR="00962434" w:rsidRPr="00554D11" w:rsidRDefault="00CB7E9A" w:rsidP="00554D11">
      <w:pPr>
        <w:pStyle w:val="FERCparanumber"/>
      </w:pPr>
      <w:r w:rsidRPr="00554D11">
        <w:t xml:space="preserve">In Order </w:t>
      </w:r>
      <w:r w:rsidR="000079F5" w:rsidRPr="00554D11">
        <w:t xml:space="preserve">No. </w:t>
      </w:r>
      <w:r w:rsidRPr="00554D11">
        <w:t>676-H,</w:t>
      </w:r>
      <w:r w:rsidR="00962434" w:rsidRPr="00554D11">
        <w:rPr>
          <w:b/>
          <w:szCs w:val="26"/>
          <w:vertAlign w:val="superscript"/>
        </w:rPr>
        <w:t xml:space="preserve"> </w:t>
      </w:r>
      <w:r w:rsidRPr="00554D11">
        <w:t xml:space="preserve">the Commission </w:t>
      </w:r>
      <w:r w:rsidR="00962434" w:rsidRPr="00554D11">
        <w:t xml:space="preserve">declined to incorporate by reference NAESB </w:t>
      </w:r>
      <w:r w:rsidR="000079F5" w:rsidRPr="00554D11">
        <w:t xml:space="preserve">Standards </w:t>
      </w:r>
      <w:r w:rsidR="00962434" w:rsidRPr="00554D11">
        <w:t>WEQ-001-9.5 and</w:t>
      </w:r>
      <w:r w:rsidR="00BA01D1" w:rsidRPr="00554D11">
        <w:t xml:space="preserve"> WEQ-001-10.5</w:t>
      </w:r>
      <w:r w:rsidR="006476D3" w:rsidRPr="00554D11">
        <w:t>.</w:t>
      </w:r>
      <w:r w:rsidR="00BA01D1" w:rsidRPr="00554D11">
        <w:t xml:space="preserve">  The Version </w:t>
      </w:r>
      <w:r w:rsidR="00C168A8" w:rsidRPr="00554D11">
        <w:t>00</w:t>
      </w:r>
      <w:r w:rsidR="00BA01D1" w:rsidRPr="00554D11">
        <w:t>3.0 WEQ-001-9.5</w:t>
      </w:r>
      <w:r w:rsidR="00962434" w:rsidRPr="00554D11">
        <w:t xml:space="preserve"> state</w:t>
      </w:r>
      <w:r w:rsidR="00BA01D1" w:rsidRPr="00554D11">
        <w:t>d that,</w:t>
      </w:r>
      <w:r w:rsidR="00962434" w:rsidRPr="00554D11">
        <w:t xml:space="preserve"> “upon confirmation of the request to Redirect on a firm basis, the Capacity Available to Redirect shall be reduced by the amount of the redirected capacity granted for the time period of that Redirect.”  </w:t>
      </w:r>
      <w:r w:rsidR="00BA01D1" w:rsidRPr="00554D11">
        <w:t xml:space="preserve">The Version </w:t>
      </w:r>
      <w:r w:rsidR="00C168A8" w:rsidRPr="00554D11">
        <w:t>00</w:t>
      </w:r>
      <w:r w:rsidR="00BA01D1" w:rsidRPr="00554D11">
        <w:t xml:space="preserve">3.0 WEQ-001-10.5 contained nearly identical language relating to </w:t>
      </w:r>
      <w:r w:rsidR="006476D3" w:rsidRPr="00554D11">
        <w:t xml:space="preserve">the </w:t>
      </w:r>
      <w:r w:rsidR="00BA01D1" w:rsidRPr="00554D11">
        <w:t xml:space="preserve">confirmation of </w:t>
      </w:r>
      <w:r w:rsidR="006476D3" w:rsidRPr="00554D11">
        <w:t>requests to redirect on a non-firm basis.</w:t>
      </w:r>
      <w:r w:rsidR="00BA01D1" w:rsidRPr="00554D11">
        <w:t xml:space="preserve"> </w:t>
      </w:r>
      <w:r w:rsidR="006476D3" w:rsidRPr="00554D11">
        <w:t xml:space="preserve"> </w:t>
      </w:r>
      <w:r w:rsidR="00962434" w:rsidRPr="00554D11">
        <w:t xml:space="preserve">The Commission explained that it found </w:t>
      </w:r>
      <w:r w:rsidR="006476D3" w:rsidRPr="00554D11">
        <w:t xml:space="preserve">both of </w:t>
      </w:r>
      <w:r w:rsidR="00962434" w:rsidRPr="00554D11">
        <w:t>th</w:t>
      </w:r>
      <w:r w:rsidR="006476D3" w:rsidRPr="00554D11">
        <w:t>ese</w:t>
      </w:r>
      <w:r w:rsidR="00962434" w:rsidRPr="00554D11">
        <w:t xml:space="preserve"> standard</w:t>
      </w:r>
      <w:r w:rsidR="006476D3" w:rsidRPr="00554D11">
        <w:t>s</w:t>
      </w:r>
      <w:r w:rsidR="00962434" w:rsidRPr="00554D11">
        <w:t xml:space="preserve"> inconsistent with</w:t>
      </w:r>
      <w:r w:rsidR="006476D3" w:rsidRPr="00554D11">
        <w:t xml:space="preserve"> the </w:t>
      </w:r>
      <w:r w:rsidR="006476D3" w:rsidRPr="00554D11">
        <w:lastRenderedPageBreak/>
        <w:t>Commission’s precedent in</w:t>
      </w:r>
      <w:r w:rsidR="00962434" w:rsidRPr="00554D11">
        <w:t xml:space="preserve"> </w:t>
      </w:r>
      <w:r w:rsidR="00962434" w:rsidRPr="00554D11">
        <w:rPr>
          <w:i/>
        </w:rPr>
        <w:t>Dynegy</w:t>
      </w:r>
      <w:r w:rsidR="00C8145A">
        <w:rPr>
          <w:i/>
        </w:rPr>
        <w:t xml:space="preserve"> Power Marketing, Inc.</w:t>
      </w:r>
      <w:r w:rsidR="00962434" w:rsidRPr="00554D11">
        <w:rPr>
          <w:rStyle w:val="FootnoteReference"/>
        </w:rPr>
        <w:footnoteReference w:id="22"/>
      </w:r>
      <w:r w:rsidR="00962434" w:rsidRPr="00554D11">
        <w:t xml:space="preserve"> and </w:t>
      </w:r>
      <w:r w:rsidR="00962434" w:rsidRPr="00554D11">
        <w:rPr>
          <w:i/>
        </w:rPr>
        <w:t>Entergy</w:t>
      </w:r>
      <w:r w:rsidR="00C8145A">
        <w:rPr>
          <w:i/>
        </w:rPr>
        <w:t xml:space="preserve"> Services, Inc.</w:t>
      </w:r>
      <w:r w:rsidR="00962434" w:rsidRPr="00554D11">
        <w:rPr>
          <w:rStyle w:val="FootnoteReference"/>
        </w:rPr>
        <w:footnoteReference w:id="23"/>
      </w:r>
      <w:r w:rsidR="00962434" w:rsidRPr="00554D11">
        <w:t xml:space="preserve"> </w:t>
      </w:r>
      <w:r w:rsidR="006476D3" w:rsidRPr="00554D11">
        <w:t xml:space="preserve"> With regard to Standard WEQ-001-9.5, the Commission explained that,</w:t>
      </w:r>
      <w:r w:rsidR="00962434" w:rsidRPr="00554D11">
        <w:t xml:space="preserve"> “as we found in these orders, reducing the capacity available to redirect prior to the passage of the conditional reservation deadline could lead to a customer paying firm transmission charges and losing capacity on both its original path and its redirect path.”</w:t>
      </w:r>
      <w:r w:rsidR="00962434" w:rsidRPr="00554D11">
        <w:rPr>
          <w:rStyle w:val="FootnoteReference"/>
        </w:rPr>
        <w:footnoteReference w:id="24"/>
      </w:r>
      <w:r w:rsidR="00962434" w:rsidRPr="00554D11">
        <w:t xml:space="preserve">  The Commission further explained that the </w:t>
      </w:r>
      <w:r w:rsidR="00962434" w:rsidRPr="00554D11">
        <w:rPr>
          <w:i/>
          <w:iCs/>
        </w:rPr>
        <w:t xml:space="preserve">Dynegy </w:t>
      </w:r>
      <w:r w:rsidR="00962434" w:rsidRPr="00554D11">
        <w:t>policy “effects a reasonable balancing of interests between the customer and the transmission owner by ensuring that the customer does not potentially lose rights to capacity, while at the same time still permitting the transmission owner to sell available capacity on a short term basis until the redirect becomes unconditional.”</w:t>
      </w:r>
      <w:r w:rsidR="006476D3" w:rsidRPr="00554D11">
        <w:t xml:space="preserve">  The Commission also found that Standard WEQ-001-10.5 raised similar concerns regarding the confirmation of requests to redirect on a non-firm basis</w:t>
      </w:r>
      <w:r w:rsidR="00010757" w:rsidRPr="00554D11">
        <w:t xml:space="preserve"> and also declined to incorporate by reference Standard WEQ-001-10.5 and requested that NAESB, likewise, give consideration to reworking this standard.</w:t>
      </w:r>
    </w:p>
    <w:p w14:paraId="130E4B1C" w14:textId="6B861484" w:rsidR="00730119" w:rsidRPr="00554D11" w:rsidRDefault="00106C33" w:rsidP="00554D11">
      <w:pPr>
        <w:pStyle w:val="FERCparanumber"/>
      </w:pPr>
      <w:r w:rsidRPr="00554D11">
        <w:t xml:space="preserve">As </w:t>
      </w:r>
      <w:r w:rsidR="00F93753" w:rsidRPr="00554D11">
        <w:t>the Commission</w:t>
      </w:r>
      <w:r w:rsidRPr="00554D11">
        <w:t xml:space="preserve"> stated in </w:t>
      </w:r>
      <w:r w:rsidRPr="00554D11">
        <w:rPr>
          <w:i/>
        </w:rPr>
        <w:t>Entergy</w:t>
      </w:r>
      <w:r w:rsidRPr="00554D11">
        <w:t>,</w:t>
      </w:r>
      <w:r w:rsidR="002E7177" w:rsidRPr="00554D11">
        <w:rPr>
          <w:rStyle w:val="FootnoteReference"/>
        </w:rPr>
        <w:footnoteReference w:id="25"/>
      </w:r>
      <w:r w:rsidRPr="00554D11">
        <w:t xml:space="preserve"> our guiding precedent on the issue of when a customer requesting redirect loses rights on the original path was set in </w:t>
      </w:r>
      <w:r w:rsidRPr="00554D11">
        <w:rPr>
          <w:i/>
        </w:rPr>
        <w:t>Dynegy</w:t>
      </w:r>
      <w:r w:rsidR="004B066C" w:rsidRPr="001624A2">
        <w:t>.</w:t>
      </w:r>
      <w:r w:rsidR="002E7177" w:rsidRPr="00554D11">
        <w:rPr>
          <w:rStyle w:val="FootnoteReference"/>
        </w:rPr>
        <w:footnoteReference w:id="26"/>
      </w:r>
      <w:r w:rsidR="002E7177" w:rsidRPr="00554D11">
        <w:t xml:space="preserve">  I</w:t>
      </w:r>
      <w:r w:rsidR="006E2754" w:rsidRPr="00554D11">
        <w:t>n</w:t>
      </w:r>
      <w:r w:rsidR="002E7177" w:rsidRPr="00554D11">
        <w:t xml:space="preserve"> </w:t>
      </w:r>
      <w:r w:rsidR="002E7177" w:rsidRPr="00554D11">
        <w:rPr>
          <w:i/>
        </w:rPr>
        <w:t>Dynegy</w:t>
      </w:r>
      <w:r w:rsidRPr="00554D11">
        <w:t xml:space="preserve">, </w:t>
      </w:r>
      <w:r w:rsidR="002E7177" w:rsidRPr="00554D11">
        <w:t xml:space="preserve">the Commission found that </w:t>
      </w:r>
      <w:r w:rsidRPr="00554D11">
        <w:t xml:space="preserve">a transmission customer receiving firm </w:t>
      </w:r>
      <w:r w:rsidRPr="00554D11">
        <w:lastRenderedPageBreak/>
        <w:t>transmission service does not lose its rights to its original path until the redirect request satisfies all of the following criteria:  (1) it is accepted by the transmission provider; (2) it is confirmed by the transmission customer; and (3) it passes the conditional reservation deadline under section 13.2</w:t>
      </w:r>
      <w:r w:rsidR="00B70979" w:rsidRPr="00554D11">
        <w:t xml:space="preserve"> of its Open Access Transmission Tariff</w:t>
      </w:r>
      <w:r w:rsidRPr="00554D11">
        <w:t>.</w:t>
      </w:r>
    </w:p>
    <w:p w14:paraId="26641C1C" w14:textId="05EF49BC" w:rsidR="00730119" w:rsidRPr="00554D11" w:rsidRDefault="00730119" w:rsidP="00554D11">
      <w:pPr>
        <w:pStyle w:val="FERCparanumber"/>
      </w:pPr>
      <w:r w:rsidRPr="00554D11">
        <w:t xml:space="preserve">Having NAESB revise its standards to accommodate the Commission’s policy in this area will help avoid confusion by public utilities as to their responsibilities under the Commission`s policy and under the NAESB standards.  The Commission’s concern in </w:t>
      </w:r>
      <w:r w:rsidRPr="00554D11">
        <w:rPr>
          <w:i/>
        </w:rPr>
        <w:t>Dynegy</w:t>
      </w:r>
      <w:r w:rsidRPr="00554D11">
        <w:t xml:space="preserve"> and </w:t>
      </w:r>
      <w:r w:rsidRPr="00554D11">
        <w:rPr>
          <w:i/>
        </w:rPr>
        <w:t>Entergy</w:t>
      </w:r>
      <w:r w:rsidRPr="00554D11">
        <w:t xml:space="preserve"> was that a redirecting customer would lose its rights to the unconditional parent path and be left with no transmission service during the redirect period if the requested redirect was preempted by a competing service request.</w:t>
      </w:r>
    </w:p>
    <w:p w14:paraId="4358A9EE" w14:textId="4642ED78" w:rsidR="00296723" w:rsidRPr="00554D11" w:rsidRDefault="0018040D" w:rsidP="00554D11">
      <w:pPr>
        <w:pStyle w:val="FERCparanumber"/>
      </w:pPr>
      <w:r w:rsidRPr="00554D11">
        <w:t>We appreciate the extensive work that NAESB and its stakeholder have undertaken in response to our directive in Order 676-H</w:t>
      </w:r>
      <w:r w:rsidR="00C42EB8" w:rsidRPr="00554D11">
        <w:t xml:space="preserve">. </w:t>
      </w:r>
      <w:r w:rsidR="00730119" w:rsidRPr="00554D11">
        <w:t xml:space="preserve"> NAESB </w:t>
      </w:r>
      <w:r w:rsidR="00C42EB8" w:rsidRPr="00554D11">
        <w:t xml:space="preserve">has reached </w:t>
      </w:r>
      <w:r w:rsidR="00A8113C" w:rsidRPr="00554D11">
        <w:t xml:space="preserve">consensus on </w:t>
      </w:r>
      <w:r w:rsidR="00C42EB8" w:rsidRPr="00554D11">
        <w:t xml:space="preserve">standards relating to redirects related to unconditional parent </w:t>
      </w:r>
      <w:r w:rsidR="00A8113C" w:rsidRPr="00554D11">
        <w:t>reservation</w:t>
      </w:r>
      <w:r w:rsidR="00357758" w:rsidRPr="00554D11">
        <w:t>s</w:t>
      </w:r>
      <w:r w:rsidR="00C42EB8" w:rsidRPr="00554D11">
        <w:t xml:space="preserve">, and we propose to incorporate those standards </w:t>
      </w:r>
      <w:r w:rsidR="00995B5B" w:rsidRPr="00554D11">
        <w:t xml:space="preserve">by reference </w:t>
      </w:r>
      <w:r w:rsidR="00C42EB8" w:rsidRPr="00554D11">
        <w:t>into our regulations</w:t>
      </w:r>
      <w:r w:rsidR="00995B5B" w:rsidRPr="00554D11">
        <w:t>.</w:t>
      </w:r>
    </w:p>
    <w:p w14:paraId="1B50450B" w14:textId="20118B5E" w:rsidR="004A7B18" w:rsidRPr="00554D11" w:rsidRDefault="00C42EB8" w:rsidP="00554D11">
      <w:pPr>
        <w:pStyle w:val="FERCparanumber"/>
      </w:pPr>
      <w:r w:rsidRPr="00554D11">
        <w:t xml:space="preserve">NAESB reports, however, that it was unsure whether and to what extent the </w:t>
      </w:r>
      <w:r w:rsidRPr="00554D11">
        <w:rPr>
          <w:i/>
        </w:rPr>
        <w:t xml:space="preserve">Dynegy </w:t>
      </w:r>
      <w:r w:rsidRPr="00554D11">
        <w:t>policy applies to conditional parent reservations</w:t>
      </w:r>
      <w:r w:rsidR="004A7B18" w:rsidRPr="00554D11">
        <w:t xml:space="preserve"> and non-</w:t>
      </w:r>
      <w:r w:rsidR="00A8113C" w:rsidRPr="00554D11">
        <w:t>firm service</w:t>
      </w:r>
      <w:r w:rsidR="004A7B18" w:rsidRPr="00554D11">
        <w:t>,</w:t>
      </w:r>
      <w:r w:rsidRPr="00554D11">
        <w:t xml:space="preserve"> and no consensus could be reached with respect to such standards.</w:t>
      </w:r>
      <w:r w:rsidR="004A7B18" w:rsidRPr="00554D11">
        <w:t xml:space="preserve">  It therefore adopted a standard </w:t>
      </w:r>
      <w:r w:rsidR="006B5A0D" w:rsidRPr="00554D11">
        <w:t xml:space="preserve">(WEQ-001-9.5) </w:t>
      </w:r>
      <w:r w:rsidR="004A7B18" w:rsidRPr="00554D11">
        <w:t xml:space="preserve">that allows individual transmission providers to craft provisions in their individual tariffs for how they will address redirects of requests for firm transmission service, rather than having an industry-wide business practice for such transactions.  Because it could not reach consensus on these issues, the standards also do not prescribe when a public utility must reduce uncommitted capacity to account for </w:t>
      </w:r>
      <w:r w:rsidR="004A7B18" w:rsidRPr="00554D11">
        <w:lastRenderedPageBreak/>
        <w:t>redirects.</w:t>
      </w:r>
      <w:r w:rsidR="006B5A0D" w:rsidRPr="00554D11">
        <w:t xml:space="preserve">  NAESB also adopted a similar rewrite of the standard (WEQ-001-10.5) on redirects on a non-firm basis.</w:t>
      </w:r>
    </w:p>
    <w:p w14:paraId="7175830C" w14:textId="1AE81E09" w:rsidR="00730119" w:rsidRPr="00554D11" w:rsidRDefault="00730119" w:rsidP="00554D11">
      <w:pPr>
        <w:pStyle w:val="FERCparanumber"/>
      </w:pPr>
      <w:r w:rsidRPr="00554D11">
        <w:t xml:space="preserve">The concern about the negative effects of the potential loss of the customer’s parent path when the parent reservation is conditional and subject to competition </w:t>
      </w:r>
      <w:r w:rsidR="004A7B18" w:rsidRPr="00554D11">
        <w:t xml:space="preserve">arguably </w:t>
      </w:r>
      <w:r w:rsidRPr="00554D11">
        <w:t xml:space="preserve">is </w:t>
      </w:r>
      <w:r w:rsidR="004A7B18" w:rsidRPr="00554D11">
        <w:t>m</w:t>
      </w:r>
      <w:r w:rsidRPr="00554D11">
        <w:t>uch less compelling than when the parent reservation is unconditional.  While</w:t>
      </w:r>
      <w:r w:rsidRPr="00554D11">
        <w:rPr>
          <w:i/>
        </w:rPr>
        <w:t xml:space="preserve"> Dynegy</w:t>
      </w:r>
      <w:r w:rsidRPr="00554D11">
        <w:t xml:space="preserve"> carved out an exception for unconditional parent reservations, the Commission has </w:t>
      </w:r>
      <w:r w:rsidR="004A7B18" w:rsidRPr="00554D11">
        <w:t xml:space="preserve">not </w:t>
      </w:r>
      <w:r w:rsidR="006B5A0D" w:rsidRPr="00554D11">
        <w:t>explicitly ruled on whether</w:t>
      </w:r>
      <w:r w:rsidRPr="00554D11">
        <w:rPr>
          <w:i/>
        </w:rPr>
        <w:t xml:space="preserve"> Dynegy</w:t>
      </w:r>
      <w:r w:rsidRPr="00554D11">
        <w:t xml:space="preserve"> applies to conditional parent reservations, and such an extension </w:t>
      </w:r>
      <w:r w:rsidR="004A7B18" w:rsidRPr="00554D11">
        <w:t xml:space="preserve">may go </w:t>
      </w:r>
      <w:r w:rsidRPr="00554D11">
        <w:t>beyond the policy concern with losing firm service articulated in</w:t>
      </w:r>
      <w:r w:rsidRPr="00554D11">
        <w:rPr>
          <w:i/>
        </w:rPr>
        <w:t xml:space="preserve"> Entergy</w:t>
      </w:r>
      <w:r w:rsidRPr="00554D11">
        <w:t>.</w:t>
      </w:r>
    </w:p>
    <w:p w14:paraId="6402B9AC" w14:textId="7211CED6" w:rsidR="00985C9D" w:rsidRPr="00554D11" w:rsidRDefault="009D4D45" w:rsidP="00554D11">
      <w:pPr>
        <w:pStyle w:val="FERCparanumber"/>
      </w:pPr>
      <w:r w:rsidRPr="00554D11">
        <w:rPr>
          <w:szCs w:val="26"/>
        </w:rPr>
        <w:t xml:space="preserve">We, </w:t>
      </w:r>
      <w:r w:rsidRPr="00554D11">
        <w:t>therefore</w:t>
      </w:r>
      <w:r w:rsidRPr="00554D11">
        <w:rPr>
          <w:szCs w:val="26"/>
        </w:rPr>
        <w:t>,</w:t>
      </w:r>
      <w:r w:rsidR="00526792">
        <w:rPr>
          <w:szCs w:val="26"/>
        </w:rPr>
        <w:t xml:space="preserve"> </w:t>
      </w:r>
      <w:r w:rsidRPr="00554D11">
        <w:rPr>
          <w:szCs w:val="26"/>
        </w:rPr>
        <w:t xml:space="preserve">invite comment on </w:t>
      </w:r>
      <w:r w:rsidR="00296723" w:rsidRPr="00554D11">
        <w:t xml:space="preserve">whether the Commission should apply the </w:t>
      </w:r>
      <w:r w:rsidR="00296723" w:rsidRPr="00554D11">
        <w:rPr>
          <w:i/>
        </w:rPr>
        <w:t>Dynegy</w:t>
      </w:r>
      <w:r w:rsidR="00296723" w:rsidRPr="00554D11">
        <w:t xml:space="preserve"> policy to conditional and non-firm redirects.  Parties also should address the </w:t>
      </w:r>
      <w:r w:rsidR="009D1B44" w:rsidRPr="00554D11">
        <w:t>four</w:t>
      </w:r>
      <w:r w:rsidR="00730119" w:rsidRPr="00554D11">
        <w:t xml:space="preserve"> </w:t>
      </w:r>
      <w:r w:rsidR="00C168A8" w:rsidRPr="00554D11">
        <w:t xml:space="preserve">redirect-related </w:t>
      </w:r>
      <w:r w:rsidR="00730119" w:rsidRPr="00554D11">
        <w:t>issues</w:t>
      </w:r>
      <w:r w:rsidR="00C81943" w:rsidRPr="00554D11">
        <w:t xml:space="preserve"> </w:t>
      </w:r>
      <w:r w:rsidR="00394190" w:rsidRPr="00554D11">
        <w:t>on which</w:t>
      </w:r>
      <w:r w:rsidR="00C81943" w:rsidRPr="00554D11">
        <w:t xml:space="preserve"> stakeholders have been unable to reach consensus</w:t>
      </w:r>
      <w:r w:rsidR="00143BE7" w:rsidRPr="00554D11">
        <w:t>.  These are</w:t>
      </w:r>
      <w:r w:rsidR="0076215F">
        <w:t xml:space="preserve">: </w:t>
      </w:r>
      <w:r w:rsidR="00C81943" w:rsidRPr="00554D11">
        <w:t xml:space="preserve"> (1) the treatment of a firm redirect for transmission service following the preemption of the conditional parent reservation</w:t>
      </w:r>
      <w:r w:rsidR="0076215F">
        <w:t>;</w:t>
      </w:r>
      <w:r w:rsidR="00C81943" w:rsidRPr="00554D11">
        <w:t xml:space="preserve"> (2) the circumstances under which a firm redirect for transmission service may return to the conditional parent reservation</w:t>
      </w:r>
      <w:r w:rsidR="0076215F">
        <w:t>;</w:t>
      </w:r>
      <w:r w:rsidR="00C81943" w:rsidRPr="00554D11">
        <w:t xml:space="preserve"> (3)</w:t>
      </w:r>
      <w:r w:rsidR="006B5A0D" w:rsidRPr="00554D11">
        <w:t> </w:t>
      </w:r>
      <w:r w:rsidR="00C81943" w:rsidRPr="00554D11">
        <w:t>the number of subsequent firm redirects for transmission service that can stem from the original firm redirect for transmission service</w:t>
      </w:r>
      <w:r w:rsidR="0076215F">
        <w:t>;</w:t>
      </w:r>
      <w:r w:rsidR="009D1B44" w:rsidRPr="00554D11">
        <w:t xml:space="preserve"> and (4) the proper treatment of requests to redirect requests for non-firm transmission service</w:t>
      </w:r>
      <w:r w:rsidR="00625D81" w:rsidRPr="00554D11">
        <w:t xml:space="preserve">.  </w:t>
      </w:r>
      <w:r w:rsidR="004A7B18" w:rsidRPr="00554D11">
        <w:t>Based</w:t>
      </w:r>
      <w:r w:rsidR="00625D81" w:rsidRPr="00554D11">
        <w:t xml:space="preserve"> on these </w:t>
      </w:r>
      <w:r w:rsidR="004A7B18" w:rsidRPr="00554D11">
        <w:t>responses</w:t>
      </w:r>
      <w:r w:rsidR="00625D81" w:rsidRPr="00554D11">
        <w:t xml:space="preserve">, the Commission will consider whether it </w:t>
      </w:r>
      <w:r w:rsidR="004A7B18" w:rsidRPr="00554D11">
        <w:t>will adopt regulations</w:t>
      </w:r>
      <w:r w:rsidR="00625D81" w:rsidRPr="00554D11">
        <w:t xml:space="preserve"> </w:t>
      </w:r>
      <w:r w:rsidR="003F60B5">
        <w:t>regarding</w:t>
      </w:r>
      <w:r w:rsidR="004A7B18" w:rsidRPr="00554D11">
        <w:t xml:space="preserve"> redirects from conditional parent reservations and non-firm service.</w:t>
      </w:r>
      <w:bookmarkStart w:id="11" w:name="_Toc441070567"/>
    </w:p>
    <w:p w14:paraId="5799EBBA" w14:textId="65E3DE4B" w:rsidR="00A123E5" w:rsidRPr="00554D11" w:rsidRDefault="0090470D" w:rsidP="00E405D4">
      <w:pPr>
        <w:pStyle w:val="Heading3"/>
        <w:ind w:left="0" w:firstLine="1440"/>
      </w:pPr>
      <w:r w:rsidRPr="00554D11">
        <w:rPr>
          <w:u w:val="none"/>
        </w:rPr>
        <w:lastRenderedPageBreak/>
        <w:t>3.</w:t>
      </w:r>
      <w:r w:rsidRPr="00554D11">
        <w:rPr>
          <w:u w:val="none"/>
        </w:rPr>
        <w:tab/>
      </w:r>
      <w:r w:rsidR="00256E85" w:rsidRPr="00554D11">
        <w:t xml:space="preserve">Requirement </w:t>
      </w:r>
      <w:r w:rsidR="00F17778" w:rsidRPr="00554D11">
        <w:t>to Post</w:t>
      </w:r>
      <w:r w:rsidR="00256E85" w:rsidRPr="00554D11">
        <w:t xml:space="preserve"> ATC Narrative </w:t>
      </w:r>
      <w:bookmarkEnd w:id="11"/>
      <w:r w:rsidR="00D439C6" w:rsidRPr="00554D11">
        <w:t>w</w:t>
      </w:r>
      <w:r w:rsidR="00F17778" w:rsidRPr="00554D11">
        <w:t>ithin One Day</w:t>
      </w:r>
      <w:bookmarkStart w:id="12" w:name="_bmk6"/>
    </w:p>
    <w:bookmarkEnd w:id="12"/>
    <w:p w14:paraId="46F51C28" w14:textId="77777777" w:rsidR="0062184F" w:rsidRPr="00554D11" w:rsidRDefault="00A47643" w:rsidP="00554D11">
      <w:pPr>
        <w:pStyle w:val="FERCparanumber"/>
      </w:pPr>
      <w:r w:rsidRPr="00554D11">
        <w:t xml:space="preserve">NAESB developed Standard </w:t>
      </w:r>
      <w:r w:rsidR="00D439C6" w:rsidRPr="00554D11">
        <w:t>WEQ-</w:t>
      </w:r>
      <w:r w:rsidRPr="00554D11">
        <w:t xml:space="preserve">001-14 to meet the requirement in Order No. 890 for transmission providers to post a narrative in instances when </w:t>
      </w:r>
      <w:r w:rsidR="00D439C6" w:rsidRPr="00554D11">
        <w:t xml:space="preserve">ATC </w:t>
      </w:r>
      <w:r w:rsidRPr="00554D11">
        <w:t xml:space="preserve">remains unchanged at a value of zero for six months or longer.  In addition, Standard </w:t>
      </w:r>
      <w:r w:rsidR="00D439C6" w:rsidRPr="00554D11">
        <w:t>WEQ-</w:t>
      </w:r>
      <w:r w:rsidRPr="00554D11">
        <w:t xml:space="preserve">001-15 requires transmission providers to post a brief narrative that explains the reason for a change in monthly or yearly </w:t>
      </w:r>
      <w:r w:rsidR="00D439C6" w:rsidRPr="00554D11">
        <w:t xml:space="preserve">ATC </w:t>
      </w:r>
      <w:r w:rsidRPr="00554D11">
        <w:t xml:space="preserve">values on a constrained path when a monthly or yearly </w:t>
      </w:r>
      <w:r w:rsidR="00D439C6" w:rsidRPr="00554D11">
        <w:t xml:space="preserve">ATC </w:t>
      </w:r>
      <w:r w:rsidRPr="00554D11">
        <w:t xml:space="preserve">value changes as a result of a 10 percent change in total transfer capability.  </w:t>
      </w:r>
      <w:r w:rsidR="00E10F2D" w:rsidRPr="00554D11">
        <w:t>In Order No. 676-H</w:t>
      </w:r>
      <w:r w:rsidR="0062184F" w:rsidRPr="00554D11">
        <w:t>,</w:t>
      </w:r>
      <w:r w:rsidR="00E10F2D" w:rsidRPr="00554D11">
        <w:t xml:space="preserve"> the Commission declined to incorporate by reference </w:t>
      </w:r>
      <w:r w:rsidR="00D439C6" w:rsidRPr="00554D11">
        <w:t xml:space="preserve">Standards </w:t>
      </w:r>
      <w:r w:rsidR="00E10F2D" w:rsidRPr="00554D11">
        <w:t xml:space="preserve">WEQ-001-14.1.3 and WEQ-011-15.1.2 after determining </w:t>
      </w:r>
      <w:r w:rsidR="00D439C6" w:rsidRPr="00554D11">
        <w:t xml:space="preserve">that </w:t>
      </w:r>
      <w:r w:rsidR="00E10F2D" w:rsidRPr="00554D11">
        <w:t>these standards did not me</w:t>
      </w:r>
      <w:r w:rsidR="0062184F" w:rsidRPr="00554D11">
        <w:t>e</w:t>
      </w:r>
      <w:r w:rsidR="00E10F2D" w:rsidRPr="00554D11">
        <w:t>t the Commission’s requirement to post the ATC narrative as soon as feasible.</w:t>
      </w:r>
      <w:r w:rsidR="00E10F2D" w:rsidRPr="00554D11">
        <w:rPr>
          <w:rStyle w:val="FootnoteReference"/>
        </w:rPr>
        <w:footnoteReference w:id="27"/>
      </w:r>
      <w:r w:rsidR="00110C27" w:rsidRPr="00554D11">
        <w:t xml:space="preserve">  The Commission requested that NAESB “revise these standards to provide for a one-day posting requirement.”</w:t>
      </w:r>
      <w:r w:rsidR="00110C27" w:rsidRPr="00554D11">
        <w:rPr>
          <w:rStyle w:val="FootnoteReference"/>
        </w:rPr>
        <w:footnoteReference w:id="28"/>
      </w:r>
      <w:r w:rsidR="00CC1040" w:rsidRPr="00554D11">
        <w:t xml:space="preserve">  </w:t>
      </w:r>
      <w:r w:rsidR="001A54A2" w:rsidRPr="00554D11">
        <w:t xml:space="preserve">In response, </w:t>
      </w:r>
      <w:r w:rsidR="00B23928" w:rsidRPr="00554D11">
        <w:t xml:space="preserve">NAESB </w:t>
      </w:r>
      <w:r w:rsidR="001A54A2" w:rsidRPr="00554D11">
        <w:t>modifi</w:t>
      </w:r>
      <w:r w:rsidR="00F30ABB" w:rsidRPr="00554D11">
        <w:t>ed</w:t>
      </w:r>
      <w:r w:rsidR="001A54A2" w:rsidRPr="00554D11">
        <w:t xml:space="preserve"> </w:t>
      </w:r>
      <w:r w:rsidR="00D439C6" w:rsidRPr="00554D11">
        <w:t xml:space="preserve">Standards </w:t>
      </w:r>
      <w:r w:rsidR="001A54A2" w:rsidRPr="00554D11">
        <w:t>WEQ-001-14.1.3 and WEQ-011-15.1.2 and adopted business practice standards to support the one-day posting requirement.</w:t>
      </w:r>
    </w:p>
    <w:p w14:paraId="4445FF5A" w14:textId="099B39FA" w:rsidR="006F2DC1" w:rsidRPr="00554D11" w:rsidRDefault="00D439C6" w:rsidP="00554D11">
      <w:pPr>
        <w:pStyle w:val="FERCparanumber"/>
      </w:pPr>
      <w:r w:rsidRPr="00554D11">
        <w:t xml:space="preserve">NAESB’s revised standards </w:t>
      </w:r>
      <w:r w:rsidR="007F67F8" w:rsidRPr="00554D11">
        <w:t>appear</w:t>
      </w:r>
      <w:r w:rsidR="00B55003" w:rsidRPr="00554D11">
        <w:t xml:space="preserve"> consistent with our findings in Order No. 676-H </w:t>
      </w:r>
      <w:r w:rsidR="009F5DEE" w:rsidRPr="00554D11">
        <w:t xml:space="preserve">and do not appear inconsistent with any Commission directives or findings in other orders.  </w:t>
      </w:r>
      <w:r w:rsidR="0062625A" w:rsidRPr="00554D11">
        <w:t>Moreover, as we explained above</w:t>
      </w:r>
      <w:r w:rsidR="00B727EC" w:rsidRPr="00554D11">
        <w:t>,</w:t>
      </w:r>
      <w:r w:rsidR="0062625A" w:rsidRPr="00554D11">
        <w:rPr>
          <w:rStyle w:val="FootnoteReference"/>
        </w:rPr>
        <w:footnoteReference w:id="29"/>
      </w:r>
      <w:r w:rsidR="0062625A" w:rsidRPr="00554D11">
        <w:t xml:space="preserve"> </w:t>
      </w:r>
      <w:r w:rsidR="00B727EC" w:rsidRPr="00554D11">
        <w:t>below,</w:t>
      </w:r>
      <w:r w:rsidR="00B727EC" w:rsidRPr="00554D11">
        <w:rPr>
          <w:rStyle w:val="FootnoteReference"/>
        </w:rPr>
        <w:footnoteReference w:id="30"/>
      </w:r>
      <w:r w:rsidR="00B727EC" w:rsidRPr="00554D11">
        <w:t xml:space="preserve"> </w:t>
      </w:r>
      <w:r w:rsidR="0062625A" w:rsidRPr="00554D11">
        <w:t xml:space="preserve">and in previous orders, the NAESB </w:t>
      </w:r>
      <w:r w:rsidR="0062625A" w:rsidRPr="00554D11">
        <w:lastRenderedPageBreak/>
        <w:t xml:space="preserve">standards are developed in an open consensus process that assures that the standards draw support from a wide range of industry members before being developed and adopted.  </w:t>
      </w:r>
      <w:r w:rsidR="009F5DEE" w:rsidRPr="00554D11">
        <w:t>A</w:t>
      </w:r>
      <w:r w:rsidR="00B55003" w:rsidRPr="00554D11">
        <w:t xml:space="preserve">ccordingly, we </w:t>
      </w:r>
      <w:r w:rsidR="006F2DC1" w:rsidRPr="00554D11">
        <w:t>propose to incorporate by reference, into the Commission’s regulations at 18 CFR 38.</w:t>
      </w:r>
      <w:r w:rsidR="00BB7506">
        <w:t>1</w:t>
      </w:r>
      <w:r w:rsidR="006F2DC1" w:rsidRPr="00554D11">
        <w:t xml:space="preserve">, NAESB’s revised standards on the timing of the required posting of ATC narratives, as set forth in </w:t>
      </w:r>
      <w:r w:rsidR="00B55003" w:rsidRPr="00554D11">
        <w:t>NAESB’s</w:t>
      </w:r>
      <w:r w:rsidR="006F2DC1" w:rsidRPr="00554D11">
        <w:t xml:space="preserve"> </w:t>
      </w:r>
      <w:r w:rsidR="00CF237D" w:rsidRPr="00554D11">
        <w:t>WEQ Version 003.1</w:t>
      </w:r>
      <w:r w:rsidR="00B55003" w:rsidRPr="00554D11">
        <w:t xml:space="preserve"> </w:t>
      </w:r>
      <w:r w:rsidR="006F2DC1" w:rsidRPr="00554D11">
        <w:t>Business Practice Standards.</w:t>
      </w:r>
    </w:p>
    <w:p w14:paraId="4C61EAD9" w14:textId="71D3E2C5" w:rsidR="00A123E5" w:rsidRPr="00554D11" w:rsidRDefault="0090470D" w:rsidP="00E405D4">
      <w:pPr>
        <w:pStyle w:val="Heading3"/>
        <w:ind w:left="0" w:firstLine="1440"/>
      </w:pPr>
      <w:bookmarkStart w:id="13" w:name="_Toc441070568"/>
      <w:r w:rsidRPr="00554D11">
        <w:rPr>
          <w:u w:val="none"/>
        </w:rPr>
        <w:t>4.</w:t>
      </w:r>
      <w:r w:rsidRPr="00554D11">
        <w:rPr>
          <w:u w:val="none"/>
        </w:rPr>
        <w:tab/>
      </w:r>
      <w:r w:rsidR="00845469" w:rsidRPr="00554D11">
        <w:t>SAMTS Point-to-</w:t>
      </w:r>
      <w:r w:rsidR="00F90126" w:rsidRPr="00554D11">
        <w:t>P</w:t>
      </w:r>
      <w:r w:rsidR="00845469" w:rsidRPr="00554D11">
        <w:t>oint Treatment</w:t>
      </w:r>
      <w:bookmarkStart w:id="14" w:name="_bmk7"/>
      <w:bookmarkEnd w:id="13"/>
    </w:p>
    <w:bookmarkEnd w:id="14"/>
    <w:p w14:paraId="637B67CA" w14:textId="781CD464" w:rsidR="006F2DC1" w:rsidRPr="00554D11" w:rsidRDefault="00B23928" w:rsidP="00554D11">
      <w:pPr>
        <w:pStyle w:val="FERCparanumber"/>
      </w:pPr>
      <w:r w:rsidRPr="00554D11">
        <w:t xml:space="preserve">The </w:t>
      </w:r>
      <w:r w:rsidR="00B55003" w:rsidRPr="00554D11">
        <w:t xml:space="preserve">NAESB </w:t>
      </w:r>
      <w:r w:rsidRPr="00554D11">
        <w:t xml:space="preserve">SAMTS business practice standards </w:t>
      </w:r>
      <w:r w:rsidR="00B55003" w:rsidRPr="00554D11">
        <w:t xml:space="preserve">that the Commission incorporated by reference in Order No. 676-H </w:t>
      </w:r>
      <w:r w:rsidRPr="00554D11">
        <w:t xml:space="preserve">were developed </w:t>
      </w:r>
      <w:r w:rsidR="00B55003" w:rsidRPr="00554D11">
        <w:t xml:space="preserve">in response to a Commission finding </w:t>
      </w:r>
      <w:r w:rsidR="00966F75" w:rsidRPr="00554D11">
        <w:t xml:space="preserve">in </w:t>
      </w:r>
      <w:r w:rsidR="002A1421" w:rsidRPr="00554D11">
        <w:t>O</w:t>
      </w:r>
      <w:r w:rsidR="00966F75" w:rsidRPr="00554D11">
        <w:t xml:space="preserve">rder No. 890 requesting that </w:t>
      </w:r>
      <w:r w:rsidR="00B55003" w:rsidRPr="00554D11">
        <w:t xml:space="preserve">NAESB </w:t>
      </w:r>
      <w:r w:rsidRPr="00554D11">
        <w:t>develop business practice standards in this area.</w:t>
      </w:r>
      <w:r w:rsidRPr="00554D11">
        <w:rPr>
          <w:rStyle w:val="FootnoteReference"/>
        </w:rPr>
        <w:footnoteReference w:id="31"/>
      </w:r>
      <w:r w:rsidR="00C31433" w:rsidRPr="00554D11">
        <w:t xml:space="preserve">  </w:t>
      </w:r>
      <w:r w:rsidR="00B61431" w:rsidRPr="00554D11">
        <w:t xml:space="preserve">In Order </w:t>
      </w:r>
      <w:r w:rsidR="003F60B5">
        <w:t xml:space="preserve">No. </w:t>
      </w:r>
      <w:r w:rsidR="00B61431" w:rsidRPr="00554D11">
        <w:t xml:space="preserve">676-H, the Commission found reasonable a </w:t>
      </w:r>
      <w:r w:rsidR="00B55003" w:rsidRPr="00554D11">
        <w:t xml:space="preserve">NAESB </w:t>
      </w:r>
      <w:r w:rsidR="00B61431" w:rsidRPr="00554D11">
        <w:t xml:space="preserve">request to treat a conditional point-to-point reservation included in a coordinated group displaced through preemption </w:t>
      </w:r>
      <w:r w:rsidR="00B55003" w:rsidRPr="00554D11">
        <w:t xml:space="preserve">as </w:t>
      </w:r>
      <w:r w:rsidR="00B61431" w:rsidRPr="00554D11">
        <w:t>comparabl</w:t>
      </w:r>
      <w:r w:rsidR="003D53A1" w:rsidRPr="00554D11">
        <w:t>e</w:t>
      </w:r>
      <w:r w:rsidR="00B61431" w:rsidRPr="00554D11">
        <w:t xml:space="preserve"> to a reservation </w:t>
      </w:r>
      <w:r w:rsidR="003D53A1" w:rsidRPr="00554D11">
        <w:t>being</w:t>
      </w:r>
      <w:r w:rsidR="00B61431" w:rsidRPr="00554D11">
        <w:t xml:space="preserve"> superseded as a result of preemption.</w:t>
      </w:r>
      <w:r w:rsidR="00B61431" w:rsidRPr="00554D11">
        <w:rPr>
          <w:rStyle w:val="FootnoteReference"/>
        </w:rPr>
        <w:footnoteReference w:id="32"/>
      </w:r>
      <w:r w:rsidR="009141C2" w:rsidRPr="00554D11">
        <w:t xml:space="preserve">  </w:t>
      </w:r>
      <w:r w:rsidR="00C31433" w:rsidRPr="00554D11">
        <w:t>NAESB</w:t>
      </w:r>
      <w:r w:rsidR="009141C2" w:rsidRPr="00554D11">
        <w:t xml:space="preserve"> therefore includes in </w:t>
      </w:r>
      <w:r w:rsidR="000E099E" w:rsidRPr="00554D11">
        <w:t xml:space="preserve">the </w:t>
      </w:r>
      <w:r w:rsidR="009141C2" w:rsidRPr="00554D11">
        <w:t xml:space="preserve">Version 003.1 </w:t>
      </w:r>
      <w:r w:rsidR="000E099E" w:rsidRPr="00554D11">
        <w:t xml:space="preserve">standards </w:t>
      </w:r>
      <w:r w:rsidR="00C31433" w:rsidRPr="00554D11">
        <w:t>modifi</w:t>
      </w:r>
      <w:r w:rsidR="009141C2" w:rsidRPr="00554D11">
        <w:t>cations to</w:t>
      </w:r>
      <w:r w:rsidR="00C31433" w:rsidRPr="00554D11">
        <w:t xml:space="preserve"> the SAMTS</w:t>
      </w:r>
      <w:r w:rsidR="009141C2" w:rsidRPr="00554D11">
        <w:t>-</w:t>
      </w:r>
      <w:r w:rsidR="00C31433" w:rsidRPr="00554D11">
        <w:t>related standards to permit a customer with preempted transmission capacity from a reservation associated with a coordinated group to alter (reduce or terminate) the capacity of coordinate requests in the coordinated group.</w:t>
      </w:r>
    </w:p>
    <w:p w14:paraId="10498BE0" w14:textId="230BEDFC" w:rsidR="001A1CFC" w:rsidRPr="00554D11" w:rsidRDefault="00B55003" w:rsidP="00554D11">
      <w:pPr>
        <w:pStyle w:val="FERCparanumber"/>
      </w:pPr>
      <w:r w:rsidRPr="00554D11">
        <w:t xml:space="preserve">The Commission finds that NAESB’s revised standards are consistent with our findings in Order No. 676-H </w:t>
      </w:r>
      <w:r w:rsidR="009F5DEE" w:rsidRPr="00554D11">
        <w:t xml:space="preserve">and do not appear inconsistent with any Commission </w:t>
      </w:r>
      <w:r w:rsidR="009F5DEE" w:rsidRPr="00554D11">
        <w:lastRenderedPageBreak/>
        <w:t>directives or findings in other orders.  A</w:t>
      </w:r>
      <w:r w:rsidRPr="00554D11">
        <w:t>ccordingly, we propose to incorporate by reference, into the Commission’s regulations at 18 CFR 38.</w:t>
      </w:r>
      <w:r w:rsidR="00BB7506">
        <w:t>1</w:t>
      </w:r>
      <w:r w:rsidRPr="00554D11">
        <w:t xml:space="preserve">, NAESB’s revised standards on </w:t>
      </w:r>
      <w:r w:rsidR="006F2DC1" w:rsidRPr="00554D11">
        <w:t xml:space="preserve">SAMTS-Related standards as set forth in the </w:t>
      </w:r>
      <w:r w:rsidR="00CF237D" w:rsidRPr="00554D11">
        <w:t>WEQ Version 003.1</w:t>
      </w:r>
      <w:r w:rsidRPr="00554D11">
        <w:t xml:space="preserve"> </w:t>
      </w:r>
      <w:r w:rsidR="006F2DC1" w:rsidRPr="00554D11">
        <w:t>Business Practice Standards.</w:t>
      </w:r>
      <w:bookmarkStart w:id="15" w:name="_Toc441070569"/>
    </w:p>
    <w:p w14:paraId="7087BB88" w14:textId="3571503A" w:rsidR="00467F01" w:rsidRPr="00554D11" w:rsidRDefault="0090470D" w:rsidP="00E405D4">
      <w:pPr>
        <w:pStyle w:val="Heading3"/>
        <w:ind w:left="2160" w:hanging="720"/>
      </w:pPr>
      <w:r w:rsidRPr="00554D11">
        <w:rPr>
          <w:u w:val="none"/>
        </w:rPr>
        <w:t>5.</w:t>
      </w:r>
      <w:r w:rsidRPr="00554D11">
        <w:rPr>
          <w:u w:val="none"/>
        </w:rPr>
        <w:tab/>
      </w:r>
      <w:r w:rsidR="006F2DC1" w:rsidRPr="00554D11">
        <w:t xml:space="preserve">Clarification of </w:t>
      </w:r>
      <w:r w:rsidR="00214EFF" w:rsidRPr="00554D11">
        <w:t xml:space="preserve">Discretion of Transmission Providers to Deny Service Requests under </w:t>
      </w:r>
      <w:r w:rsidR="006F2DC1" w:rsidRPr="00554D11">
        <w:t>Standard WEQ-001-106.2.5</w:t>
      </w:r>
      <w:bookmarkStart w:id="16" w:name="_bmk8"/>
      <w:bookmarkEnd w:id="15"/>
    </w:p>
    <w:bookmarkEnd w:id="16"/>
    <w:p w14:paraId="22324239" w14:textId="77777777" w:rsidR="006E7825" w:rsidRPr="00554D11" w:rsidRDefault="00C31433" w:rsidP="00554D11">
      <w:pPr>
        <w:pStyle w:val="FERCparanumber"/>
      </w:pPr>
      <w:r w:rsidRPr="00554D11">
        <w:t xml:space="preserve">In Order </w:t>
      </w:r>
      <w:r w:rsidR="003D53A1" w:rsidRPr="00554D11">
        <w:t xml:space="preserve">No. </w:t>
      </w:r>
      <w:r w:rsidRPr="00554D11">
        <w:t xml:space="preserve">676-H, the Commission declined to incorporate by reference </w:t>
      </w:r>
      <w:r w:rsidR="003D53A1" w:rsidRPr="00554D11">
        <w:t xml:space="preserve">Standard </w:t>
      </w:r>
      <w:r w:rsidRPr="00554D11">
        <w:t>WEQ-001-106.2.5</w:t>
      </w:r>
      <w:r w:rsidR="003D53A1" w:rsidRPr="00554D11">
        <w:t>,</w:t>
      </w:r>
      <w:r w:rsidRPr="00554D11">
        <w:t xml:space="preserve"> explaining </w:t>
      </w:r>
      <w:r w:rsidR="002508CA" w:rsidRPr="00554D11">
        <w:t xml:space="preserve">that </w:t>
      </w:r>
      <w:r w:rsidRPr="00554D11">
        <w:t>the standard was “unclear in its application and could be read to allow Transmission Providers discretion to deny requests to terminate service in situations where this might not be warranted.”</w:t>
      </w:r>
      <w:r w:rsidRPr="00554D11">
        <w:rPr>
          <w:rStyle w:val="FootnoteReference"/>
        </w:rPr>
        <w:t xml:space="preserve"> </w:t>
      </w:r>
      <w:r w:rsidRPr="00554D11">
        <w:rPr>
          <w:rStyle w:val="FootnoteReference"/>
        </w:rPr>
        <w:footnoteReference w:id="33"/>
      </w:r>
      <w:r w:rsidRPr="00554D11">
        <w:t xml:space="preserve">  In response, NAESB modified </w:t>
      </w:r>
      <w:r w:rsidR="00633BDB" w:rsidRPr="00554D11">
        <w:t xml:space="preserve">Standard </w:t>
      </w:r>
      <w:r w:rsidRPr="00554D11">
        <w:t xml:space="preserve">WEQ-001-106.2.1, added </w:t>
      </w:r>
      <w:r w:rsidR="00633BDB" w:rsidRPr="00554D11">
        <w:t xml:space="preserve">Standard </w:t>
      </w:r>
      <w:r w:rsidRPr="00554D11">
        <w:t>WEQ-001-106.2.1.1</w:t>
      </w:r>
      <w:r w:rsidR="002508CA" w:rsidRPr="00554D11">
        <w:t>,</w:t>
      </w:r>
      <w:r w:rsidRPr="00554D11">
        <w:t xml:space="preserve"> and deleted </w:t>
      </w:r>
      <w:r w:rsidR="00633BDB" w:rsidRPr="00554D11">
        <w:t xml:space="preserve">Standard </w:t>
      </w:r>
      <w:r w:rsidRPr="00554D11">
        <w:t>WEQ-001-106.2.5</w:t>
      </w:r>
      <w:r w:rsidR="00633BDB" w:rsidRPr="00554D11">
        <w:t>.  Together, these revised standards</w:t>
      </w:r>
      <w:r w:rsidRPr="00554D11">
        <w:t xml:space="preserve"> clarify that a transmission customer should submit an accurate termination request and, if the transmission customer fail</w:t>
      </w:r>
      <w:r w:rsidR="003D53A1" w:rsidRPr="00554D11">
        <w:t>s</w:t>
      </w:r>
      <w:r w:rsidRPr="00554D11">
        <w:t xml:space="preserve"> to do so, the transmission provider</w:t>
      </w:r>
      <w:r w:rsidR="00DA111C" w:rsidRPr="00554D11">
        <w:t xml:space="preserve"> may deny</w:t>
      </w:r>
      <w:r w:rsidRPr="00554D11">
        <w:t xml:space="preserve"> the request.</w:t>
      </w:r>
    </w:p>
    <w:p w14:paraId="7D235B3F" w14:textId="4B0D80BE" w:rsidR="001A1CFC" w:rsidRPr="00554D11" w:rsidRDefault="00272DF1" w:rsidP="00554D11">
      <w:pPr>
        <w:pStyle w:val="FERCparanumber"/>
      </w:pPr>
      <w:r w:rsidRPr="00554D11">
        <w:t>NAESB</w:t>
      </w:r>
      <w:r w:rsidR="00633BDB" w:rsidRPr="00554D11">
        <w:t>’s revised standards a</w:t>
      </w:r>
      <w:r w:rsidR="00591BFC" w:rsidRPr="00554D11">
        <w:t>ppear</w:t>
      </w:r>
      <w:r w:rsidR="00633BDB" w:rsidRPr="00554D11">
        <w:t xml:space="preserve"> consistent with our findings in Order </w:t>
      </w:r>
      <w:r w:rsidR="00E405D4">
        <w:t xml:space="preserve">          </w:t>
      </w:r>
      <w:r w:rsidR="00633BDB" w:rsidRPr="00554D11">
        <w:t xml:space="preserve">No. 676-H </w:t>
      </w:r>
      <w:r w:rsidR="009F5DEE" w:rsidRPr="00554D11">
        <w:t>and do not appear inconsistent with any Commission directives or findings in other orders.</w:t>
      </w:r>
      <w:r w:rsidR="00633BDB" w:rsidRPr="00554D11">
        <w:t xml:space="preserve"> </w:t>
      </w:r>
      <w:r w:rsidR="009F5DEE" w:rsidRPr="00554D11">
        <w:t xml:space="preserve"> A</w:t>
      </w:r>
      <w:r w:rsidR="00633BDB" w:rsidRPr="00554D11">
        <w:t>ccordingly, we propose to incorporate by reference, into the Commission’s regulations at 18 CFR 38.</w:t>
      </w:r>
      <w:r w:rsidR="00BB7506">
        <w:t>1</w:t>
      </w:r>
      <w:r w:rsidR="00633BDB" w:rsidRPr="00554D11">
        <w:t xml:space="preserve">, NAESB’s revised </w:t>
      </w:r>
      <w:r w:rsidR="006E7825" w:rsidRPr="00554D11">
        <w:t>Standard</w:t>
      </w:r>
      <w:r w:rsidR="00633BDB" w:rsidRPr="00554D11">
        <w:t>s</w:t>
      </w:r>
      <w:r w:rsidR="006E7825" w:rsidRPr="00554D11">
        <w:t xml:space="preserve"> WEQ-</w:t>
      </w:r>
      <w:r w:rsidR="00633BDB" w:rsidRPr="00554D11">
        <w:t>WEQ-001-106.2.21, WEQ-</w:t>
      </w:r>
      <w:r w:rsidR="006E7825" w:rsidRPr="00554D11">
        <w:t>001-106.2.</w:t>
      </w:r>
      <w:r w:rsidR="00633BDB" w:rsidRPr="00554D11">
        <w:t>1.1, and WEQ-001-106.2.</w:t>
      </w:r>
      <w:r w:rsidR="006E7825" w:rsidRPr="00554D11">
        <w:t xml:space="preserve">5, as set forth in the </w:t>
      </w:r>
      <w:r w:rsidR="00CF237D" w:rsidRPr="00554D11">
        <w:t>WEQ Version 003.1</w:t>
      </w:r>
      <w:r w:rsidR="00633BDB" w:rsidRPr="00554D11">
        <w:t xml:space="preserve"> </w:t>
      </w:r>
      <w:r w:rsidR="006E7825" w:rsidRPr="00554D11">
        <w:t>Business Practice Standards.</w:t>
      </w:r>
      <w:bookmarkStart w:id="17" w:name="_Toc441070570"/>
    </w:p>
    <w:p w14:paraId="50707839" w14:textId="71531C27" w:rsidR="004977B0" w:rsidRPr="00554D11" w:rsidRDefault="0090470D" w:rsidP="00E405D4">
      <w:pPr>
        <w:pStyle w:val="Heading3"/>
        <w:ind w:left="2160" w:hanging="720"/>
      </w:pPr>
      <w:r w:rsidRPr="00554D11">
        <w:rPr>
          <w:u w:val="none"/>
        </w:rPr>
        <w:lastRenderedPageBreak/>
        <w:t>6.</w:t>
      </w:r>
      <w:r w:rsidRPr="00554D11">
        <w:rPr>
          <w:u w:val="none"/>
        </w:rPr>
        <w:tab/>
      </w:r>
      <w:r w:rsidR="003D53A1" w:rsidRPr="00554D11">
        <w:t>Modifications to Allow</w:t>
      </w:r>
      <w:r w:rsidR="00763B15" w:rsidRPr="00554D11">
        <w:t xml:space="preserve"> a Transmission Provider to Extend the </w:t>
      </w:r>
      <w:r w:rsidR="003D53A1" w:rsidRPr="00554D11">
        <w:t xml:space="preserve">Time to </w:t>
      </w:r>
      <w:r w:rsidR="004977B0" w:rsidRPr="00554D11">
        <w:t>Perform</w:t>
      </w:r>
      <w:r w:rsidR="003D53A1" w:rsidRPr="00554D11">
        <w:t xml:space="preserve"> its</w:t>
      </w:r>
      <w:r w:rsidR="004977B0" w:rsidRPr="00554D11">
        <w:t xml:space="preserve"> Biennial Reassessment</w:t>
      </w:r>
      <w:bookmarkStart w:id="18" w:name="_bmk9"/>
      <w:bookmarkEnd w:id="17"/>
    </w:p>
    <w:bookmarkEnd w:id="18"/>
    <w:p w14:paraId="05C0F1C3" w14:textId="46821411" w:rsidR="006E7825" w:rsidRPr="00554D11" w:rsidRDefault="003A4AD3" w:rsidP="00554D11">
      <w:pPr>
        <w:pStyle w:val="FERCparanumber"/>
      </w:pPr>
      <w:r w:rsidRPr="00554D11">
        <w:t xml:space="preserve">In </w:t>
      </w:r>
      <w:r w:rsidR="00BF165B" w:rsidRPr="00554D11">
        <w:t>O</w:t>
      </w:r>
      <w:r w:rsidRPr="00554D11">
        <w:t>rder No. 676-E, the Commission stated “we reiterate here the Commission’s finding in Order No. 890 that a transmission provider is permitted to exten</w:t>
      </w:r>
      <w:r w:rsidR="003D53A1" w:rsidRPr="00554D11">
        <w:t>d</w:t>
      </w:r>
      <w:r w:rsidRPr="00554D11">
        <w:t xml:space="preserve"> </w:t>
      </w:r>
      <w:r w:rsidR="003D53A1" w:rsidRPr="00554D11">
        <w:t>the timeframe</w:t>
      </w:r>
      <w:r w:rsidRPr="00554D11">
        <w:t xml:space="preserve"> to reassess the availability of conditional firm service.  Since the Version</w:t>
      </w:r>
      <w:r w:rsidR="009B5392" w:rsidRPr="00554D11">
        <w:t> </w:t>
      </w:r>
      <w:r w:rsidRPr="00554D11">
        <w:t>002</w:t>
      </w:r>
      <w:r w:rsidR="009B5392" w:rsidRPr="00554D11">
        <w:t>.</w:t>
      </w:r>
      <w:r w:rsidRPr="00554D11">
        <w:t>1 Standards do not specifically address this issue, we would ask the industry, working through NAESB</w:t>
      </w:r>
      <w:r w:rsidR="00633BDB" w:rsidRPr="00554D11">
        <w:t xml:space="preserve">, to </w:t>
      </w:r>
      <w:r w:rsidRPr="00554D11">
        <w:t>continue to look at additional business practice standards facilitat</w:t>
      </w:r>
      <w:r w:rsidR="00633BDB" w:rsidRPr="00554D11">
        <w:t xml:space="preserve">ing </w:t>
      </w:r>
      <w:r w:rsidRPr="00554D11">
        <w:t>a transmission provider’s extension of its right to perform a reassessment.”</w:t>
      </w:r>
      <w:r w:rsidRPr="00554D11">
        <w:rPr>
          <w:rStyle w:val="FootnoteReference"/>
        </w:rPr>
        <w:footnoteReference w:id="34"/>
      </w:r>
      <w:r w:rsidRPr="00554D11">
        <w:t xml:space="preserve"> </w:t>
      </w:r>
      <w:r w:rsidR="000079F5" w:rsidRPr="00554D11">
        <w:t xml:space="preserve"> </w:t>
      </w:r>
      <w:r w:rsidR="00E40A4D" w:rsidRPr="00554D11">
        <w:t xml:space="preserve">In </w:t>
      </w:r>
      <w:r w:rsidR="003D53A1" w:rsidRPr="00554D11">
        <w:t xml:space="preserve">response to this request, </w:t>
      </w:r>
      <w:r w:rsidR="00E40A4D" w:rsidRPr="00554D11">
        <w:t>NAESB</w:t>
      </w:r>
      <w:r w:rsidR="003D53A1" w:rsidRPr="00554D11">
        <w:t xml:space="preserve">, in its </w:t>
      </w:r>
      <w:r w:rsidR="009A1917">
        <w:t>Version 003.1</w:t>
      </w:r>
      <w:r w:rsidR="003D53A1" w:rsidRPr="00554D11">
        <w:t xml:space="preserve"> Standards,</w:t>
      </w:r>
      <w:r w:rsidR="00BF165B" w:rsidRPr="00554D11">
        <w:t xml:space="preserve"> </w:t>
      </w:r>
      <w:r w:rsidR="003D53A1" w:rsidRPr="00554D11">
        <w:t xml:space="preserve">adopted </w:t>
      </w:r>
      <w:r w:rsidR="00BF165B" w:rsidRPr="00554D11">
        <w:t>modifications to</w:t>
      </w:r>
      <w:r w:rsidR="00CB369A" w:rsidRPr="00554D11">
        <w:t xml:space="preserve"> five standards in </w:t>
      </w:r>
      <w:r w:rsidR="003D53A1" w:rsidRPr="00554D11">
        <w:t xml:space="preserve">the </w:t>
      </w:r>
      <w:r w:rsidR="00CB369A" w:rsidRPr="00554D11">
        <w:t xml:space="preserve">WEQ-001 OASIS Business Practice Standards and one standard in </w:t>
      </w:r>
      <w:r w:rsidR="003D53A1" w:rsidRPr="00554D11">
        <w:t xml:space="preserve">the </w:t>
      </w:r>
      <w:r w:rsidR="00CB369A" w:rsidRPr="00554D11">
        <w:t xml:space="preserve">WEQ-013 OASIS Implementation Guide Business Practice Standards </w:t>
      </w:r>
      <w:r w:rsidR="006568AC">
        <w:t xml:space="preserve">that </w:t>
      </w:r>
      <w:r w:rsidR="00CB369A" w:rsidRPr="00554D11">
        <w:t xml:space="preserve">explicitly </w:t>
      </w:r>
      <w:r w:rsidR="003D53A1" w:rsidRPr="00554D11">
        <w:t xml:space="preserve">allow </w:t>
      </w:r>
      <w:r w:rsidR="00CB369A" w:rsidRPr="00554D11">
        <w:t>a transmission provider to exten</w:t>
      </w:r>
      <w:r w:rsidR="00F91EEB" w:rsidRPr="00554D11">
        <w:t>d</w:t>
      </w:r>
      <w:r w:rsidR="00CB369A" w:rsidRPr="00554D11">
        <w:t xml:space="preserve"> the </w:t>
      </w:r>
      <w:r w:rsidR="000079F5" w:rsidRPr="00554D11">
        <w:t xml:space="preserve">deadline by which it must </w:t>
      </w:r>
      <w:r w:rsidR="00CB369A" w:rsidRPr="00554D11">
        <w:t>perform</w:t>
      </w:r>
      <w:r w:rsidR="000079F5" w:rsidRPr="00554D11">
        <w:t xml:space="preserve"> its</w:t>
      </w:r>
      <w:r w:rsidR="00CB369A" w:rsidRPr="00554D11">
        <w:t xml:space="preserve"> biennial reassessment</w:t>
      </w:r>
      <w:r w:rsidR="000079F5" w:rsidRPr="00554D11">
        <w:t xml:space="preserve"> of the availability on its system of conditional firm service</w:t>
      </w:r>
      <w:r w:rsidR="00CB369A" w:rsidRPr="00554D11">
        <w:t>.</w:t>
      </w:r>
    </w:p>
    <w:p w14:paraId="56076B27" w14:textId="6010E391" w:rsidR="001A1CFC" w:rsidRPr="00554D11" w:rsidRDefault="00272DF1" w:rsidP="00554D11">
      <w:pPr>
        <w:pStyle w:val="FERCparanumber"/>
      </w:pPr>
      <w:r w:rsidRPr="00554D11">
        <w:t>NAESB</w:t>
      </w:r>
      <w:r w:rsidR="00633BDB" w:rsidRPr="00554D11">
        <w:t>’s revised standards a</w:t>
      </w:r>
      <w:r w:rsidR="00B214B3" w:rsidRPr="00554D11">
        <w:t>ppear</w:t>
      </w:r>
      <w:r w:rsidR="00633BDB" w:rsidRPr="00554D11">
        <w:t xml:space="preserve"> consistent with our findings in Order </w:t>
      </w:r>
      <w:r w:rsidR="00E405D4">
        <w:t xml:space="preserve">          </w:t>
      </w:r>
      <w:r w:rsidR="00633BDB" w:rsidRPr="00554D11">
        <w:t>No. 676-</w:t>
      </w:r>
      <w:r w:rsidR="00CF237D" w:rsidRPr="00554D11">
        <w:t>E</w:t>
      </w:r>
      <w:r w:rsidR="00633BDB" w:rsidRPr="00554D11">
        <w:t xml:space="preserve"> and</w:t>
      </w:r>
      <w:r w:rsidR="009F5DEE" w:rsidRPr="00554D11">
        <w:t xml:space="preserve"> do not appear inconsistent with any Commission directives or findings in other orders.</w:t>
      </w:r>
      <w:r w:rsidR="00877450" w:rsidRPr="00554D11">
        <w:t xml:space="preserve">  </w:t>
      </w:r>
      <w:r w:rsidR="009F5DEE" w:rsidRPr="00554D11">
        <w:t>A</w:t>
      </w:r>
      <w:r w:rsidR="00633BDB" w:rsidRPr="00554D11">
        <w:t xml:space="preserve">ccordingly, we propose to incorporate by reference, into the Commission’s regulations at 18 CFR </w:t>
      </w:r>
      <w:r w:rsidR="00BB7506">
        <w:t>38.1</w:t>
      </w:r>
      <w:r w:rsidR="00633BDB" w:rsidRPr="00554D11">
        <w:t xml:space="preserve">, NAESB’s </w:t>
      </w:r>
      <w:r w:rsidR="006E7825" w:rsidRPr="00554D11">
        <w:t xml:space="preserve">revisions to five standards to extend the </w:t>
      </w:r>
      <w:r w:rsidR="00093A55" w:rsidRPr="00554D11">
        <w:t>deadline by which a transmission provider must perform its biennial reassessment of the availability on its system of conditional firm service</w:t>
      </w:r>
      <w:r w:rsidR="006E7825" w:rsidRPr="00554D11">
        <w:t xml:space="preserve">, as set forth in the WEQ </w:t>
      </w:r>
      <w:r w:rsidR="009A1917">
        <w:t>Version 003.1</w:t>
      </w:r>
      <w:r w:rsidR="006E7825" w:rsidRPr="00554D11">
        <w:t xml:space="preserve"> Business Practice Standards.</w:t>
      </w:r>
      <w:bookmarkStart w:id="19" w:name="_Toc441070571"/>
    </w:p>
    <w:p w14:paraId="75A6A28A" w14:textId="73F6C474" w:rsidR="00C56848" w:rsidRPr="00554D11" w:rsidRDefault="0090470D" w:rsidP="00E405D4">
      <w:pPr>
        <w:pStyle w:val="Heading3"/>
        <w:ind w:left="2160" w:hanging="720"/>
      </w:pPr>
      <w:r w:rsidRPr="00554D11">
        <w:rPr>
          <w:u w:val="none"/>
        </w:rPr>
        <w:lastRenderedPageBreak/>
        <w:t>7.</w:t>
      </w:r>
      <w:r w:rsidRPr="00554D11">
        <w:rPr>
          <w:u w:val="none"/>
        </w:rPr>
        <w:tab/>
      </w:r>
      <w:r w:rsidR="007113CC" w:rsidRPr="00554D11">
        <w:t>Industry-</w:t>
      </w:r>
      <w:r w:rsidR="009B5392" w:rsidRPr="00554D11">
        <w:t>W</w:t>
      </w:r>
      <w:r w:rsidR="007113CC" w:rsidRPr="00554D11">
        <w:t xml:space="preserve">ide Mechanism for </w:t>
      </w:r>
      <w:r w:rsidR="00467F01" w:rsidRPr="00554D11">
        <w:t>Consistent Post</w:t>
      </w:r>
      <w:r w:rsidR="007113CC" w:rsidRPr="00554D11">
        <w:t>ing of</w:t>
      </w:r>
      <w:r w:rsidR="00467F01" w:rsidRPr="00554D11">
        <w:t xml:space="preserve"> AFC-</w:t>
      </w:r>
      <w:r w:rsidR="009B5392" w:rsidRPr="00554D11">
        <w:t>R</w:t>
      </w:r>
      <w:r w:rsidR="00467F01" w:rsidRPr="00554D11">
        <w:t>elated Data</w:t>
      </w:r>
      <w:bookmarkStart w:id="20" w:name="_bmk10"/>
      <w:bookmarkEnd w:id="19"/>
    </w:p>
    <w:bookmarkEnd w:id="20"/>
    <w:p w14:paraId="14B66D24" w14:textId="77777777" w:rsidR="00093A55" w:rsidRPr="00554D11" w:rsidRDefault="00F91EEB" w:rsidP="00554D11">
      <w:pPr>
        <w:pStyle w:val="FERCparanumber"/>
      </w:pPr>
      <w:r w:rsidRPr="00554D11">
        <w:t xml:space="preserve">In </w:t>
      </w:r>
      <w:r w:rsidR="00C56848" w:rsidRPr="00554D11">
        <w:t xml:space="preserve">Order No. 890-A, the Commission explained </w:t>
      </w:r>
      <w:r w:rsidR="00CF237D" w:rsidRPr="00554D11">
        <w:t xml:space="preserve">that </w:t>
      </w:r>
      <w:r w:rsidR="00C56848" w:rsidRPr="00554D11">
        <w:t>“[t]o the extent MidAmerican or its customers find it beneficial also to post AFC, MidAmerican is free to post both ATC and AFC values.”</w:t>
      </w:r>
      <w:r w:rsidR="00C56848" w:rsidRPr="00554D11">
        <w:rPr>
          <w:rStyle w:val="FootnoteReference"/>
        </w:rPr>
        <w:footnoteReference w:id="35"/>
      </w:r>
      <w:r w:rsidR="00C56848" w:rsidRPr="00554D11">
        <w:t xml:space="preserve">  </w:t>
      </w:r>
      <w:r w:rsidR="009F76B8" w:rsidRPr="00554D11">
        <w:t>I</w:t>
      </w:r>
      <w:r w:rsidR="00C56848" w:rsidRPr="00554D11">
        <w:t xml:space="preserve">n the </w:t>
      </w:r>
      <w:r w:rsidR="00CF237D" w:rsidRPr="00554D11">
        <w:t>WEQ Version 003.1 Business Practice S</w:t>
      </w:r>
      <w:r w:rsidR="00C56848" w:rsidRPr="00554D11">
        <w:t>tandards, NAESB includes revisions to provide an industry-wide mechanism for posting of AFC-related data.  NAESB adds three new data elements to the list of valid data element values for SYSTEM_ATTRIBUTE and SYSTEM_ELEMENT_TYPE in WEQ-003 OASIS Data Dictionary and to the system data OASIS template in WEQ-013 OASIS Implementation Guide Business Practice Standards.</w:t>
      </w:r>
    </w:p>
    <w:p w14:paraId="3585ABDC" w14:textId="3DCB5172" w:rsidR="00775EF5" w:rsidRPr="00554D11" w:rsidRDefault="00CF237D" w:rsidP="00554D11">
      <w:pPr>
        <w:pStyle w:val="FERCparanumber"/>
      </w:pPr>
      <w:r w:rsidRPr="00554D11">
        <w:t xml:space="preserve">NAESB’s revised standards </w:t>
      </w:r>
      <w:r w:rsidR="00D1013A" w:rsidRPr="00554D11">
        <w:t>appear</w:t>
      </w:r>
      <w:r w:rsidRPr="00554D11">
        <w:t xml:space="preserve"> consistent with our findings in Order </w:t>
      </w:r>
      <w:r w:rsidR="005938D2">
        <w:t xml:space="preserve">          </w:t>
      </w:r>
      <w:r w:rsidRPr="00554D11">
        <w:t>No. 890-A and</w:t>
      </w:r>
      <w:r w:rsidR="009F5DEE" w:rsidRPr="00554D11">
        <w:t xml:space="preserve"> do not appear inconsistent with any Commission directives or findings in other orders.</w:t>
      </w:r>
      <w:r w:rsidR="00877450" w:rsidRPr="00554D11">
        <w:t xml:space="preserve">  </w:t>
      </w:r>
      <w:r w:rsidR="009F5DEE" w:rsidRPr="00554D11">
        <w:t>A</w:t>
      </w:r>
      <w:r w:rsidRPr="00554D11">
        <w:t xml:space="preserve">ccordingly, we propose </w:t>
      </w:r>
      <w:r w:rsidR="00093A55" w:rsidRPr="00554D11">
        <w:t xml:space="preserve">to incorporate by reference, into the Commission’s regulations at 18 CFR </w:t>
      </w:r>
      <w:r w:rsidR="00BB7506">
        <w:t>38.1</w:t>
      </w:r>
      <w:r w:rsidR="00093A55" w:rsidRPr="00554D11">
        <w:t>,</w:t>
      </w:r>
      <w:r w:rsidRPr="00554D11">
        <w:t xml:space="preserve"> NAESB’s </w:t>
      </w:r>
      <w:r w:rsidR="00093A55" w:rsidRPr="00554D11">
        <w:t xml:space="preserve">revisions to </w:t>
      </w:r>
      <w:r w:rsidRPr="00554D11">
        <w:t xml:space="preserve">the </w:t>
      </w:r>
      <w:r w:rsidR="00093A55" w:rsidRPr="00554D11">
        <w:t xml:space="preserve">data elements in the OASIS Data Dictionary and to the data OASIS Template in </w:t>
      </w:r>
      <w:r w:rsidRPr="00554D11">
        <w:t xml:space="preserve">Standard </w:t>
      </w:r>
      <w:r w:rsidR="00093A55" w:rsidRPr="00554D11">
        <w:t xml:space="preserve">WEQ-013 to provide an industry-wide mechanism for posting of AFC-related data, as set forth in the </w:t>
      </w:r>
      <w:r w:rsidRPr="00554D11">
        <w:t xml:space="preserve">WEQ Version 003.1 </w:t>
      </w:r>
      <w:r w:rsidR="00093A55" w:rsidRPr="00554D11">
        <w:t>Business Practice Standards.</w:t>
      </w:r>
    </w:p>
    <w:p w14:paraId="43603332" w14:textId="77777777" w:rsidR="00113507" w:rsidRDefault="00113507">
      <w:pPr>
        <w:widowControl/>
        <w:autoSpaceDE/>
        <w:autoSpaceDN/>
        <w:adjustRightInd/>
        <w:rPr>
          <w:b/>
          <w:bCs/>
          <w:kern w:val="32"/>
          <w:szCs w:val="26"/>
        </w:rPr>
      </w:pPr>
      <w:r>
        <w:br w:type="page"/>
      </w:r>
    </w:p>
    <w:p w14:paraId="641EF016" w14:textId="286B9C84" w:rsidR="00775EF5" w:rsidRPr="00412CFB" w:rsidRDefault="0090470D" w:rsidP="00E405D4">
      <w:pPr>
        <w:pStyle w:val="Heading3"/>
        <w:ind w:left="0" w:firstLine="1440"/>
      </w:pPr>
      <w:r w:rsidRPr="00412CFB">
        <w:rPr>
          <w:u w:val="none"/>
        </w:rPr>
        <w:lastRenderedPageBreak/>
        <w:t>8.</w:t>
      </w:r>
      <w:r w:rsidRPr="00412CFB">
        <w:rPr>
          <w:u w:val="none"/>
        </w:rPr>
        <w:tab/>
      </w:r>
      <w:r w:rsidR="00775EF5" w:rsidRPr="00554D11">
        <w:t>Use of DUNS Numbers</w:t>
      </w:r>
      <w:bookmarkStart w:id="21" w:name="_bmk11"/>
    </w:p>
    <w:bookmarkEnd w:id="21"/>
    <w:p w14:paraId="11ED5BAE" w14:textId="3746CC72" w:rsidR="00775EF5" w:rsidRPr="00554D11" w:rsidRDefault="00775EF5" w:rsidP="00554D11">
      <w:pPr>
        <w:pStyle w:val="FERCparanumber"/>
      </w:pPr>
      <w:r w:rsidRPr="00554D11">
        <w:t xml:space="preserve">In Order No. 768, the Commission </w:t>
      </w:r>
      <w:r w:rsidR="0032020F" w:rsidRPr="00554D11">
        <w:t>eliminated the</w:t>
      </w:r>
      <w:r w:rsidR="009B5392" w:rsidRPr="00554D11">
        <w:t xml:space="preserve"> requirement to use</w:t>
      </w:r>
      <w:r w:rsidR="0032020F" w:rsidRPr="00554D11">
        <w:t xml:space="preserve"> DUNS number</w:t>
      </w:r>
      <w:r w:rsidR="009B5392" w:rsidRPr="00554D11">
        <w:t>s</w:t>
      </w:r>
      <w:r w:rsidR="003F60B5">
        <w:rPr>
          <w:rStyle w:val="FootnoteReference"/>
        </w:rPr>
        <w:footnoteReference w:id="36"/>
      </w:r>
      <w:r w:rsidR="009B5392" w:rsidRPr="00554D11">
        <w:t xml:space="preserve"> in</w:t>
      </w:r>
      <w:r w:rsidR="0032020F" w:rsidRPr="00554D11">
        <w:t xml:space="preserve"> Electronic Quarterly Report filings and </w:t>
      </w:r>
      <w:r w:rsidRPr="00554D11">
        <w:t>stated that “DUNS numbers have proven to be imprecise identification systems, as entities may have multiple DUNS numbers, only one DUNS number, or no DUNS number at all.”</w:t>
      </w:r>
      <w:r w:rsidRPr="00554D11">
        <w:rPr>
          <w:rStyle w:val="FootnoteReference"/>
        </w:rPr>
        <w:footnoteReference w:id="37"/>
      </w:r>
      <w:r w:rsidRPr="00554D11">
        <w:t xml:space="preserve">  NAESB has adopted revisions to Standard WEQ-001-3.1 to eliminate the </w:t>
      </w:r>
      <w:r w:rsidR="009200C4" w:rsidRPr="00554D11">
        <w:t xml:space="preserve">use of </w:t>
      </w:r>
      <w:r w:rsidRPr="00554D11">
        <w:t xml:space="preserve">a DUNS number </w:t>
      </w:r>
      <w:r w:rsidR="009200C4" w:rsidRPr="00554D11">
        <w:t>to identify</w:t>
      </w:r>
      <w:r w:rsidRPr="00554D11">
        <w:t xml:space="preserve"> an organization </w:t>
      </w:r>
      <w:r w:rsidR="00F90126" w:rsidRPr="00554D11">
        <w:t>i</w:t>
      </w:r>
      <w:r w:rsidRPr="00554D11">
        <w:t xml:space="preserve">n OASIS </w:t>
      </w:r>
      <w:r w:rsidR="00F90126" w:rsidRPr="00554D11">
        <w:t>postings</w:t>
      </w:r>
      <w:r w:rsidRPr="00554D11">
        <w:t xml:space="preserve">.  For consistency, NAESB also adopted changes or modifications to the Standard WEQ-000 Abbreviations, Acronyms, and Definition of Terms Business Practice Standards, </w:t>
      </w:r>
      <w:r w:rsidR="00CD11EB">
        <w:t xml:space="preserve">WEQ-001 OASIS Business Practice Standards, </w:t>
      </w:r>
      <w:r w:rsidRPr="00554D11">
        <w:t>WEQ-003 OASIS Data Dictionary Business Practice Standards, and WEQ-013 OASIS Implementation Guide Business Practice Standards.</w:t>
      </w:r>
    </w:p>
    <w:p w14:paraId="59E2D3F6" w14:textId="7CC293CC" w:rsidR="00775EF5" w:rsidRPr="00554D11" w:rsidRDefault="00775EF5" w:rsidP="00554D11">
      <w:pPr>
        <w:pStyle w:val="FERCparanumber"/>
      </w:pPr>
      <w:r w:rsidRPr="00554D11">
        <w:t xml:space="preserve">NAESB’s revised standards appear consistent with the Commission’s findings in Order No. 768 and do not appear inconsistent with any Commission directives or findings in other orders.  Accordingly, we propose to incorporate by reference, into the Commission’s regulations at 18 CFR </w:t>
      </w:r>
      <w:r w:rsidR="00BB7506">
        <w:t>38.1</w:t>
      </w:r>
      <w:r w:rsidRPr="00554D11">
        <w:t>, NAESB’s revisions to Standard WEQ-002-4.3.6.2.</w:t>
      </w:r>
    </w:p>
    <w:p w14:paraId="6DEA7595" w14:textId="77777777" w:rsidR="001F6DB4" w:rsidRPr="00554D11" w:rsidRDefault="001F6DB4" w:rsidP="00E405D4">
      <w:pPr>
        <w:pStyle w:val="Heading2"/>
        <w:numPr>
          <w:ilvl w:val="1"/>
          <w:numId w:val="27"/>
        </w:numPr>
        <w:tabs>
          <w:tab w:val="clear" w:pos="1080"/>
          <w:tab w:val="num" w:pos="1440"/>
        </w:tabs>
        <w:ind w:left="1440" w:hanging="720"/>
      </w:pPr>
      <w:bookmarkStart w:id="22" w:name="_Toc441070573"/>
      <w:r w:rsidRPr="00554D11">
        <w:lastRenderedPageBreak/>
        <w:t>Revised and New Standards Designed to Complement NERC</w:t>
      </w:r>
      <w:r w:rsidR="00621A5F" w:rsidRPr="00554D11">
        <w:t xml:space="preserve"> Reliability Standards and Developments</w:t>
      </w:r>
      <w:bookmarkStart w:id="23" w:name="_bmk12"/>
    </w:p>
    <w:bookmarkEnd w:id="23"/>
    <w:p w14:paraId="56ADC093" w14:textId="77777777" w:rsidR="00775EF5" w:rsidRPr="00554D11" w:rsidRDefault="00775EF5" w:rsidP="006E234E">
      <w:pPr>
        <w:pStyle w:val="Heading3"/>
        <w:numPr>
          <w:ilvl w:val="2"/>
          <w:numId w:val="27"/>
        </w:numPr>
      </w:pPr>
      <w:r w:rsidRPr="00554D11">
        <w:t>NERC Compliance Registry</w:t>
      </w:r>
      <w:bookmarkStart w:id="24" w:name="_bmk13"/>
    </w:p>
    <w:bookmarkEnd w:id="24"/>
    <w:p w14:paraId="3C10F9A4" w14:textId="4FACE156" w:rsidR="00775EF5" w:rsidRPr="00554D11" w:rsidRDefault="00B94A1D" w:rsidP="00554D11">
      <w:pPr>
        <w:pStyle w:val="FERCparanumber"/>
      </w:pPr>
      <w:r>
        <w:t xml:space="preserve">The WEQ </w:t>
      </w:r>
      <w:r w:rsidR="00775EF5" w:rsidRPr="00554D11">
        <w:t xml:space="preserve">Version 003.1 </w:t>
      </w:r>
      <w:r>
        <w:t xml:space="preserve">standards </w:t>
      </w:r>
      <w:r w:rsidR="00775EF5" w:rsidRPr="00554D11">
        <w:t xml:space="preserve">include modifications to </w:t>
      </w:r>
      <w:r w:rsidR="00214EFF" w:rsidRPr="00554D11">
        <w:t xml:space="preserve">the </w:t>
      </w:r>
      <w:r w:rsidR="00775EF5" w:rsidRPr="00554D11">
        <w:t xml:space="preserve">WEQ-004 Coordinate Interchange Business Practice Standards to </w:t>
      </w:r>
      <w:r w:rsidR="00CA0992">
        <w:t xml:space="preserve">include in the </w:t>
      </w:r>
      <w:r w:rsidR="00B34F31">
        <w:t>EIR</w:t>
      </w:r>
      <w:r w:rsidR="00CA0992">
        <w:t xml:space="preserve"> items eliminated </w:t>
      </w:r>
      <w:r w:rsidR="00775EF5" w:rsidRPr="00554D11">
        <w:t>by NERC</w:t>
      </w:r>
      <w:r>
        <w:t>,</w:t>
      </w:r>
      <w:r w:rsidR="00775EF5" w:rsidRPr="00554D11">
        <w:t xml:space="preserve"> in Docket No. RR15-4-000,</w:t>
      </w:r>
      <w:r w:rsidR="0032020F" w:rsidRPr="00554D11">
        <w:t xml:space="preserve"> </w:t>
      </w:r>
      <w:r w:rsidR="00CA0992">
        <w:t>from the NERC Compliance Registry including</w:t>
      </w:r>
      <w:r w:rsidR="00775EF5" w:rsidRPr="00554D11">
        <w:t xml:space="preserve"> the elimination of the LSE, the Purchase Selling Entity, and the Interchange Authority roles.  </w:t>
      </w:r>
      <w:r>
        <w:t>This proposal was accepted by the Commission in orders issued o</w:t>
      </w:r>
      <w:r w:rsidR="00775EF5" w:rsidRPr="00554D11">
        <w:t>n March 19, 2015</w:t>
      </w:r>
      <w:r w:rsidR="00C63EAE" w:rsidRPr="00554D11">
        <w:rPr>
          <w:rStyle w:val="FootnoteReference"/>
        </w:rPr>
        <w:footnoteReference w:id="38"/>
      </w:r>
      <w:r>
        <w:t xml:space="preserve"> and on</w:t>
      </w:r>
      <w:r w:rsidR="00775EF5" w:rsidRPr="00554D11">
        <w:t xml:space="preserve"> </w:t>
      </w:r>
      <w:r w:rsidR="00775EF5" w:rsidRPr="00554D11">
        <w:rPr>
          <w:szCs w:val="26"/>
        </w:rPr>
        <w:t>October 15, 2015.</w:t>
      </w:r>
      <w:r w:rsidR="00775EF5" w:rsidRPr="00554D11">
        <w:rPr>
          <w:rStyle w:val="FootnoteReference"/>
        </w:rPr>
        <w:footnoteReference w:id="39"/>
      </w:r>
      <w:r w:rsidR="007A17A4" w:rsidRPr="00554D11">
        <w:rPr>
          <w:szCs w:val="26"/>
        </w:rPr>
        <w:t xml:space="preserve">  </w:t>
      </w:r>
      <w:r w:rsidR="000F0CCD">
        <w:rPr>
          <w:szCs w:val="26"/>
        </w:rPr>
        <w:t>Because the Commission has accepted the elimination of the LSE function from the NERC Compliance Registry,</w:t>
      </w:r>
      <w:r w:rsidR="00526792">
        <w:rPr>
          <w:szCs w:val="26"/>
        </w:rPr>
        <w:t xml:space="preserve"> </w:t>
      </w:r>
      <w:r w:rsidR="000F0CCD">
        <w:t>w</w:t>
      </w:r>
      <w:r w:rsidR="0032020F" w:rsidRPr="00554D11">
        <w:t>e</w:t>
      </w:r>
      <w:r>
        <w:t xml:space="preserve"> </w:t>
      </w:r>
      <w:r w:rsidR="0032020F" w:rsidRPr="00554D11">
        <w:t xml:space="preserve">propose to </w:t>
      </w:r>
      <w:r w:rsidR="00144BA8" w:rsidRPr="00554D11">
        <w:t xml:space="preserve">incorporate </w:t>
      </w:r>
      <w:r w:rsidR="000F0CCD">
        <w:t xml:space="preserve">by reference, into the Commission’s regulations at 18 CFR </w:t>
      </w:r>
      <w:r w:rsidR="00BB7506">
        <w:t>38.1</w:t>
      </w:r>
      <w:r w:rsidR="000F0CCD">
        <w:t xml:space="preserve">, </w:t>
      </w:r>
      <w:r w:rsidR="00144BA8" w:rsidRPr="00554D11">
        <w:t xml:space="preserve">the NAESB modifications </w:t>
      </w:r>
      <w:r>
        <w:t xml:space="preserve">of </w:t>
      </w:r>
      <w:r w:rsidR="00144BA8" w:rsidRPr="00554D11">
        <w:t>WEQ-004</w:t>
      </w:r>
      <w:r w:rsidR="000F0CCD" w:rsidRPr="000F0CCD">
        <w:t xml:space="preserve"> pertaining to Coordinate Interchange Business Practices</w:t>
      </w:r>
      <w:r w:rsidR="00A571F5" w:rsidRPr="00554D11">
        <w:t>.</w:t>
      </w:r>
    </w:p>
    <w:p w14:paraId="7245D9DF" w14:textId="77777777" w:rsidR="00775EF5" w:rsidRPr="00554D11" w:rsidRDefault="00775EF5" w:rsidP="006E234E">
      <w:pPr>
        <w:pStyle w:val="Heading3"/>
        <w:numPr>
          <w:ilvl w:val="2"/>
          <w:numId w:val="27"/>
        </w:numPr>
      </w:pPr>
      <w:bookmarkStart w:id="25" w:name="_Toc441070580"/>
      <w:r w:rsidRPr="00554D11">
        <w:t>Electric Industry Registry Standards</w:t>
      </w:r>
      <w:bookmarkStart w:id="26" w:name="_bmk14"/>
      <w:bookmarkEnd w:id="25"/>
    </w:p>
    <w:bookmarkEnd w:id="26"/>
    <w:p w14:paraId="7CC44348" w14:textId="02F70F1E" w:rsidR="00C65809" w:rsidRPr="00554D11" w:rsidRDefault="00775EF5" w:rsidP="00554D11">
      <w:pPr>
        <w:pStyle w:val="FERCparanumber"/>
      </w:pPr>
      <w:r w:rsidRPr="00554D11">
        <w:t xml:space="preserve">On November 13, 2012, the NAESB EIR replaced the NERC TSIN as the industry registry, a tool </w:t>
      </w:r>
      <w:r w:rsidR="0032020F" w:rsidRPr="00554D11">
        <w:t xml:space="preserve">previously used </w:t>
      </w:r>
      <w:r w:rsidRPr="00554D11">
        <w:t xml:space="preserve">by wholesale electric markets to </w:t>
      </w:r>
      <w:r w:rsidR="0032020F" w:rsidRPr="00554D11">
        <w:t>help them develop</w:t>
      </w:r>
      <w:r w:rsidRPr="00554D11">
        <w:t xml:space="preserve"> </w:t>
      </w:r>
      <w:r w:rsidR="00E405D4">
        <w:t xml:space="preserve">        </w:t>
      </w:r>
      <w:r w:rsidRPr="00554D11">
        <w:t>e-Tags for electronic scheduling.  Th</w:t>
      </w:r>
      <w:r w:rsidR="0032020F" w:rsidRPr="00554D11">
        <w:t>us, th</w:t>
      </w:r>
      <w:r w:rsidRPr="00554D11">
        <w:t xml:space="preserve">e NAESB EIR </w:t>
      </w:r>
      <w:r w:rsidR="0032020F" w:rsidRPr="00554D11">
        <w:t>is now the to</w:t>
      </w:r>
      <w:r w:rsidR="002A1421" w:rsidRPr="00554D11">
        <w:t>o</w:t>
      </w:r>
      <w:r w:rsidR="0032020F" w:rsidRPr="00554D11">
        <w:t xml:space="preserve">l the industry uses to </w:t>
      </w:r>
      <w:r w:rsidRPr="00554D11">
        <w:t xml:space="preserve">support OASIS </w:t>
      </w:r>
      <w:r w:rsidR="00B2721D" w:rsidRPr="00554D11">
        <w:t>users</w:t>
      </w:r>
      <w:r w:rsidR="0062625A" w:rsidRPr="00554D11">
        <w:t xml:space="preserve"> </w:t>
      </w:r>
      <w:r w:rsidRPr="00554D11">
        <w:t xml:space="preserve">in the electronic scheduling of transactions by acting as the central repository for information </w:t>
      </w:r>
      <w:r w:rsidR="0032020F" w:rsidRPr="00554D11">
        <w:t xml:space="preserve">used </w:t>
      </w:r>
      <w:r w:rsidRPr="00554D11">
        <w:t xml:space="preserve">by the wholesale electric industry in the creation of e-Tags.  The WEQ-004 Coordinate Interchange Business Practice Standards and e-Tag </w:t>
      </w:r>
      <w:r w:rsidRPr="00554D11">
        <w:lastRenderedPageBreak/>
        <w:t>Functional Specifications and Schema provide the commercial framework for e-Tagging.  The new WEQ-022 EIR Business Practice Standards establish business practices for the NAESB EIR and provide guidance for registry users.</w:t>
      </w:r>
    </w:p>
    <w:p w14:paraId="10562A5A" w14:textId="5B0B926A" w:rsidR="0092725C" w:rsidRPr="00554D11" w:rsidRDefault="0092725C" w:rsidP="00554D11">
      <w:pPr>
        <w:pStyle w:val="FERCparanumber"/>
      </w:pPr>
      <w:r w:rsidRPr="00554D11">
        <w:t>NAESB’s revised Standard WEQ-004 appears reasonable and does not appear inconsistent with any Commission directives or findings in other orders.</w:t>
      </w:r>
      <w:r w:rsidR="00877450" w:rsidRPr="00554D11">
        <w:t xml:space="preserve">  </w:t>
      </w:r>
      <w:r w:rsidRPr="00554D11">
        <w:t xml:space="preserve">Accordingly, we propose to incorporate by reference, into the Commission’s regulations at </w:t>
      </w:r>
      <w:r w:rsidR="00E405D4">
        <w:t xml:space="preserve">                </w:t>
      </w:r>
      <w:r w:rsidRPr="00554D11">
        <w:t xml:space="preserve">18 CFR </w:t>
      </w:r>
      <w:r w:rsidR="00BB7506">
        <w:t>38.1</w:t>
      </w:r>
      <w:r w:rsidRPr="00554D11">
        <w:t>, NAESB’s revised Standard WEQ-004 as set forth in the WEQ Version 003.1 Business Practice Standards.</w:t>
      </w:r>
    </w:p>
    <w:p w14:paraId="54A388A6" w14:textId="592A26B7" w:rsidR="00C65809" w:rsidRPr="00554D11" w:rsidRDefault="00C65809" w:rsidP="008F052F">
      <w:pPr>
        <w:pStyle w:val="Heading3"/>
        <w:numPr>
          <w:ilvl w:val="2"/>
          <w:numId w:val="27"/>
        </w:numPr>
      </w:pPr>
      <w:r w:rsidRPr="00554D11">
        <w:t>WEQ-023 Modeling Business Practice</w:t>
      </w:r>
      <w:r w:rsidR="00D321E5">
        <w:t xml:space="preserve"> Standards</w:t>
      </w:r>
      <w:bookmarkStart w:id="27" w:name="_bmk15"/>
    </w:p>
    <w:bookmarkEnd w:id="27"/>
    <w:p w14:paraId="20BE2CDC" w14:textId="0D1C28A6" w:rsidR="00C65809" w:rsidRPr="00554D11" w:rsidRDefault="0092725C" w:rsidP="00554D11">
      <w:pPr>
        <w:pStyle w:val="FERCparanumber"/>
      </w:pPr>
      <w:r w:rsidRPr="00554D11">
        <w:t xml:space="preserve">WEQ’s </w:t>
      </w:r>
      <w:r w:rsidR="00C65809" w:rsidRPr="00554D11">
        <w:t xml:space="preserve">Version 003.1 </w:t>
      </w:r>
      <w:r w:rsidRPr="00554D11">
        <w:t xml:space="preserve">Business Practice Standards </w:t>
      </w:r>
      <w:r w:rsidR="00C65809" w:rsidRPr="00554D11">
        <w:t>includes a new suite of standards, the WEQ-023 Modeling Business Practice</w:t>
      </w:r>
      <w:r w:rsidR="00D321E5">
        <w:t xml:space="preserve"> Standards</w:t>
      </w:r>
      <w:r w:rsidR="00C65809" w:rsidRPr="00554D11">
        <w:t xml:space="preserve">, which </w:t>
      </w:r>
      <w:r w:rsidR="00EF79C1" w:rsidRPr="00EF79C1">
        <w:t xml:space="preserve">address technical issues affecting the calculation of ATC for wholesale electric transmission services. </w:t>
      </w:r>
      <w:r w:rsidR="00C65809" w:rsidRPr="00554D11">
        <w:t xml:space="preserve">NAESB developed </w:t>
      </w:r>
      <w:r w:rsidR="00EF79C1" w:rsidRPr="00EF79C1">
        <w:t xml:space="preserve">these Modeling standards after NERC proposed to retire the bulk of its MOD A Reliability Standards, which address ATC calculation, and </w:t>
      </w:r>
      <w:r w:rsidR="003F60B5">
        <w:t xml:space="preserve">NERC </w:t>
      </w:r>
      <w:r w:rsidR="00EF79C1" w:rsidRPr="00EF79C1">
        <w:t xml:space="preserve">requested </w:t>
      </w:r>
      <w:r w:rsidR="00EF79C1">
        <w:t xml:space="preserve">that </w:t>
      </w:r>
      <w:r w:rsidR="00EF79C1" w:rsidRPr="00EF79C1">
        <w:t>NAE</w:t>
      </w:r>
      <w:r w:rsidR="00EF79C1">
        <w:t>S</w:t>
      </w:r>
      <w:r w:rsidR="00EF79C1" w:rsidRPr="00EF79C1">
        <w:t>B consider developing replacement Business Practice Standards for requirements that NERC</w:t>
      </w:r>
      <w:r w:rsidR="00C65809" w:rsidRPr="00554D11">
        <w:t xml:space="preserve"> identified as being potentially relevant for commercial purposes.</w:t>
      </w:r>
      <w:r w:rsidR="00EF79C1">
        <w:rPr>
          <w:rStyle w:val="FootnoteReference"/>
        </w:rPr>
        <w:footnoteReference w:id="40"/>
      </w:r>
      <w:r w:rsidR="00C65809" w:rsidRPr="00554D11">
        <w:t xml:space="preserve">  WEQ-023 includes two new requirements not previously </w:t>
      </w:r>
      <w:r w:rsidR="000F0CCD">
        <w:t>included</w:t>
      </w:r>
      <w:r w:rsidR="00C65809" w:rsidRPr="00554D11">
        <w:t xml:space="preserve"> in the NERC Reliability Standards related to contract path management.  These two standards, WEQ-023-1.4 and WEQ-023-1.4.1, limit the amount of firm transmission service across a path between balancing authorities to the contract path limit for that given path.</w:t>
      </w:r>
    </w:p>
    <w:p w14:paraId="3ACBC49F" w14:textId="6AF5BA90" w:rsidR="00775EF5" w:rsidRPr="00554D11" w:rsidRDefault="008F74CD" w:rsidP="008F74CD">
      <w:pPr>
        <w:pStyle w:val="FERCparanumber"/>
      </w:pPr>
      <w:r w:rsidRPr="008F74CD">
        <w:lastRenderedPageBreak/>
        <w:t xml:space="preserve">The Commission </w:t>
      </w:r>
      <w:r w:rsidR="00EF79C1" w:rsidRPr="00EF79C1">
        <w:t xml:space="preserve">is considering NERC’s proposed </w:t>
      </w:r>
      <w:r w:rsidR="00715A8C">
        <w:t xml:space="preserve">retirement of </w:t>
      </w:r>
      <w:r w:rsidR="00EF79C1" w:rsidRPr="00EF79C1">
        <w:t>its ATC-related Reliability Standards in Docket No. RM14-7-000.  In addition, the Commission has established a proceeding in Docket No. AD15-5-000 to consider proposed changes to the calculation of ATC, and has conducted a technical conference and received comments regarding such changes.</w:t>
      </w:r>
      <w:r w:rsidR="00EF79C1" w:rsidRPr="00EF79C1">
        <w:rPr>
          <w:b/>
          <w:vertAlign w:val="superscript"/>
        </w:rPr>
        <w:footnoteReference w:id="41"/>
      </w:r>
      <w:r w:rsidR="00EF79C1" w:rsidRPr="00EF79C1">
        <w:t xml:space="preserve">  As a result, we are not proposing to incorporate by reference the WEQ-023 Modeling Business Practice Standards</w:t>
      </w:r>
      <w:r w:rsidR="00EF79C1">
        <w:t xml:space="preserve"> in this NOPR</w:t>
      </w:r>
      <w:r w:rsidR="00EF79C1" w:rsidRPr="00EF79C1">
        <w:t>, but will consider these standards as part of the overall inquiry into ATC calculation.</w:t>
      </w:r>
    </w:p>
    <w:p w14:paraId="3642D34A" w14:textId="77777777" w:rsidR="00A123E5" w:rsidRPr="00554D11" w:rsidRDefault="001F6DB4" w:rsidP="00A27786">
      <w:pPr>
        <w:pStyle w:val="Heading2"/>
        <w:ind w:left="1440" w:hanging="720"/>
      </w:pPr>
      <w:r w:rsidRPr="00554D11">
        <w:rPr>
          <w:u w:val="none"/>
        </w:rPr>
        <w:t>C.</w:t>
      </w:r>
      <w:r w:rsidRPr="00554D11">
        <w:rPr>
          <w:u w:val="none"/>
        </w:rPr>
        <w:tab/>
      </w:r>
      <w:r w:rsidR="00A123E5" w:rsidRPr="00554D11">
        <w:t xml:space="preserve">Revisions to </w:t>
      </w:r>
      <w:r w:rsidR="007F5C2D" w:rsidRPr="00554D11">
        <w:t xml:space="preserve">WEQ </w:t>
      </w:r>
      <w:r w:rsidRPr="00554D11">
        <w:t xml:space="preserve">Business Practice </w:t>
      </w:r>
      <w:r w:rsidR="00A123E5" w:rsidRPr="00554D11">
        <w:t xml:space="preserve">Standards Not </w:t>
      </w:r>
      <w:r w:rsidR="00397B29" w:rsidRPr="00554D11">
        <w:t>Requested by</w:t>
      </w:r>
      <w:r w:rsidR="00A123E5" w:rsidRPr="00554D11">
        <w:t xml:space="preserve"> </w:t>
      </w:r>
      <w:r w:rsidR="003A50F6" w:rsidRPr="00554D11">
        <w:t>Commission</w:t>
      </w:r>
      <w:bookmarkEnd w:id="22"/>
      <w:r w:rsidR="0062625A" w:rsidRPr="00554D11">
        <w:t xml:space="preserve"> or Developed to Comply with a Commission Directive</w:t>
      </w:r>
      <w:bookmarkStart w:id="28" w:name="_bmk16"/>
    </w:p>
    <w:bookmarkEnd w:id="28"/>
    <w:p w14:paraId="3CB09B52" w14:textId="708142F3" w:rsidR="00EA59DA" w:rsidRPr="00554D11" w:rsidRDefault="00EA59DA" w:rsidP="00554D11">
      <w:pPr>
        <w:pStyle w:val="FERCparanumber"/>
      </w:pPr>
      <w:r w:rsidRPr="00554D11">
        <w:t xml:space="preserve">In </w:t>
      </w:r>
      <w:r w:rsidR="00CF237D" w:rsidRPr="00554D11">
        <w:t xml:space="preserve">addition to the standards revisions that NAESB made to comply with various </w:t>
      </w:r>
      <w:r w:rsidR="00DD5B77" w:rsidRPr="00554D11">
        <w:t xml:space="preserve">Commission </w:t>
      </w:r>
      <w:r w:rsidR="00CF237D" w:rsidRPr="00554D11">
        <w:t xml:space="preserve">directives and requests, NAESB </w:t>
      </w:r>
      <w:r w:rsidR="003F60B5">
        <w:t xml:space="preserve">also </w:t>
      </w:r>
      <w:r w:rsidR="00CF237D" w:rsidRPr="00554D11">
        <w:t xml:space="preserve">developed and adopted </w:t>
      </w:r>
      <w:r w:rsidR="003F60B5">
        <w:t>five</w:t>
      </w:r>
      <w:r w:rsidR="00A17740">
        <w:t xml:space="preserve"> revisions </w:t>
      </w:r>
      <w:r w:rsidRPr="00554D11">
        <w:t xml:space="preserve">to the </w:t>
      </w:r>
      <w:r w:rsidR="00446712" w:rsidRPr="00554D11">
        <w:t>Business Practice S</w:t>
      </w:r>
      <w:r w:rsidRPr="00554D11">
        <w:t>tandards</w:t>
      </w:r>
      <w:r w:rsidR="0092725C" w:rsidRPr="00554D11">
        <w:t xml:space="preserve"> at its own initiative</w:t>
      </w:r>
      <w:r w:rsidR="00C4182A" w:rsidRPr="00554D11">
        <w:t>.  These revisions</w:t>
      </w:r>
      <w:r w:rsidR="0076215F">
        <w:t xml:space="preserve">: </w:t>
      </w:r>
      <w:r w:rsidRPr="00554D11">
        <w:t xml:space="preserve"> (1)</w:t>
      </w:r>
      <w:r w:rsidR="006835E1" w:rsidRPr="00554D11">
        <w:t> </w:t>
      </w:r>
      <w:r w:rsidR="00C4182A" w:rsidRPr="00554D11">
        <w:t>introduce a</w:t>
      </w:r>
      <w:r w:rsidRPr="00554D11">
        <w:t xml:space="preserve"> require</w:t>
      </w:r>
      <w:r w:rsidR="00C4182A" w:rsidRPr="00554D11">
        <w:t>ment for</w:t>
      </w:r>
      <w:r w:rsidRPr="00554D11">
        <w:t xml:space="preserve"> resellers to </w:t>
      </w:r>
      <w:r w:rsidR="00C4182A" w:rsidRPr="00554D11">
        <w:t>post</w:t>
      </w:r>
      <w:r w:rsidRPr="00554D11">
        <w:t xml:space="preserve"> off-OASIS resale transactions </w:t>
      </w:r>
      <w:r w:rsidR="0062625A" w:rsidRPr="00554D11">
        <w:t xml:space="preserve">on the </w:t>
      </w:r>
      <w:r w:rsidRPr="00554D11">
        <w:t>OASIS in the “accepted” status to provide the assignee of the resale the opportunity to confirm the transaction on the OASIS</w:t>
      </w:r>
      <w:r w:rsidR="0076215F">
        <w:t>;</w:t>
      </w:r>
      <w:r w:rsidRPr="00554D11">
        <w:t xml:space="preserve"> (2)</w:t>
      </w:r>
      <w:r w:rsidR="0010366D">
        <w:t> </w:t>
      </w:r>
      <w:r w:rsidRPr="00554D11">
        <w:t>allow for the unmasking of the source and sink of a request for transmission service</w:t>
      </w:r>
      <w:r w:rsidR="0062625A" w:rsidRPr="00554D11">
        <w:t>,</w:t>
      </w:r>
      <w:r w:rsidRPr="00554D11">
        <w:t xml:space="preserve"> </w:t>
      </w:r>
      <w:r w:rsidR="00C4182A" w:rsidRPr="00554D11">
        <w:t xml:space="preserve">once </w:t>
      </w:r>
      <w:r w:rsidRPr="00554D11">
        <w:t>that request is moved to any final state</w:t>
      </w:r>
      <w:r w:rsidR="0076215F">
        <w:t>;</w:t>
      </w:r>
      <w:r w:rsidRPr="00554D11">
        <w:t xml:space="preserve"> (3)</w:t>
      </w:r>
      <w:r w:rsidR="0092725C" w:rsidRPr="00554D11">
        <w:t> </w:t>
      </w:r>
      <w:r w:rsidRPr="00554D11">
        <w:t xml:space="preserve">modify </w:t>
      </w:r>
      <w:r w:rsidR="00C4182A" w:rsidRPr="00554D11">
        <w:t xml:space="preserve">the </w:t>
      </w:r>
      <w:r w:rsidR="00272DF1" w:rsidRPr="00554D11">
        <w:t xml:space="preserve">Commission’s </w:t>
      </w:r>
      <w:r w:rsidR="00C4182A" w:rsidRPr="00554D11">
        <w:t xml:space="preserve">existing </w:t>
      </w:r>
      <w:r w:rsidR="00272DF1" w:rsidRPr="00554D11">
        <w:t xml:space="preserve">non-mandatory guidance on Smart Grid </w:t>
      </w:r>
      <w:r w:rsidRPr="00554D11">
        <w:t>standards</w:t>
      </w:r>
      <w:r w:rsidR="0076215F">
        <w:t>;</w:t>
      </w:r>
      <w:r w:rsidR="00272DF1" w:rsidRPr="00554D11">
        <w:t xml:space="preserve"> (4)</w:t>
      </w:r>
      <w:r w:rsidR="0010366D">
        <w:t> </w:t>
      </w:r>
      <w:r w:rsidR="00272DF1" w:rsidRPr="00554D11">
        <w:t xml:space="preserve">modify the WEQ Abbreviations, Acronyms, and Definition of Terms in Standard WEQ-000 to maintain consistency between the defined terms used in the NAESB standards, </w:t>
      </w:r>
      <w:r w:rsidR="003F60B5">
        <w:t xml:space="preserve">including </w:t>
      </w:r>
      <w:r w:rsidR="003F60B5">
        <w:lastRenderedPageBreak/>
        <w:t>revisions to</w:t>
      </w:r>
      <w:r w:rsidR="003F60B5" w:rsidRPr="00554D11">
        <w:t xml:space="preserve"> </w:t>
      </w:r>
      <w:r w:rsidR="00272DF1" w:rsidRPr="00554D11">
        <w:t>the terms “Demand Reduction Value” and “Energy Efficiency” to mirror definitions proposed by the Retail Market Quadrant</w:t>
      </w:r>
      <w:r w:rsidR="0076215F">
        <w:t xml:space="preserve"> and prevent industry confusion;</w:t>
      </w:r>
      <w:r w:rsidR="00272DF1" w:rsidRPr="00554D11">
        <w:t xml:space="preserve"> and (</w:t>
      </w:r>
      <w:r w:rsidR="003F60B5">
        <w:t>5</w:t>
      </w:r>
      <w:r w:rsidR="00272DF1" w:rsidRPr="00554D11">
        <w:t>)</w:t>
      </w:r>
      <w:r w:rsidR="0010366D">
        <w:t> </w:t>
      </w:r>
      <w:r w:rsidR="00272DF1" w:rsidRPr="00554D11">
        <w:t>modify the Commission’s</w:t>
      </w:r>
      <w:r w:rsidRPr="00554D11">
        <w:t xml:space="preserve"> </w:t>
      </w:r>
      <w:r w:rsidR="00272DF1" w:rsidRPr="00554D11">
        <w:t>PKI-related standards.</w:t>
      </w:r>
      <w:r w:rsidR="00C4182A" w:rsidRPr="00554D11">
        <w:t xml:space="preserve">  We will now separately discuss each of these revisions.</w:t>
      </w:r>
    </w:p>
    <w:p w14:paraId="5E435FAB" w14:textId="77777777" w:rsidR="00057954" w:rsidRPr="00554D11" w:rsidRDefault="00CF237D" w:rsidP="00A27786">
      <w:pPr>
        <w:pStyle w:val="Heading3"/>
        <w:numPr>
          <w:ilvl w:val="2"/>
          <w:numId w:val="44"/>
        </w:numPr>
        <w:ind w:left="2160" w:hanging="720"/>
      </w:pPr>
      <w:bookmarkStart w:id="29" w:name="_Toc441070574"/>
      <w:r w:rsidRPr="00554D11">
        <w:t>Proper Method t</w:t>
      </w:r>
      <w:r w:rsidR="00C4182A" w:rsidRPr="00554D11">
        <w:t xml:space="preserve">o Post </w:t>
      </w:r>
      <w:r w:rsidR="00EA59DA" w:rsidRPr="00554D11">
        <w:t xml:space="preserve">Off-OASIS </w:t>
      </w:r>
      <w:r w:rsidR="00057954" w:rsidRPr="00554D11">
        <w:t>R</w:t>
      </w:r>
      <w:r w:rsidR="00EA59DA" w:rsidRPr="00554D11">
        <w:t xml:space="preserve">esale </w:t>
      </w:r>
      <w:r w:rsidR="00057954" w:rsidRPr="00554D11">
        <w:t>T</w:t>
      </w:r>
      <w:r w:rsidR="00EA59DA" w:rsidRPr="00554D11">
        <w:t>ransactions</w:t>
      </w:r>
      <w:bookmarkStart w:id="30" w:name="_bmk17"/>
      <w:bookmarkEnd w:id="29"/>
    </w:p>
    <w:bookmarkEnd w:id="30"/>
    <w:p w14:paraId="59BA1CE1" w14:textId="5E4475A1" w:rsidR="00DD5B77" w:rsidRPr="00554D11" w:rsidRDefault="00062F52" w:rsidP="00554D11">
      <w:pPr>
        <w:pStyle w:val="FERCparanumber"/>
      </w:pPr>
      <w:r w:rsidRPr="00554D11">
        <w:t>NAESB</w:t>
      </w:r>
      <w:r w:rsidR="00C4182A" w:rsidRPr="00554D11">
        <w:t xml:space="preserve">’s </w:t>
      </w:r>
      <w:r w:rsidR="00CF237D" w:rsidRPr="00554D11">
        <w:t>WEQ Version 003.1</w:t>
      </w:r>
      <w:r w:rsidR="00C4182A" w:rsidRPr="00554D11">
        <w:t xml:space="preserve"> Business Practice Standards</w:t>
      </w:r>
      <w:r w:rsidRPr="00554D11">
        <w:t xml:space="preserve"> include a revision to </w:t>
      </w:r>
      <w:r w:rsidR="00DD5B77" w:rsidRPr="00554D11">
        <w:t xml:space="preserve">the </w:t>
      </w:r>
      <w:r w:rsidRPr="00554D11">
        <w:t>WEQ-013 OASIS Implementation Guide Business Practice Standards to allow off-OASIS resale transactions to be posted directly to the OA</w:t>
      </w:r>
      <w:r w:rsidR="00DD5B77" w:rsidRPr="00554D11">
        <w:t>S</w:t>
      </w:r>
      <w:r w:rsidRPr="00554D11">
        <w:t>IS under an “accepted” status.  Prior to the modification to WEQ-013-2.6.7.2</w:t>
      </w:r>
      <w:r w:rsidR="003B7287" w:rsidRPr="00554D11">
        <w:t>,</w:t>
      </w:r>
      <w:r w:rsidRPr="00554D11">
        <w:t xml:space="preserve"> these transactions were posted only as confirmed transactions.  NAESB </w:t>
      </w:r>
      <w:r w:rsidR="00DD5B77" w:rsidRPr="00554D11">
        <w:t xml:space="preserve">has </w:t>
      </w:r>
      <w:r w:rsidRPr="00554D11">
        <w:t xml:space="preserve">also </w:t>
      </w:r>
      <w:r w:rsidR="00DD5B77" w:rsidRPr="00554D11">
        <w:t>adopted</w:t>
      </w:r>
      <w:r w:rsidRPr="00554D11">
        <w:t xml:space="preserve"> a revision to </w:t>
      </w:r>
      <w:r w:rsidR="00DD5B77" w:rsidRPr="00554D11">
        <w:t xml:space="preserve">the </w:t>
      </w:r>
      <w:r w:rsidRPr="00554D11">
        <w:t>WEQ-001 OASIS Business Practice Standards (WEQ-013-2.6.7.2) as a conforming change requiring a service agreement between an assignee and a transmission provider to be executed once the assignee has confirmed the resale transaction on the OASIS</w:t>
      </w:r>
      <w:r w:rsidR="003B7287" w:rsidRPr="00554D11">
        <w:t>.</w:t>
      </w:r>
    </w:p>
    <w:p w14:paraId="53F2C3F2" w14:textId="511A2322" w:rsidR="00CA130F" w:rsidRPr="00554D11" w:rsidRDefault="00272DF1" w:rsidP="00554D11">
      <w:pPr>
        <w:pStyle w:val="FERCparanumber"/>
      </w:pPr>
      <w:r w:rsidRPr="00554D11">
        <w:t>NAESB</w:t>
      </w:r>
      <w:r w:rsidR="00DD5B77" w:rsidRPr="00554D11">
        <w:t xml:space="preserve">’s revised standards </w:t>
      </w:r>
      <w:r w:rsidR="0062625A" w:rsidRPr="00554D11">
        <w:t xml:space="preserve">on this subject </w:t>
      </w:r>
      <w:r w:rsidR="00DD5B77" w:rsidRPr="00554D11">
        <w:t>a</w:t>
      </w:r>
      <w:r w:rsidR="00E11561" w:rsidRPr="00554D11">
        <w:t xml:space="preserve">ppear </w:t>
      </w:r>
      <w:r w:rsidR="00DD5B77" w:rsidRPr="00554D11">
        <w:t>re</w:t>
      </w:r>
      <w:r w:rsidR="00E11561" w:rsidRPr="00554D11">
        <w:t xml:space="preserve">asonable and </w:t>
      </w:r>
      <w:r w:rsidR="009F5DEE" w:rsidRPr="00554D11">
        <w:t xml:space="preserve">do </w:t>
      </w:r>
      <w:r w:rsidR="00DD5B77" w:rsidRPr="00554D11">
        <w:t xml:space="preserve">not </w:t>
      </w:r>
      <w:r w:rsidR="009F5DEE" w:rsidRPr="00554D11">
        <w:t xml:space="preserve">appear </w:t>
      </w:r>
      <w:r w:rsidR="00DD5B77" w:rsidRPr="00554D11">
        <w:t>inconsistent with an</w:t>
      </w:r>
      <w:r w:rsidR="00E11561" w:rsidRPr="00554D11">
        <w:t xml:space="preserve">y </w:t>
      </w:r>
      <w:r w:rsidR="009F5DEE" w:rsidRPr="00554D11">
        <w:t xml:space="preserve">directives or findings in any </w:t>
      </w:r>
      <w:r w:rsidR="00E11561" w:rsidRPr="00554D11">
        <w:t xml:space="preserve">Commission </w:t>
      </w:r>
      <w:r w:rsidR="009F5DEE" w:rsidRPr="00554D11">
        <w:t>orders</w:t>
      </w:r>
      <w:r w:rsidR="00E11561" w:rsidRPr="00554D11">
        <w:t>.</w:t>
      </w:r>
      <w:r w:rsidR="00877450" w:rsidRPr="00554D11">
        <w:t xml:space="preserve">  </w:t>
      </w:r>
      <w:r w:rsidR="00DB2FCB" w:rsidRPr="00554D11">
        <w:t>Accordingly</w:t>
      </w:r>
      <w:r w:rsidR="00DD5B77" w:rsidRPr="00554D11">
        <w:t xml:space="preserve">, we propose to incorporate by reference, into the Commission’s regulations at 18 CFR </w:t>
      </w:r>
      <w:r w:rsidR="00BB7506">
        <w:t>38.1</w:t>
      </w:r>
      <w:r w:rsidR="00DD5B77" w:rsidRPr="00554D11">
        <w:t>, NAESB’s revisions to</w:t>
      </w:r>
      <w:r w:rsidR="00E11561" w:rsidRPr="00554D11">
        <w:t xml:space="preserve"> Standard WEQ-013-2.6.7.2 and to the WEQ-013 OASIS Implementation Guide Standards.</w:t>
      </w:r>
    </w:p>
    <w:p w14:paraId="2353FD72" w14:textId="77777777" w:rsidR="00EA59DA" w:rsidRPr="00554D11" w:rsidRDefault="00C4182A" w:rsidP="00A27786">
      <w:pPr>
        <w:pStyle w:val="Heading3"/>
        <w:numPr>
          <w:ilvl w:val="2"/>
          <w:numId w:val="44"/>
        </w:numPr>
        <w:ind w:left="2160" w:hanging="720"/>
      </w:pPr>
      <w:bookmarkStart w:id="31" w:name="_Toc441070575"/>
      <w:r w:rsidRPr="00554D11">
        <w:t xml:space="preserve">Unmasking of </w:t>
      </w:r>
      <w:r w:rsidR="00057954" w:rsidRPr="00554D11">
        <w:t>Final State Source and Sink Request</w:t>
      </w:r>
      <w:r w:rsidRPr="00554D11">
        <w:t>s</w:t>
      </w:r>
      <w:bookmarkStart w:id="32" w:name="_bmk18"/>
      <w:bookmarkEnd w:id="31"/>
    </w:p>
    <w:bookmarkEnd w:id="32"/>
    <w:p w14:paraId="682ED2C8" w14:textId="72C2B95F" w:rsidR="00E11561" w:rsidRPr="00554D11" w:rsidRDefault="00062F52" w:rsidP="00554D11">
      <w:pPr>
        <w:pStyle w:val="FERCparanumber"/>
      </w:pPr>
      <w:r w:rsidRPr="00554D11">
        <w:t>NAESB</w:t>
      </w:r>
      <w:r w:rsidR="00C4182A" w:rsidRPr="00554D11">
        <w:t xml:space="preserve">’s </w:t>
      </w:r>
      <w:r w:rsidR="00CF237D" w:rsidRPr="00554D11">
        <w:t>WEQ Version 003.1</w:t>
      </w:r>
      <w:r w:rsidR="00C4182A" w:rsidRPr="00554D11">
        <w:t xml:space="preserve"> </w:t>
      </w:r>
      <w:r w:rsidR="006E7825" w:rsidRPr="00554D11">
        <w:t>Business Practice Standards</w:t>
      </w:r>
      <w:r w:rsidRPr="00554D11">
        <w:t xml:space="preserve"> modif</w:t>
      </w:r>
      <w:r w:rsidR="00C4182A" w:rsidRPr="00554D11">
        <w:t>y</w:t>
      </w:r>
      <w:r w:rsidRPr="00554D11">
        <w:t xml:space="preserve"> </w:t>
      </w:r>
      <w:r w:rsidR="00C4182A" w:rsidRPr="00554D11">
        <w:t xml:space="preserve">Standard </w:t>
      </w:r>
      <w:r w:rsidRPr="00554D11">
        <w:t xml:space="preserve">WEQ-002-4.3.6.2 to unmask the source and sink for a request for transmission service for all instances where the request for transmission service is moved to any final state. </w:t>
      </w:r>
      <w:r w:rsidR="003B7287" w:rsidRPr="00554D11">
        <w:t xml:space="preserve"> </w:t>
      </w:r>
      <w:r w:rsidRPr="00554D11">
        <w:t xml:space="preserve">Prior </w:t>
      </w:r>
      <w:r w:rsidRPr="00554D11">
        <w:lastRenderedPageBreak/>
        <w:t>to this modification, masking of the sour</w:t>
      </w:r>
      <w:r w:rsidR="003B7287" w:rsidRPr="00554D11">
        <w:t>ce</w:t>
      </w:r>
      <w:r w:rsidRPr="00554D11">
        <w:t xml:space="preserve"> and sink of a request for transmission service was permitted until the status of that request</w:t>
      </w:r>
      <w:r w:rsidR="00213648" w:rsidRPr="00554D11">
        <w:t xml:space="preserve"> </w:t>
      </w:r>
      <w:r w:rsidR="0010366D">
        <w:t>wa</w:t>
      </w:r>
      <w:r w:rsidR="00213648" w:rsidRPr="00554D11">
        <w:t xml:space="preserve">s </w:t>
      </w:r>
      <w:r w:rsidRPr="00554D11">
        <w:t>confirmed</w:t>
      </w:r>
      <w:r w:rsidR="00DD5B77" w:rsidRPr="00554D11">
        <w:t>.</w:t>
      </w:r>
    </w:p>
    <w:p w14:paraId="675930B9" w14:textId="638CE9BA" w:rsidR="00E11561" w:rsidRPr="00554D11" w:rsidRDefault="00E11561" w:rsidP="00554D11">
      <w:pPr>
        <w:pStyle w:val="FERCparanumber"/>
      </w:pPr>
      <w:r w:rsidRPr="00554D11">
        <w:t xml:space="preserve">NAESB’s revised standards </w:t>
      </w:r>
      <w:r w:rsidR="009F5DEE" w:rsidRPr="00554D11">
        <w:t xml:space="preserve">appear reasonable and do </w:t>
      </w:r>
      <w:r w:rsidRPr="00554D11">
        <w:t xml:space="preserve">not </w:t>
      </w:r>
      <w:r w:rsidR="009F5DEE" w:rsidRPr="00554D11">
        <w:t>appear in</w:t>
      </w:r>
      <w:r w:rsidRPr="00554D11">
        <w:t xml:space="preserve">consistent with any </w:t>
      </w:r>
      <w:r w:rsidR="009F5DEE" w:rsidRPr="00554D11">
        <w:t xml:space="preserve">directives or findings in any </w:t>
      </w:r>
      <w:r w:rsidRPr="00554D11">
        <w:t xml:space="preserve">Commission </w:t>
      </w:r>
      <w:r w:rsidR="009F5DEE" w:rsidRPr="00554D11">
        <w:t>order</w:t>
      </w:r>
      <w:r w:rsidR="009E364A" w:rsidRPr="00554D11">
        <w:t>.</w:t>
      </w:r>
      <w:r w:rsidR="00877450" w:rsidRPr="00554D11">
        <w:t xml:space="preserve">  </w:t>
      </w:r>
      <w:r w:rsidRPr="00554D11">
        <w:t xml:space="preserve">Accordingly, we propose to incorporate by reference, into the Commission’s regulations at 18 CFR </w:t>
      </w:r>
      <w:r w:rsidR="00BB7506">
        <w:t>38.1</w:t>
      </w:r>
      <w:r w:rsidRPr="00554D11">
        <w:t>, NAESB’s revisions to Standard WEQ-002-4.3.6.2.</w:t>
      </w:r>
    </w:p>
    <w:p w14:paraId="63AF22E4" w14:textId="77777777" w:rsidR="002C5795" w:rsidRPr="00554D11" w:rsidRDefault="00E20A8E" w:rsidP="00DD00E0">
      <w:pPr>
        <w:pStyle w:val="Heading3"/>
        <w:numPr>
          <w:ilvl w:val="2"/>
          <w:numId w:val="44"/>
        </w:numPr>
      </w:pPr>
      <w:bookmarkStart w:id="33" w:name="_Toc441070582"/>
      <w:r w:rsidRPr="00554D11">
        <w:t xml:space="preserve">Modifications to </w:t>
      </w:r>
      <w:r w:rsidR="002C5795" w:rsidRPr="00554D11">
        <w:t>Smart Grid Standards</w:t>
      </w:r>
      <w:bookmarkStart w:id="34" w:name="_bmk19"/>
      <w:bookmarkEnd w:id="33"/>
    </w:p>
    <w:bookmarkEnd w:id="34"/>
    <w:p w14:paraId="50DA5E11" w14:textId="28D5BB82" w:rsidR="00131FEA" w:rsidRPr="00554D11" w:rsidRDefault="00067898" w:rsidP="00554D11">
      <w:pPr>
        <w:pStyle w:val="FERCparanumber"/>
      </w:pPr>
      <w:r w:rsidRPr="00554D11">
        <w:t xml:space="preserve">In </w:t>
      </w:r>
      <w:r w:rsidR="0014507F" w:rsidRPr="00554D11">
        <w:t>Order</w:t>
      </w:r>
      <w:r w:rsidRPr="00554D11">
        <w:t xml:space="preserve"> 676-H, the Commission recognized the values of the Smart Grid standards and encouraged “further developments in interoperability, technological innovation and standardization in this area.”  </w:t>
      </w:r>
      <w:r w:rsidR="009E5ED2" w:rsidRPr="00554D11">
        <w:t xml:space="preserve">In </w:t>
      </w:r>
      <w:r w:rsidR="0014507F" w:rsidRPr="00554D11">
        <w:t>Order</w:t>
      </w:r>
      <w:r w:rsidR="009E5ED2" w:rsidRPr="00554D11">
        <w:t xml:space="preserve"> No. 676-H, the Commission adopted in its regulations as non-mandatory guidance five Smart Grid related standards: </w:t>
      </w:r>
      <w:r w:rsidR="0010366D">
        <w:t xml:space="preserve"> </w:t>
      </w:r>
      <w:r w:rsidR="009E5ED2" w:rsidRPr="00554D11">
        <w:t>(1)</w:t>
      </w:r>
      <w:r w:rsidR="0010366D">
        <w:t> </w:t>
      </w:r>
      <w:r w:rsidR="009E5ED2" w:rsidRPr="00554D11">
        <w:t>WEQ-016 Specifications for Common Electricity Product and Pricing Definition Business Practice Standards</w:t>
      </w:r>
      <w:r w:rsidR="00272DF1" w:rsidRPr="00554D11">
        <w:t>;</w:t>
      </w:r>
      <w:r w:rsidR="009E5ED2" w:rsidRPr="00554D11">
        <w:t xml:space="preserve"> (2)</w:t>
      </w:r>
      <w:r w:rsidR="0010366D">
        <w:t> </w:t>
      </w:r>
      <w:r w:rsidR="009E5ED2" w:rsidRPr="00554D11">
        <w:t>WEQ-017 Specifications for Common Schedule Communication Mechanism for Energy Transactions</w:t>
      </w:r>
      <w:r w:rsidR="00272DF1" w:rsidRPr="00554D11">
        <w:t>;</w:t>
      </w:r>
      <w:r w:rsidR="009E5ED2" w:rsidRPr="00554D11">
        <w:t xml:space="preserve"> (3)</w:t>
      </w:r>
      <w:r w:rsidR="0010366D">
        <w:t> </w:t>
      </w:r>
      <w:r w:rsidR="009E5ED2" w:rsidRPr="00554D11">
        <w:t>WEQ-018 Specifications for Wholesale Standard Demand Response Signals Business Practice Standards</w:t>
      </w:r>
      <w:r w:rsidR="00272DF1" w:rsidRPr="00554D11">
        <w:t>;</w:t>
      </w:r>
      <w:r w:rsidR="009E5ED2" w:rsidRPr="00554D11">
        <w:t xml:space="preserve"> (4)</w:t>
      </w:r>
      <w:r w:rsidR="0010366D">
        <w:t> </w:t>
      </w:r>
      <w:r w:rsidR="009E5ED2" w:rsidRPr="00554D11">
        <w:t>WEQ-019 Customer Energy Usage Information Communication Business Practice Standards</w:t>
      </w:r>
      <w:r w:rsidR="00272DF1" w:rsidRPr="00554D11">
        <w:t>;</w:t>
      </w:r>
      <w:r w:rsidR="009E5ED2" w:rsidRPr="00554D11">
        <w:t xml:space="preserve"> and (5) WEQ-020 Smart Grid Standards Data Elements Table Business Practice Standards</w:t>
      </w:r>
      <w:r w:rsidRPr="00554D11">
        <w:t>.</w:t>
      </w:r>
      <w:r w:rsidR="00796B59" w:rsidRPr="00554D11">
        <w:t xml:space="preserve">  This guidance </w:t>
      </w:r>
      <w:r w:rsidR="00877450" w:rsidRPr="00554D11">
        <w:t>i</w:t>
      </w:r>
      <w:r w:rsidR="00796B59" w:rsidRPr="00554D11">
        <w:t xml:space="preserve">s published </w:t>
      </w:r>
      <w:r w:rsidR="00877450" w:rsidRPr="00554D11">
        <w:t xml:space="preserve">in the Federal Register </w:t>
      </w:r>
      <w:r w:rsidR="00796B59" w:rsidRPr="00554D11">
        <w:t>at 18 CFR 2.27.</w:t>
      </w:r>
    </w:p>
    <w:p w14:paraId="645798D3" w14:textId="488E5B78" w:rsidR="00131FEA" w:rsidRPr="00554D11" w:rsidRDefault="00131FEA" w:rsidP="00554D11">
      <w:pPr>
        <w:pStyle w:val="FERCparanumber"/>
      </w:pPr>
      <w:r w:rsidRPr="00554D11">
        <w:t xml:space="preserve">In its Version 003.1 Business Practice Standards, </w:t>
      </w:r>
      <w:r w:rsidR="00067898" w:rsidRPr="00554D11">
        <w:t xml:space="preserve">NAESB </w:t>
      </w:r>
      <w:r w:rsidRPr="00554D11">
        <w:t xml:space="preserve">has </w:t>
      </w:r>
      <w:r w:rsidR="00067898" w:rsidRPr="00554D11">
        <w:t>modifi</w:t>
      </w:r>
      <w:r w:rsidRPr="00554D11">
        <w:t>ed</w:t>
      </w:r>
      <w:r w:rsidR="00067898" w:rsidRPr="00554D11">
        <w:t xml:space="preserve"> </w:t>
      </w:r>
      <w:r w:rsidRPr="00554D11">
        <w:t xml:space="preserve">the Standard </w:t>
      </w:r>
      <w:r w:rsidR="00067898" w:rsidRPr="00554D11">
        <w:t>WEQ-019 Customer Energy Usage Information Communication Business Practice Standards</w:t>
      </w:r>
      <w:r w:rsidRPr="00554D11">
        <w:t xml:space="preserve">.  NAESB made this modification so that the revised standard will operate </w:t>
      </w:r>
      <w:r w:rsidR="00067898" w:rsidRPr="00554D11">
        <w:t>in harmon</w:t>
      </w:r>
      <w:r w:rsidRPr="00554D11">
        <w:t xml:space="preserve">y </w:t>
      </w:r>
      <w:r w:rsidR="00067898" w:rsidRPr="00554D11">
        <w:t xml:space="preserve">with other smart grid standards, including </w:t>
      </w:r>
      <w:r w:rsidRPr="00554D11">
        <w:t xml:space="preserve">the </w:t>
      </w:r>
      <w:r w:rsidR="00067898" w:rsidRPr="00554D11">
        <w:t xml:space="preserve">Smart Energy Profile </w:t>
      </w:r>
      <w:r w:rsidR="00067898" w:rsidRPr="00554D11">
        <w:lastRenderedPageBreak/>
        <w:t xml:space="preserve">2.0, the International </w:t>
      </w:r>
      <w:proofErr w:type="spellStart"/>
      <w:r w:rsidR="00067898" w:rsidRPr="00554D11">
        <w:t>Electrotechnical</w:t>
      </w:r>
      <w:proofErr w:type="spellEnd"/>
      <w:r w:rsidR="00067898" w:rsidRPr="00554D11">
        <w:t xml:space="preserve"> Commission Information Model, the NAESB REQ.21 Energy Service Providers Interface, and standards developed by the American Society of Heating, Refrigerating, and Air-Conditioning Engineers.</w:t>
      </w:r>
    </w:p>
    <w:p w14:paraId="0F8ED103" w14:textId="2A87311C" w:rsidR="00131FEA" w:rsidRPr="00554D11" w:rsidRDefault="00131FEA" w:rsidP="00554D11">
      <w:pPr>
        <w:pStyle w:val="FERCparanumber"/>
      </w:pPr>
      <w:r w:rsidRPr="00554D11">
        <w:t>Standard WEQ-019 provides for energy usage information and this revision</w:t>
      </w:r>
      <w:r w:rsidR="0072573A" w:rsidRPr="00554D11">
        <w:t xml:space="preserve"> </w:t>
      </w:r>
      <w:r w:rsidRPr="00554D11">
        <w:t>allows consumers access to their energy usage information.  These standards will not only be used by the wholesale electric industry, but also are important initiatives for use in</w:t>
      </w:r>
      <w:r w:rsidR="00101878" w:rsidRPr="00554D11">
        <w:t xml:space="preserve"> </w:t>
      </w:r>
      <w:r w:rsidRPr="00554D11">
        <w:t xml:space="preserve">ongoing utility programs for consumer data access. </w:t>
      </w:r>
      <w:r w:rsidR="007328FB" w:rsidRPr="00554D11">
        <w:t xml:space="preserve"> </w:t>
      </w:r>
      <w:r w:rsidRPr="00554D11">
        <w:t>We, therefore, </w:t>
      </w:r>
      <w:r w:rsidR="006D59CD" w:rsidRPr="00554D11">
        <w:t xml:space="preserve">propose to </w:t>
      </w:r>
      <w:r w:rsidR="00101878" w:rsidRPr="00554D11">
        <w:t xml:space="preserve">revise </w:t>
      </w:r>
      <w:r w:rsidR="006D59CD" w:rsidRPr="00554D11">
        <w:t xml:space="preserve">our </w:t>
      </w:r>
      <w:r w:rsidR="00101878" w:rsidRPr="00554D11">
        <w:t xml:space="preserve">non-mandatory </w:t>
      </w:r>
      <w:r w:rsidR="006D59CD" w:rsidRPr="00554D11">
        <w:t xml:space="preserve">guidance </w:t>
      </w:r>
      <w:r w:rsidR="00101878" w:rsidRPr="00554D11">
        <w:t xml:space="preserve">that we listed </w:t>
      </w:r>
      <w:r w:rsidR="006D59CD" w:rsidRPr="00554D11">
        <w:t>in 18 CFR 2.27</w:t>
      </w:r>
      <w:r w:rsidR="00101878" w:rsidRPr="00554D11">
        <w:t>(d)</w:t>
      </w:r>
      <w:r w:rsidR="006D59CD" w:rsidRPr="00554D11">
        <w:t xml:space="preserve"> to reference NAESB’s updated Standard WEQ-019 as </w:t>
      </w:r>
      <w:r w:rsidR="00995B5B" w:rsidRPr="00554D11">
        <w:t xml:space="preserve">set out in the Version </w:t>
      </w:r>
      <w:r w:rsidR="0010366D">
        <w:t>00</w:t>
      </w:r>
      <w:r w:rsidR="00995B5B" w:rsidRPr="00554D11">
        <w:t>3.1 package of WEQ Business Practice Standards</w:t>
      </w:r>
      <w:r w:rsidR="00101878" w:rsidRPr="00554D11">
        <w:t xml:space="preserve">, </w:t>
      </w:r>
      <w:r w:rsidR="00995B5B" w:rsidRPr="00554D11">
        <w:t xml:space="preserve">replacing the </w:t>
      </w:r>
      <w:r w:rsidR="00101878" w:rsidRPr="00554D11">
        <w:t xml:space="preserve">existing </w:t>
      </w:r>
      <w:r w:rsidR="00995B5B" w:rsidRPr="00554D11">
        <w:t xml:space="preserve">reference </w:t>
      </w:r>
      <w:r w:rsidR="00101878" w:rsidRPr="00554D11">
        <w:t xml:space="preserve">in 18 CFR 2.27(d) </w:t>
      </w:r>
      <w:r w:rsidR="00995B5B" w:rsidRPr="00554D11">
        <w:t>to Standard WEQ-019 a</w:t>
      </w:r>
      <w:r w:rsidR="00101878" w:rsidRPr="00554D11">
        <w:t xml:space="preserve">s set out in </w:t>
      </w:r>
      <w:r w:rsidR="00995B5B" w:rsidRPr="00554D11">
        <w:t xml:space="preserve">the </w:t>
      </w:r>
      <w:r w:rsidRPr="00554D11">
        <w:t>Version</w:t>
      </w:r>
      <w:r w:rsidR="00101878" w:rsidRPr="00554D11">
        <w:t> </w:t>
      </w:r>
      <w:r w:rsidRPr="00554D11">
        <w:t>003</w:t>
      </w:r>
      <w:r w:rsidR="00995B5B" w:rsidRPr="00554D11">
        <w:t xml:space="preserve"> WEQ Business Practice Standards</w:t>
      </w:r>
      <w:r w:rsidRPr="00554D11">
        <w:t>.</w:t>
      </w:r>
    </w:p>
    <w:p w14:paraId="74F52B51" w14:textId="77777777" w:rsidR="002002D3" w:rsidRPr="00554D11" w:rsidRDefault="00D815B8" w:rsidP="00A27786">
      <w:pPr>
        <w:pStyle w:val="Heading3"/>
        <w:numPr>
          <w:ilvl w:val="2"/>
          <w:numId w:val="44"/>
        </w:numPr>
        <w:tabs>
          <w:tab w:val="clear" w:pos="1440"/>
          <w:tab w:val="num" w:pos="2160"/>
        </w:tabs>
        <w:ind w:left="2160" w:hanging="720"/>
      </w:pPr>
      <w:bookmarkStart w:id="35" w:name="_Toc441070583"/>
      <w:r w:rsidRPr="00554D11">
        <w:t xml:space="preserve">Modification to Standards on </w:t>
      </w:r>
      <w:r w:rsidR="002002D3" w:rsidRPr="00554D11">
        <w:t>Abbrev</w:t>
      </w:r>
      <w:r w:rsidRPr="00554D11">
        <w:t>i</w:t>
      </w:r>
      <w:r w:rsidR="002002D3" w:rsidRPr="00554D11">
        <w:t>ations, Acronyms and Defin</w:t>
      </w:r>
      <w:r w:rsidR="00B54EFD" w:rsidRPr="00554D11">
        <w:t>i</w:t>
      </w:r>
      <w:r w:rsidR="002002D3" w:rsidRPr="00554D11">
        <w:t>tion</w:t>
      </w:r>
      <w:r w:rsidRPr="00554D11">
        <w:t>s</w:t>
      </w:r>
      <w:r w:rsidR="002002D3" w:rsidRPr="00554D11">
        <w:t xml:space="preserve"> of Terms</w:t>
      </w:r>
      <w:bookmarkStart w:id="36" w:name="_bmk20"/>
    </w:p>
    <w:bookmarkEnd w:id="36"/>
    <w:p w14:paraId="7C8BAA59" w14:textId="510C3FDE" w:rsidR="002002D3" w:rsidRPr="00554D11" w:rsidRDefault="002002D3" w:rsidP="00554D11">
      <w:pPr>
        <w:pStyle w:val="FERCparanumber"/>
      </w:pPr>
      <w:r w:rsidRPr="00554D11">
        <w:t>Also included in Version 003.</w:t>
      </w:r>
      <w:r w:rsidR="00D815B8" w:rsidRPr="00554D11">
        <w:t>1</w:t>
      </w:r>
      <w:r w:rsidRPr="00554D11">
        <w:t xml:space="preserve"> is a modification to WEQ Abbreviations, Acronyms, and Definition of Terms </w:t>
      </w:r>
      <w:r w:rsidR="00D815B8" w:rsidRPr="00554D11">
        <w:t xml:space="preserve">in Standard WEQ-000 </w:t>
      </w:r>
      <w:r w:rsidRPr="00554D11">
        <w:t xml:space="preserve">to maintain consistency between the defined terms used in the NAESB standards, and modified the terms </w:t>
      </w:r>
      <w:r w:rsidR="0010366D">
        <w:t>“</w:t>
      </w:r>
      <w:r w:rsidRPr="00554D11">
        <w:t>Demand Reduction Value</w:t>
      </w:r>
      <w:r w:rsidR="0010366D">
        <w:t>”</w:t>
      </w:r>
      <w:r w:rsidRPr="00554D11">
        <w:t xml:space="preserve"> and </w:t>
      </w:r>
      <w:r w:rsidR="0010366D">
        <w:t>“</w:t>
      </w:r>
      <w:r w:rsidRPr="00554D11">
        <w:t>Energy Efficiency</w:t>
      </w:r>
      <w:r w:rsidR="0010366D">
        <w:t>”</w:t>
      </w:r>
      <w:r w:rsidRPr="00554D11">
        <w:t xml:space="preserve"> to mirror definitions proposed by the Retail Market Quadrant and prevent industry confusion.</w:t>
      </w:r>
    </w:p>
    <w:p w14:paraId="15131624" w14:textId="2FEF7D5B" w:rsidR="00D815B8" w:rsidRPr="00554D11" w:rsidRDefault="00272DF1" w:rsidP="00554D11">
      <w:pPr>
        <w:pStyle w:val="FERCparanumber"/>
      </w:pPr>
      <w:r w:rsidRPr="00554D11">
        <w:t>NAESB</w:t>
      </w:r>
      <w:r w:rsidR="00D815B8" w:rsidRPr="00554D11">
        <w:t xml:space="preserve">’s revised standards appear reasonable and do not appear inconsistent with any directives or findings in any Commission orders.  Accordingly, we propose to incorporate by reference, into the Commission’s regulations at 18 CFR </w:t>
      </w:r>
      <w:r w:rsidR="00BB7506">
        <w:t>38.1</w:t>
      </w:r>
      <w:r w:rsidR="00D815B8" w:rsidRPr="00554D11">
        <w:t>, NAESB’s revisions to Standard WEQ-000.</w:t>
      </w:r>
    </w:p>
    <w:p w14:paraId="184515A8" w14:textId="77777777" w:rsidR="002C5795" w:rsidRPr="00554D11" w:rsidRDefault="002C5795" w:rsidP="00DD00E0">
      <w:pPr>
        <w:pStyle w:val="Heading3"/>
        <w:numPr>
          <w:ilvl w:val="2"/>
          <w:numId w:val="44"/>
        </w:numPr>
      </w:pPr>
      <w:r w:rsidRPr="00554D11">
        <w:lastRenderedPageBreak/>
        <w:t>Public Key Infrastructure-</w:t>
      </w:r>
      <w:r w:rsidR="00272DF1" w:rsidRPr="00554D11">
        <w:t>R</w:t>
      </w:r>
      <w:r w:rsidRPr="00554D11">
        <w:t>elated Standards</w:t>
      </w:r>
      <w:bookmarkStart w:id="37" w:name="_bmk21"/>
      <w:bookmarkEnd w:id="35"/>
    </w:p>
    <w:bookmarkEnd w:id="37"/>
    <w:p w14:paraId="2D5C98D0" w14:textId="02ED7925" w:rsidR="001662B0" w:rsidRPr="00554D11" w:rsidRDefault="001662B0" w:rsidP="00554D11">
      <w:pPr>
        <w:pStyle w:val="FERCparanumber"/>
      </w:pPr>
      <w:r w:rsidRPr="00554D11">
        <w:t xml:space="preserve">NAESB includes three modifications </w:t>
      </w:r>
      <w:r w:rsidR="00C667C1" w:rsidRPr="00554D11">
        <w:t xml:space="preserve">to </w:t>
      </w:r>
      <w:r w:rsidRPr="00554D11">
        <w:t xml:space="preserve">support the WEQ-012 PKI Business Practice Standards previously incorporated by reference by the Commission in </w:t>
      </w:r>
      <w:r w:rsidR="0014507F" w:rsidRPr="00554D11">
        <w:t>Order</w:t>
      </w:r>
      <w:r w:rsidRPr="00554D11">
        <w:t xml:space="preserve"> No.</w:t>
      </w:r>
      <w:r w:rsidR="00F44E0F" w:rsidRPr="00554D11">
        <w:t> </w:t>
      </w:r>
      <w:r w:rsidRPr="00554D11">
        <w:t>676-H.</w:t>
      </w:r>
      <w:r w:rsidRPr="00554D11">
        <w:rPr>
          <w:rStyle w:val="FootnoteReference"/>
        </w:rPr>
        <w:footnoteReference w:id="42"/>
      </w:r>
      <w:r w:rsidRPr="00554D11">
        <w:t xml:space="preserve">  The three PKI-related modifications </w:t>
      </w:r>
      <w:r w:rsidR="00C667C1" w:rsidRPr="00554D11">
        <w:t xml:space="preserve">made in the Version </w:t>
      </w:r>
      <w:r w:rsidR="0010366D">
        <w:t>00</w:t>
      </w:r>
      <w:r w:rsidR="00C667C1" w:rsidRPr="00554D11">
        <w:t xml:space="preserve">3.1 Standards </w:t>
      </w:r>
      <w:r w:rsidRPr="00554D11">
        <w:t xml:space="preserve">were to </w:t>
      </w:r>
      <w:r w:rsidR="00C667C1" w:rsidRPr="00554D11">
        <w:t xml:space="preserve">the </w:t>
      </w:r>
      <w:r w:rsidRPr="00554D11">
        <w:t xml:space="preserve">WEQ-012 PKI Business Practice Standards, </w:t>
      </w:r>
      <w:r w:rsidR="00C667C1" w:rsidRPr="00554D11">
        <w:t xml:space="preserve">the </w:t>
      </w:r>
      <w:r w:rsidRPr="00554D11">
        <w:t xml:space="preserve">WEQ-002 OASIS Standards and Communication Protocols Business Practice Standards, and </w:t>
      </w:r>
      <w:r w:rsidR="00C667C1" w:rsidRPr="00554D11">
        <w:t xml:space="preserve">the </w:t>
      </w:r>
      <w:r w:rsidRPr="00554D11">
        <w:t>WEQ-004 Coordinate Interchange Business Practice Standards.  NAESB modified WEQ-012 to accommodate technology changes and security advances</w:t>
      </w:r>
      <w:r w:rsidR="005C4BB2" w:rsidRPr="00554D11">
        <w:t xml:space="preserve"> as well a</w:t>
      </w:r>
      <w:r w:rsidR="000C4BC6" w:rsidRPr="00554D11">
        <w:t>s</w:t>
      </w:r>
      <w:r w:rsidR="005C4BB2" w:rsidRPr="00554D11">
        <w:t xml:space="preserve"> </w:t>
      </w:r>
      <w:r w:rsidR="00C667C1" w:rsidRPr="00554D11">
        <w:t xml:space="preserve">to </w:t>
      </w:r>
      <w:r w:rsidR="005C4BB2" w:rsidRPr="00554D11">
        <w:t>remov</w:t>
      </w:r>
      <w:r w:rsidR="00C667C1" w:rsidRPr="00554D11">
        <w:t>e</w:t>
      </w:r>
      <w:r w:rsidR="005C4BB2" w:rsidRPr="00554D11">
        <w:t xml:space="preserve"> standards specifying criteria a certificate authority must meet.  NAESB </w:t>
      </w:r>
      <w:r w:rsidR="00C667C1" w:rsidRPr="00554D11">
        <w:t xml:space="preserve">moved </w:t>
      </w:r>
      <w:r w:rsidR="005C4BB2" w:rsidRPr="00554D11">
        <w:t xml:space="preserve">the standards specifying criteria that must be met </w:t>
      </w:r>
      <w:r w:rsidR="00C667C1" w:rsidRPr="00554D11">
        <w:t xml:space="preserve">out of the Version </w:t>
      </w:r>
      <w:r w:rsidR="0010366D">
        <w:t>00</w:t>
      </w:r>
      <w:r w:rsidR="00C667C1" w:rsidRPr="00554D11">
        <w:t xml:space="preserve">3.1 Business Practice Standards and </w:t>
      </w:r>
      <w:r w:rsidR="005C4BB2" w:rsidRPr="00554D11">
        <w:t xml:space="preserve">into a second document that outlines the prerequisites a certificate authority must meet to become a NAESB </w:t>
      </w:r>
      <w:r w:rsidR="000C4BC6" w:rsidRPr="00554D11">
        <w:t>Certification Authority</w:t>
      </w:r>
      <w:r w:rsidRPr="00554D11">
        <w:t>.</w:t>
      </w:r>
      <w:r w:rsidR="005C4BB2" w:rsidRPr="00554D11">
        <w:rPr>
          <w:rStyle w:val="FootnoteReference"/>
        </w:rPr>
        <w:footnoteReference w:id="43"/>
      </w:r>
    </w:p>
    <w:p w14:paraId="545F21AD" w14:textId="1CD814D1" w:rsidR="001662B0" w:rsidRPr="00554D11" w:rsidRDefault="00AC18CC" w:rsidP="00554D11">
      <w:pPr>
        <w:pStyle w:val="FERCparanumber"/>
      </w:pPr>
      <w:r w:rsidRPr="00554D11">
        <w:t xml:space="preserve">NAESB modified five standards and added three standards WEQ-002, which require the use of a certificate issued by a NAESB </w:t>
      </w:r>
      <w:r w:rsidR="000C4BC6" w:rsidRPr="00554D11">
        <w:t>Certification Authority</w:t>
      </w:r>
      <w:r w:rsidRPr="00554D11">
        <w:t xml:space="preserve"> to access an OASIS s</w:t>
      </w:r>
      <w:r w:rsidR="009A1917">
        <w:t>ite</w:t>
      </w:r>
      <w:r w:rsidRPr="00554D11">
        <w:t xml:space="preserve"> and include requirements related to suppor</w:t>
      </w:r>
      <w:r w:rsidR="00792A87" w:rsidRPr="00554D11">
        <w:t>t</w:t>
      </w:r>
      <w:r w:rsidRPr="00554D11">
        <w:t xml:space="preserve"> the </w:t>
      </w:r>
      <w:r w:rsidR="00792A87" w:rsidRPr="00554D11">
        <w:t>implementation</w:t>
      </w:r>
      <w:r w:rsidRPr="00554D11">
        <w:t xml:space="preserve"> of PKI </w:t>
      </w:r>
      <w:r w:rsidR="0010366D">
        <w:t>o</w:t>
      </w:r>
      <w:r w:rsidRPr="00554D11">
        <w:t>n OASIS s</w:t>
      </w:r>
      <w:r w:rsidR="0010366D">
        <w:t>ites</w:t>
      </w:r>
      <w:r w:rsidRPr="00554D11">
        <w:t xml:space="preserve"> as well as revisions to reflect the transmission of the registry from the NERC </w:t>
      </w:r>
      <w:r w:rsidRPr="00554D11">
        <w:lastRenderedPageBreak/>
        <w:t>TSI to the NAE</w:t>
      </w:r>
      <w:r w:rsidR="00C667C1" w:rsidRPr="00554D11">
        <w:t>S</w:t>
      </w:r>
      <w:r w:rsidRPr="00554D11">
        <w:t xml:space="preserve">B EIR.  </w:t>
      </w:r>
      <w:r w:rsidR="001A48B1" w:rsidRPr="00554D11">
        <w:t xml:space="preserve">NAESB includes one new </w:t>
      </w:r>
      <w:r w:rsidR="00BF1885" w:rsidRPr="00554D11">
        <w:t>standard</w:t>
      </w:r>
      <w:r w:rsidR="00C667C1" w:rsidRPr="00554D11">
        <w:t>,</w:t>
      </w:r>
      <w:r w:rsidR="001A48B1" w:rsidRPr="00554D11">
        <w:t xml:space="preserve"> WEQ-004-2.3, which requires all e-Tagging communication to be secured by cer</w:t>
      </w:r>
      <w:r w:rsidR="00F44E0F" w:rsidRPr="00554D11">
        <w:t>t</w:t>
      </w:r>
      <w:r w:rsidR="001A48B1" w:rsidRPr="00554D11">
        <w:t xml:space="preserve">ifications issued by a NAESB </w:t>
      </w:r>
      <w:r w:rsidR="000C4BC6" w:rsidRPr="00554D11">
        <w:t>Certification Authority</w:t>
      </w:r>
      <w:r w:rsidR="001A48B1" w:rsidRPr="00554D11">
        <w:t>.  NAESB also includes modifi</w:t>
      </w:r>
      <w:r w:rsidRPr="00554D11">
        <w:t>cations to WEQ-000</w:t>
      </w:r>
      <w:r w:rsidR="001A48B1" w:rsidRPr="00554D11">
        <w:t xml:space="preserve"> for consistency purposes</w:t>
      </w:r>
      <w:r w:rsidR="00792A87" w:rsidRPr="00554D11">
        <w:t>.</w:t>
      </w:r>
    </w:p>
    <w:p w14:paraId="609BD9F0" w14:textId="6B6281BE" w:rsidR="007328FB" w:rsidRPr="00554D11" w:rsidRDefault="007035D2" w:rsidP="00554D11">
      <w:pPr>
        <w:pStyle w:val="FERCparanumber"/>
      </w:pPr>
      <w:r w:rsidRPr="00554D11">
        <w:t xml:space="preserve">In Order No. 676-H, the Commission incorporated by reference the WEQ-012 PKI Business Practice Standards.  In Version 003.1, NAESB has filed three modifications to support these standards, requesting that the Commission also incorporate by reference these modifications. </w:t>
      </w:r>
      <w:r w:rsidR="007328FB" w:rsidRPr="00554D11">
        <w:t xml:space="preserve"> </w:t>
      </w:r>
      <w:r w:rsidRPr="00554D11">
        <w:t xml:space="preserve">We propose to incorporate these </w:t>
      </w:r>
      <w:r w:rsidR="007328FB" w:rsidRPr="00554D11">
        <w:t xml:space="preserve">revised </w:t>
      </w:r>
      <w:r w:rsidRPr="00554D11">
        <w:t>s</w:t>
      </w:r>
      <w:r w:rsidR="00BB1823" w:rsidRPr="00554D11">
        <w:t>tandards</w:t>
      </w:r>
      <w:r w:rsidR="000C4BC6" w:rsidRPr="00554D11">
        <w:t xml:space="preserve"> </w:t>
      </w:r>
      <w:r w:rsidRPr="00554D11">
        <w:t xml:space="preserve">by reference </w:t>
      </w:r>
      <w:r w:rsidR="000C4BC6" w:rsidRPr="00554D11">
        <w:t>into the Commission’s regulations</w:t>
      </w:r>
      <w:r w:rsidR="00BB1823" w:rsidRPr="00554D11">
        <w:t xml:space="preserve">.  These </w:t>
      </w:r>
      <w:r w:rsidRPr="00554D11">
        <w:t xml:space="preserve">revised </w:t>
      </w:r>
      <w:r w:rsidR="00BB1823" w:rsidRPr="00554D11">
        <w:t xml:space="preserve">standards will require public utilities to conduct transactions securely when using the internet and will </w:t>
      </w:r>
      <w:r w:rsidR="002106C9" w:rsidRPr="00554D11">
        <w:t>eliminate</w:t>
      </w:r>
      <w:r w:rsidR="00436371" w:rsidRPr="00554D11">
        <w:t xml:space="preserve"> confusion over </w:t>
      </w:r>
      <w:r w:rsidR="002106C9" w:rsidRPr="00554D11">
        <w:t xml:space="preserve">which </w:t>
      </w:r>
      <w:r w:rsidR="00436371" w:rsidRPr="00554D11">
        <w:t xml:space="preserve">transactions </w:t>
      </w:r>
      <w:r w:rsidR="002106C9" w:rsidRPr="00554D11">
        <w:t>involving</w:t>
      </w:r>
      <w:r w:rsidR="00436371" w:rsidRPr="00554D11">
        <w:t xml:space="preserve"> public utilities </w:t>
      </w:r>
      <w:r w:rsidR="002106C9" w:rsidRPr="00554D11">
        <w:t xml:space="preserve">must follow the approved </w:t>
      </w:r>
      <w:r w:rsidR="00436371" w:rsidRPr="00554D11">
        <w:t xml:space="preserve">PKI </w:t>
      </w:r>
      <w:r w:rsidR="002106C9" w:rsidRPr="00554D11">
        <w:t xml:space="preserve">procedures </w:t>
      </w:r>
      <w:r w:rsidR="00436371" w:rsidRPr="00554D11">
        <w:t xml:space="preserve">to secure their transactions.  </w:t>
      </w:r>
      <w:r w:rsidRPr="00554D11">
        <w:t>The revisions support the NAESB Authorized Certification Authority (ACA) Certification Program and account for technological advances following the original adoption of the standards by NAESB.</w:t>
      </w:r>
      <w:r w:rsidR="00B54E9E" w:rsidRPr="00554D11">
        <w:rPr>
          <w:rStyle w:val="FootnoteReference"/>
        </w:rPr>
        <w:footnoteReference w:id="44"/>
      </w:r>
    </w:p>
    <w:p w14:paraId="0F9AFB97" w14:textId="77777777" w:rsidR="00A123E5" w:rsidRPr="00554D11" w:rsidRDefault="00386125" w:rsidP="00A27786">
      <w:pPr>
        <w:pStyle w:val="Heading2"/>
        <w:ind w:right="720"/>
      </w:pPr>
      <w:bookmarkStart w:id="38" w:name="_Toc441070585"/>
      <w:r w:rsidRPr="00554D11">
        <w:rPr>
          <w:u w:val="none"/>
        </w:rPr>
        <w:t>D.</w:t>
      </w:r>
      <w:r w:rsidRPr="00554D11">
        <w:rPr>
          <w:u w:val="none"/>
        </w:rPr>
        <w:tab/>
      </w:r>
      <w:r w:rsidR="00A123E5" w:rsidRPr="00554D11">
        <w:t>Implementation</w:t>
      </w:r>
      <w:bookmarkStart w:id="39" w:name="_bmk22"/>
      <w:bookmarkEnd w:id="38"/>
    </w:p>
    <w:bookmarkEnd w:id="39"/>
    <w:p w14:paraId="47B29A42" w14:textId="21A18610" w:rsidR="002511A5" w:rsidRPr="00554D11" w:rsidRDefault="00A123E5" w:rsidP="00554D11">
      <w:pPr>
        <w:pStyle w:val="FERCparanumber"/>
      </w:pPr>
      <w:r w:rsidRPr="00554D11">
        <w:t xml:space="preserve">Consistent with </w:t>
      </w:r>
      <w:r w:rsidR="002511A5" w:rsidRPr="00554D11">
        <w:t xml:space="preserve">the </w:t>
      </w:r>
      <w:r w:rsidR="00B70979" w:rsidRPr="00554D11">
        <w:t>policy that we introduced in Order No. 676-H,</w:t>
      </w:r>
      <w:r w:rsidR="002511A5" w:rsidRPr="00554D11">
        <w:rPr>
          <w:rStyle w:val="FootnoteReference"/>
        </w:rPr>
        <w:footnoteReference w:id="45"/>
      </w:r>
      <w:r w:rsidR="002511A5" w:rsidRPr="00554D11">
        <w:t xml:space="preserve"> we propose </w:t>
      </w:r>
      <w:r w:rsidR="003275AB" w:rsidRPr="00554D11">
        <w:t xml:space="preserve">upon issuance of a final rule, </w:t>
      </w:r>
      <w:r w:rsidR="002511A5" w:rsidRPr="00554D11">
        <w:t xml:space="preserve">to establish a specific date by which all public utilities must file compliance filings revising their tariffs to acknowledge their responsibility to comply with the revised standards.  </w:t>
      </w:r>
      <w:r w:rsidR="00914661" w:rsidRPr="00554D11">
        <w:t>In</w:t>
      </w:r>
      <w:r w:rsidR="00DF34D9" w:rsidRPr="00554D11">
        <w:t xml:space="preserve"> Order No. 676-H</w:t>
      </w:r>
      <w:r w:rsidR="00914661" w:rsidRPr="00554D11">
        <w:t>, we permitted</w:t>
      </w:r>
      <w:r w:rsidR="002511A5" w:rsidRPr="00554D11">
        <w:rPr>
          <w:rFonts w:eastAsiaTheme="minorEastAsia"/>
        </w:rPr>
        <w:t xml:space="preserve"> </w:t>
      </w:r>
      <w:r w:rsidR="002511A5" w:rsidRPr="00554D11">
        <w:t>public utilities that w</w:t>
      </w:r>
      <w:r w:rsidR="00DF34D9" w:rsidRPr="00554D11">
        <w:t>ish</w:t>
      </w:r>
      <w:r w:rsidR="002511A5" w:rsidRPr="00554D11">
        <w:t xml:space="preserve"> to </w:t>
      </w:r>
      <w:r w:rsidR="002511A5" w:rsidRPr="00554D11">
        <w:lastRenderedPageBreak/>
        <w:t xml:space="preserve">incorporate the complete set of NAESB standards into their tariffs without modification to </w:t>
      </w:r>
      <w:r w:rsidR="00914661" w:rsidRPr="00554D11">
        <w:t xml:space="preserve">avoid having to make future compliance filings by </w:t>
      </w:r>
      <w:r w:rsidR="002511A5" w:rsidRPr="00554D11">
        <w:t>specif</w:t>
      </w:r>
      <w:r w:rsidR="00A571F5" w:rsidRPr="00554D11">
        <w:t>y</w:t>
      </w:r>
      <w:r w:rsidR="00914661" w:rsidRPr="00554D11">
        <w:t>ing</w:t>
      </w:r>
      <w:r w:rsidR="002511A5" w:rsidRPr="00554D11">
        <w:t xml:space="preserve"> in their compliance filing that they are incorporating into their tariff all </w:t>
      </w:r>
      <w:r w:rsidR="00101878" w:rsidRPr="00554D11">
        <w:t xml:space="preserve">of </w:t>
      </w:r>
      <w:r w:rsidR="002511A5" w:rsidRPr="00554D11">
        <w:t>the standards incorporated by reference by the Commission as specified in Part 38 of the Commission’s Rules of Practice and Procedure as updated and revised.  Those public utilities that followed this approach after the issuance of Order No. 676-H will not need to make a compliance filing revising their tariff after issuance of a final rule in this proceeding</w:t>
      </w:r>
      <w:r w:rsidR="00914661" w:rsidRPr="00554D11">
        <w:t xml:space="preserve"> as long as they continue to incorporate </w:t>
      </w:r>
      <w:r w:rsidR="009F002D">
        <w:t xml:space="preserve">all of </w:t>
      </w:r>
      <w:r w:rsidR="00914661" w:rsidRPr="00554D11">
        <w:t>the standards without modification</w:t>
      </w:r>
      <w:r w:rsidR="002511A5" w:rsidRPr="00554D11">
        <w:t xml:space="preserve">.  </w:t>
      </w:r>
      <w:r w:rsidR="00914661" w:rsidRPr="00554D11">
        <w:t xml:space="preserve">Public utilities that have not availed themselves of this option in complying with Order No. 676-H </w:t>
      </w:r>
      <w:r w:rsidR="003275AB" w:rsidRPr="00554D11">
        <w:t>would be free to</w:t>
      </w:r>
      <w:r w:rsidR="00914661" w:rsidRPr="00554D11">
        <w:t xml:space="preserve"> do so in </w:t>
      </w:r>
      <w:r w:rsidR="003275AB" w:rsidRPr="00554D11">
        <w:t xml:space="preserve">complying with a final rule in </w:t>
      </w:r>
      <w:r w:rsidR="00101878" w:rsidRPr="00554D11">
        <w:t>this proceeding</w:t>
      </w:r>
      <w:r w:rsidR="00914661" w:rsidRPr="00554D11">
        <w:t>.</w:t>
      </w:r>
    </w:p>
    <w:p w14:paraId="29D4BDFB" w14:textId="77777777" w:rsidR="00A123E5" w:rsidRPr="00554D11" w:rsidRDefault="00386125" w:rsidP="00DD00E0">
      <w:pPr>
        <w:pStyle w:val="Heading1"/>
      </w:pPr>
      <w:bookmarkStart w:id="40" w:name="_Toc441070586"/>
      <w:r w:rsidRPr="00554D11">
        <w:rPr>
          <w:u w:val="none"/>
        </w:rPr>
        <w:t>III.</w:t>
      </w:r>
      <w:r w:rsidRPr="00554D11">
        <w:rPr>
          <w:u w:val="none"/>
        </w:rPr>
        <w:tab/>
      </w:r>
      <w:r w:rsidR="00A123E5" w:rsidRPr="00554D11">
        <w:t>Notice of Use of Voluntary Consensus Standards</w:t>
      </w:r>
      <w:bookmarkStart w:id="41" w:name="_bmk23"/>
      <w:bookmarkEnd w:id="40"/>
    </w:p>
    <w:bookmarkEnd w:id="41"/>
    <w:p w14:paraId="6188FE27" w14:textId="77777777" w:rsidR="00B62EFD" w:rsidRPr="00554D11" w:rsidRDefault="00A123E5" w:rsidP="00554D11">
      <w:pPr>
        <w:pStyle w:val="FERCparanumber"/>
      </w:pPr>
      <w:r w:rsidRPr="00554D11">
        <w:t>The NAESB WEQ Version 003</w:t>
      </w:r>
      <w:r w:rsidR="00CA130F" w:rsidRPr="00554D11">
        <w:t>.1</w:t>
      </w:r>
      <w:r w:rsidRPr="00554D11">
        <w:t xml:space="preserve"> Business Practice Standards were adopted by NAESB under NAESB's consensus procedures.</w:t>
      </w:r>
      <w:r w:rsidRPr="00554D11">
        <w:rPr>
          <w:rStyle w:val="FootnoteReference"/>
        </w:rPr>
        <w:footnoteReference w:id="46"/>
      </w:r>
      <w:r w:rsidRPr="00554D11">
        <w:t xml:space="preserve">  As the Commission found in Order No. 676, adoption of consensus standards is appropriate because the consensus process helps ensure the reasonableness of the standards by requiring that the standards draw support from a broad spectrum of all segments of the industry.  Moreover, since the industry itself has to conduct business under these standards, the Commission's regulations should reflect those standards that have the widest possible support.  In </w:t>
      </w:r>
      <w:r w:rsidRPr="00554D11">
        <w:lastRenderedPageBreak/>
        <w:t xml:space="preserve">section 12(d) of the National Technology Transfer and Advancement Act of 1995, Congress affirmatively requires federal agencies to use technical standards developed by voluntary consensus standards organizations, like NAESB, as </w:t>
      </w:r>
      <w:r w:rsidR="00EF7342" w:rsidRPr="00554D11">
        <w:t xml:space="preserve">a </w:t>
      </w:r>
      <w:r w:rsidRPr="00554D11">
        <w:t>means to carry out policy objectives or activities unless use of such standards would be inconsistent with applicable law or otherwise impractical.</w:t>
      </w:r>
      <w:r w:rsidRPr="00554D11">
        <w:rPr>
          <w:rStyle w:val="FootnoteReference"/>
        </w:rPr>
        <w:footnoteReference w:id="47"/>
      </w:r>
    </w:p>
    <w:p w14:paraId="5F8B124E" w14:textId="39D0B2D6" w:rsidR="00A123E5" w:rsidRPr="00554D11" w:rsidRDefault="00A123E5" w:rsidP="00554D11">
      <w:pPr>
        <w:pStyle w:val="FERCparanumber"/>
      </w:pPr>
      <w:r w:rsidRPr="00554D11">
        <w:t>Office of Management and Budget Circular A</w:t>
      </w:r>
      <w:r w:rsidRPr="00554D11">
        <w:noBreakHyphen/>
        <w:t>119 (section 11) (February 10, 1998) provides that Federal Agencies should publish a request for comment in a NOPR when the agency is seeking to issue or revise a regulation proposing to adopt a voluntary consensus standard or a government-unique standard.  In this NOPR, the Commission is proposing to incorporate by reference voluntary consensus standard</w:t>
      </w:r>
      <w:r w:rsidR="001B34E2" w:rsidRPr="00554D11">
        <w:t>s</w:t>
      </w:r>
      <w:r w:rsidRPr="00554D11">
        <w:t xml:space="preserve"> developed by the WEQ</w:t>
      </w:r>
      <w:r w:rsidR="001B34E2" w:rsidRPr="00554D11">
        <w:t xml:space="preserve"> of NAESB</w:t>
      </w:r>
      <w:r w:rsidRPr="00554D11">
        <w:t>.</w:t>
      </w:r>
    </w:p>
    <w:p w14:paraId="3018C915" w14:textId="77777777" w:rsidR="00C62BD5" w:rsidRPr="00554D11" w:rsidRDefault="00386125" w:rsidP="00C62BD5">
      <w:pPr>
        <w:pStyle w:val="Heading1"/>
      </w:pPr>
      <w:bookmarkStart w:id="42" w:name="_Toc441070587"/>
      <w:r w:rsidRPr="00554D11">
        <w:rPr>
          <w:u w:val="none"/>
        </w:rPr>
        <w:t>IV.</w:t>
      </w:r>
      <w:r w:rsidRPr="00554D11">
        <w:rPr>
          <w:u w:val="none"/>
        </w:rPr>
        <w:tab/>
      </w:r>
      <w:r w:rsidR="00C62BD5" w:rsidRPr="00554D11">
        <w:t>Incorporation By Reference</w:t>
      </w:r>
      <w:bookmarkStart w:id="43" w:name="_bmk24"/>
    </w:p>
    <w:bookmarkEnd w:id="43"/>
    <w:p w14:paraId="4F668322" w14:textId="1DD83429" w:rsidR="00D71482" w:rsidRPr="00E405D4" w:rsidRDefault="00C62BD5" w:rsidP="00412CFB">
      <w:pPr>
        <w:pStyle w:val="FERCparanumber"/>
        <w:rPr>
          <w:rFonts w:eastAsiaTheme="minorHAnsi"/>
          <w:szCs w:val="22"/>
        </w:rPr>
      </w:pPr>
      <w:r w:rsidRPr="00554D11">
        <w:t>The Office of the Federal Register requires agencies incorporating material by reference in final rules to discuss, in the preamble of the final rule, the ways that the materials it incorporates by reference are reasonably available to interested parties and how interested parties can obtain the materials.</w:t>
      </w:r>
      <w:r w:rsidRPr="00554D11">
        <w:rPr>
          <w:rStyle w:val="FootnoteReference"/>
        </w:rPr>
        <w:footnoteReference w:id="48"/>
      </w:r>
      <w:r w:rsidRPr="00554D11">
        <w:t xml:space="preserve">  The regulations also require agencies to summarize, in the preamble of the final rule, the material it incorporates by reference.</w:t>
      </w:r>
      <w:r w:rsidR="009A1917">
        <w:t xml:space="preserve">  </w:t>
      </w:r>
      <w:r w:rsidRPr="00554D11">
        <w:t xml:space="preserve">The NAESB standards </w:t>
      </w:r>
      <w:r w:rsidR="009450ED" w:rsidRPr="00554D11">
        <w:t>we are proposing to</w:t>
      </w:r>
      <w:r w:rsidRPr="00554D11">
        <w:t xml:space="preserve"> incorporate by reference in this Final Rule </w:t>
      </w:r>
      <w:r w:rsidR="00D71482" w:rsidRPr="00554D11">
        <w:t>c</w:t>
      </w:r>
      <w:r w:rsidRPr="00554D11">
        <w:t>a</w:t>
      </w:r>
      <w:r w:rsidR="00D71482" w:rsidRPr="00554D11">
        <w:t>n b</w:t>
      </w:r>
      <w:r w:rsidRPr="00554D11">
        <w:t xml:space="preserve">e summarized </w:t>
      </w:r>
      <w:r w:rsidR="00D71482" w:rsidRPr="00554D11">
        <w:t>as follows:</w:t>
      </w:r>
    </w:p>
    <w:p w14:paraId="77EFCF7D" w14:textId="447F4C43" w:rsidR="00D71482" w:rsidRPr="00554D11" w:rsidRDefault="00D71482" w:rsidP="00412CFB">
      <w:pPr>
        <w:pStyle w:val="ListParagraph"/>
        <w:numPr>
          <w:ilvl w:val="0"/>
          <w:numId w:val="106"/>
        </w:numPr>
        <w:spacing w:after="240" w:line="480" w:lineRule="auto"/>
        <w:rPr>
          <w:rFonts w:eastAsiaTheme="minorHAnsi"/>
          <w:szCs w:val="22"/>
        </w:rPr>
      </w:pPr>
      <w:r w:rsidRPr="00412CFB">
        <w:rPr>
          <w:rFonts w:eastAsiaTheme="minorHAnsi"/>
          <w:b/>
          <w:szCs w:val="22"/>
        </w:rPr>
        <w:lastRenderedPageBreak/>
        <w:t>Revisions to OASIS Standards</w:t>
      </w:r>
      <w:r w:rsidRPr="00554D11">
        <w:rPr>
          <w:rFonts w:eastAsiaTheme="minorHAnsi"/>
          <w:szCs w:val="22"/>
        </w:rPr>
        <w:t xml:space="preserve">. The </w:t>
      </w:r>
      <w:r w:rsidR="009A1917">
        <w:rPr>
          <w:rFonts w:eastAsiaTheme="minorHAnsi"/>
          <w:szCs w:val="22"/>
        </w:rPr>
        <w:t>Version 003.1</w:t>
      </w:r>
      <w:r w:rsidRPr="00554D11">
        <w:rPr>
          <w:rFonts w:eastAsiaTheme="minorHAnsi"/>
          <w:szCs w:val="22"/>
        </w:rPr>
        <w:t>standards include revisions to six OASIS-related standards made to conform to directives and guidance provided by the Commission in Order Nos. 676-E, 676-H, and 890.  In addition, NAESB modified WEQ-001 and WEQ-013 to require resellers to enter off-OASIS resale transactions into OASIS</w:t>
      </w:r>
      <w:r w:rsidR="009A1917">
        <w:rPr>
          <w:rFonts w:eastAsiaTheme="minorHAnsi"/>
          <w:szCs w:val="22"/>
        </w:rPr>
        <w:t xml:space="preserve"> sites </w:t>
      </w:r>
      <w:r w:rsidRPr="00554D11">
        <w:rPr>
          <w:rFonts w:eastAsiaTheme="minorHAnsi"/>
          <w:szCs w:val="22"/>
        </w:rPr>
        <w:t>in the “accepted” status to provide the assignee of the resale the opportunity to confirm the transaction on the OASIS and revised WEQ-002-4.3.6.2 to allow for the unmasking of the source and sink of a request for transmission when that request is moved to any final state.  Finally, NAESB modified WEQ-001, WEQ-003, and WEQ-013 to be consistent with the Commission’s treatment of Data Universal Numbering System (DUNS) numbers.</w:t>
      </w:r>
    </w:p>
    <w:p w14:paraId="45F7DDE7" w14:textId="70031DD2" w:rsidR="00D71482" w:rsidRPr="00554D11" w:rsidRDefault="00D71482" w:rsidP="00412CFB">
      <w:pPr>
        <w:pStyle w:val="ListParagraph"/>
        <w:widowControl/>
        <w:numPr>
          <w:ilvl w:val="0"/>
          <w:numId w:val="106"/>
        </w:numPr>
        <w:autoSpaceDE/>
        <w:autoSpaceDN/>
        <w:adjustRightInd/>
        <w:spacing w:after="200" w:line="480" w:lineRule="auto"/>
        <w:rPr>
          <w:rFonts w:eastAsiaTheme="minorHAnsi"/>
          <w:szCs w:val="22"/>
        </w:rPr>
      </w:pPr>
      <w:r w:rsidRPr="00412CFB">
        <w:rPr>
          <w:rFonts w:eastAsiaTheme="minorHAnsi"/>
          <w:b/>
          <w:szCs w:val="22"/>
        </w:rPr>
        <w:t>Revisions to NERC-Related Standards</w:t>
      </w:r>
      <w:r w:rsidRPr="00554D11">
        <w:rPr>
          <w:rFonts w:eastAsiaTheme="minorHAnsi"/>
          <w:szCs w:val="22"/>
        </w:rPr>
        <w:t>.  NAESB modified existing standards and developed new standards based on developments involving NERC.  In addition, NAESB has adopted revisions to NAESB standards that need to match up with NERC’s Interchange Scheduling and Coordination (INT) Reliability Standards</w:t>
      </w:r>
      <w:r w:rsidR="00A22D4B">
        <w:rPr>
          <w:rFonts w:eastAsiaTheme="minorHAnsi"/>
          <w:szCs w:val="22"/>
        </w:rPr>
        <w:t>.</w:t>
      </w:r>
      <w:r w:rsidR="00A22D4B" w:rsidRPr="00A22D4B">
        <w:rPr>
          <w:rFonts w:eastAsiaTheme="minorHAnsi"/>
          <w:szCs w:val="22"/>
        </w:rPr>
        <w:t xml:space="preserve"> </w:t>
      </w:r>
      <w:r w:rsidR="00A22D4B">
        <w:rPr>
          <w:rFonts w:eastAsiaTheme="minorHAnsi"/>
          <w:szCs w:val="22"/>
        </w:rPr>
        <w:t xml:space="preserve"> The Commission is proposing to incorporate by reference the WEQ-022 standards and the standards relating to NERC’s INT standards</w:t>
      </w:r>
      <w:r w:rsidRPr="00554D11">
        <w:rPr>
          <w:rFonts w:eastAsiaTheme="minorHAnsi"/>
          <w:szCs w:val="22"/>
        </w:rPr>
        <w:t>.</w:t>
      </w:r>
      <w:r w:rsidR="008A6D16">
        <w:rPr>
          <w:rStyle w:val="FootnoteReference"/>
          <w:rFonts w:eastAsiaTheme="minorHAnsi"/>
        </w:rPr>
        <w:footnoteReference w:id="49"/>
      </w:r>
    </w:p>
    <w:p w14:paraId="5108CB8C" w14:textId="629D76F6" w:rsidR="00D71482" w:rsidRPr="00554D11" w:rsidRDefault="00D71482" w:rsidP="00412CFB">
      <w:pPr>
        <w:pStyle w:val="ListParagraph"/>
        <w:widowControl/>
        <w:numPr>
          <w:ilvl w:val="0"/>
          <w:numId w:val="106"/>
        </w:numPr>
        <w:autoSpaceDE/>
        <w:autoSpaceDN/>
        <w:adjustRightInd/>
        <w:spacing w:after="200" w:line="480" w:lineRule="auto"/>
        <w:rPr>
          <w:rFonts w:eastAsiaTheme="minorHAnsi"/>
          <w:szCs w:val="22"/>
        </w:rPr>
      </w:pPr>
      <w:r w:rsidRPr="00412CFB">
        <w:rPr>
          <w:rFonts w:eastAsiaTheme="minorHAnsi"/>
          <w:b/>
          <w:szCs w:val="22"/>
        </w:rPr>
        <w:t>Standards Development</w:t>
      </w:r>
      <w:r w:rsidRPr="00554D11">
        <w:rPr>
          <w:rFonts w:eastAsiaTheme="minorHAnsi"/>
          <w:szCs w:val="22"/>
        </w:rPr>
        <w:t>.  NAESB also modified four additional standards in the course of normal standards development.  In response to Order No. 764, N</w:t>
      </w:r>
      <w:r w:rsidR="009A1917">
        <w:rPr>
          <w:rFonts w:eastAsiaTheme="minorHAnsi"/>
          <w:szCs w:val="22"/>
        </w:rPr>
        <w:t>A</w:t>
      </w:r>
      <w:r w:rsidRPr="00554D11">
        <w:rPr>
          <w:rFonts w:eastAsiaTheme="minorHAnsi"/>
          <w:szCs w:val="22"/>
        </w:rPr>
        <w:t xml:space="preserve">ESB modified WEQ-004 to provide for the scheduling of interchange in 15-minute </w:t>
      </w:r>
      <w:r w:rsidRPr="00554D11">
        <w:rPr>
          <w:rFonts w:eastAsiaTheme="minorHAnsi"/>
          <w:szCs w:val="22"/>
        </w:rPr>
        <w:lastRenderedPageBreak/>
        <w:t>intervals and modified WEQ-019 to ensure consistency between WEQ Business Practice Standards and other standards organizations’ standards.  Additionally, NAESB modified WEQ-000 to harmonize definitions with NAESB Retail Market Quadrant efforts.</w:t>
      </w:r>
    </w:p>
    <w:p w14:paraId="59759186" w14:textId="223FED23" w:rsidR="00D71482" w:rsidRPr="00554D11" w:rsidRDefault="00D71482" w:rsidP="00412CFB">
      <w:pPr>
        <w:pStyle w:val="ListParagraph"/>
        <w:widowControl/>
        <w:numPr>
          <w:ilvl w:val="0"/>
          <w:numId w:val="106"/>
        </w:numPr>
        <w:autoSpaceDE/>
        <w:autoSpaceDN/>
        <w:adjustRightInd/>
        <w:spacing w:after="200" w:line="480" w:lineRule="auto"/>
        <w:rPr>
          <w:rFonts w:eastAsiaTheme="minorHAnsi"/>
          <w:szCs w:val="22"/>
        </w:rPr>
      </w:pPr>
      <w:r w:rsidRPr="00412CFB">
        <w:rPr>
          <w:rFonts w:eastAsiaTheme="minorHAnsi"/>
          <w:b/>
          <w:szCs w:val="22"/>
        </w:rPr>
        <w:t>PKI Modifications</w:t>
      </w:r>
      <w:r w:rsidRPr="00554D11">
        <w:rPr>
          <w:rFonts w:eastAsiaTheme="minorHAnsi"/>
          <w:szCs w:val="22"/>
        </w:rPr>
        <w:t>.  The standards include additional PKI modifications to WEQ-002, WEQ-004, and WEQ-012 to support the NAESB Authorized Certification Authority (Certification Authority) Certification Program and to account for technological advances.</w:t>
      </w:r>
    </w:p>
    <w:p w14:paraId="3D5FCE1E" w14:textId="301B969A" w:rsidR="00D71482" w:rsidRPr="00412CFB" w:rsidRDefault="00D71482" w:rsidP="00412CFB">
      <w:pPr>
        <w:pStyle w:val="ListParagraph"/>
        <w:widowControl/>
        <w:numPr>
          <w:ilvl w:val="0"/>
          <w:numId w:val="106"/>
        </w:numPr>
        <w:autoSpaceDE/>
        <w:autoSpaceDN/>
        <w:adjustRightInd/>
        <w:spacing w:after="200" w:line="480" w:lineRule="auto"/>
        <w:rPr>
          <w:rFonts w:eastAsiaTheme="minorHAnsi"/>
          <w:szCs w:val="22"/>
        </w:rPr>
      </w:pPr>
      <w:r w:rsidRPr="00412CFB">
        <w:rPr>
          <w:rFonts w:eastAsiaTheme="minorHAnsi"/>
          <w:b/>
          <w:szCs w:val="22"/>
        </w:rPr>
        <w:t>Minor Corrections</w:t>
      </w:r>
      <w:r w:rsidRPr="00554D11">
        <w:rPr>
          <w:rFonts w:eastAsiaTheme="minorHAnsi"/>
          <w:szCs w:val="22"/>
        </w:rPr>
        <w:t>.  Under its process to make necessary minor corrections to its standards, when needed, the WEQ Version 003.1 Business Practice Standards include seven new minor corrections made by NAESB.</w:t>
      </w:r>
    </w:p>
    <w:p w14:paraId="799AEFFE" w14:textId="51EBFE69" w:rsidR="009450ED" w:rsidRPr="00554D11" w:rsidRDefault="00C62BD5" w:rsidP="00554D11">
      <w:pPr>
        <w:pStyle w:val="FERCparanumber"/>
      </w:pPr>
      <w:r w:rsidRPr="00554D11">
        <w:t xml:space="preserve">Our regulations provide that copies of the NAESB standards incorporated by reference may be obtained from the North American Energy Standards Board, </w:t>
      </w:r>
      <w:r w:rsidR="00C8145A">
        <w:t xml:space="preserve">            </w:t>
      </w:r>
      <w:r w:rsidRPr="00554D11">
        <w:t xml:space="preserve">801 Travis Street, Suite 1675, Houston, TX 77002, Phone:  (713) 356–0060.  NAESB’s Web site is </w:t>
      </w:r>
      <w:r w:rsidR="009A1917">
        <w:t xml:space="preserve">located </w:t>
      </w:r>
      <w:r w:rsidRPr="00554D11">
        <w:t xml:space="preserve">at </w:t>
      </w:r>
      <w:hyperlink r:id="rId15" w:history="1">
        <w:r w:rsidR="005266EE" w:rsidRPr="00C8145A">
          <w:rPr>
            <w:rStyle w:val="Hyperlink"/>
            <w:u w:val="none"/>
          </w:rPr>
          <w:t>http://www.naesb.org/</w:t>
        </w:r>
      </w:hyperlink>
      <w:r w:rsidRPr="00554D11">
        <w:t xml:space="preserve">.  Copies </w:t>
      </w:r>
      <w:r w:rsidR="009A1917">
        <w:t xml:space="preserve">of the standards </w:t>
      </w:r>
      <w:r w:rsidRPr="00554D11">
        <w:t xml:space="preserve">may be inspected at the Federal Energy Regulatory Commission, Public Reference and Files Maintenance Branch, 888 First Street, NE, Washington, DC 20426, Phone:  (202) 502–8371, </w:t>
      </w:r>
      <w:hyperlink r:id="rId16" w:history="1">
        <w:r w:rsidRPr="00C8145A">
          <w:rPr>
            <w:color w:val="0000FF"/>
          </w:rPr>
          <w:t>http://www.ferc.gov</w:t>
        </w:r>
      </w:hyperlink>
      <w:r w:rsidRPr="00554D11">
        <w:t>.</w:t>
      </w:r>
      <w:r w:rsidRPr="00554D11">
        <w:rPr>
          <w:rStyle w:val="FootnoteReference"/>
        </w:rPr>
        <w:footnoteReference w:id="50"/>
      </w:r>
    </w:p>
    <w:p w14:paraId="7A5ED7BA" w14:textId="239333F9" w:rsidR="00C62BD5" w:rsidRPr="00554D11" w:rsidRDefault="009450ED" w:rsidP="00554D11">
      <w:pPr>
        <w:pStyle w:val="FERCparanumber"/>
      </w:pPr>
      <w:r w:rsidRPr="00554D11">
        <w:t xml:space="preserve">NAESB is a private consensus standards developer that develops voluntary wholesale and retail standards related to the energy industry.  The procedures used </w:t>
      </w:r>
      <w:r w:rsidR="00C62BD5" w:rsidRPr="00554D11">
        <w:t xml:space="preserve">by </w:t>
      </w:r>
      <w:r w:rsidR="00C62BD5" w:rsidRPr="00554D11">
        <w:lastRenderedPageBreak/>
        <w:t>NAESB make its standards reasonably available to those affected by the Commission regulations</w:t>
      </w:r>
      <w:r w:rsidRPr="00554D11">
        <w:t>, which generally is comprised of entities that have the means to acquire the information they need to effectively participate in Commission proceedings</w:t>
      </w:r>
      <w:r w:rsidR="00C62BD5" w:rsidRPr="00554D11">
        <w:t>.</w:t>
      </w:r>
      <w:r w:rsidR="00C62BD5" w:rsidRPr="00554D11">
        <w:rPr>
          <w:rStyle w:val="FootnoteReference"/>
        </w:rPr>
        <w:footnoteReference w:id="51"/>
      </w:r>
      <w:r w:rsidR="00C62BD5" w:rsidRPr="00554D11">
        <w:t xml:space="preserve">  </w:t>
      </w:r>
      <w:r w:rsidR="003275AB" w:rsidRPr="00554D11">
        <w:t>NAESB provides a free electronic read-only version of the standards for a three business day period or, in the case of a regulatory comment period, through the end of the comment period.</w:t>
      </w:r>
      <w:r w:rsidR="003275AB" w:rsidRPr="00554D11">
        <w:rPr>
          <w:rStyle w:val="FootnoteReference"/>
        </w:rPr>
        <w:footnoteReference w:id="52"/>
      </w:r>
      <w:r w:rsidR="003275AB" w:rsidRPr="00554D11">
        <w:t xml:space="preserve">  </w:t>
      </w:r>
      <w:r w:rsidR="00C62BD5" w:rsidRPr="00554D11">
        <w:t xml:space="preserve">Participants can join NAESB, for an annual membership cost of $7,000, which entitles them to full participation in NAESB and enables them to obtain these standards at no </w:t>
      </w:r>
      <w:r w:rsidRPr="00554D11">
        <w:t xml:space="preserve">additional </w:t>
      </w:r>
      <w:r w:rsidR="00C62BD5" w:rsidRPr="00554D11">
        <w:t>cost.</w:t>
      </w:r>
      <w:r w:rsidR="00C62BD5" w:rsidRPr="00554D11">
        <w:rPr>
          <w:rStyle w:val="FootnoteReference"/>
        </w:rPr>
        <w:footnoteReference w:id="53"/>
      </w:r>
      <w:r w:rsidR="00C62BD5" w:rsidRPr="00554D11">
        <w:t xml:space="preserve">  Non-members may obtain </w:t>
      </w:r>
      <w:r w:rsidR="003275AB" w:rsidRPr="00554D11">
        <w:t>a</w:t>
      </w:r>
      <w:r w:rsidR="00C62BD5" w:rsidRPr="00554D11">
        <w:t xml:space="preserve"> complete set of Standards Manuals, Booklets, and Contracts on CD for $2,000</w:t>
      </w:r>
      <w:r w:rsidR="00E73301" w:rsidRPr="00554D11">
        <w:t xml:space="preserve"> and the Individual Standards Manual or Booklets for each standard by email for $250 per manual or booklet</w:t>
      </w:r>
      <w:r w:rsidR="00C62BD5" w:rsidRPr="00554D11">
        <w:t>.</w:t>
      </w:r>
      <w:r w:rsidR="00572819" w:rsidRPr="00554D11">
        <w:rPr>
          <w:rStyle w:val="FootnoteReference"/>
        </w:rPr>
        <w:footnoteReference w:id="54"/>
      </w:r>
      <w:r w:rsidR="00C62BD5" w:rsidRPr="00554D11">
        <w:t xml:space="preserve">  In addition, NAESB considers requests for waivers of the charges on a case by case basis based on need.</w:t>
      </w:r>
    </w:p>
    <w:p w14:paraId="754A2901" w14:textId="6C8082AD" w:rsidR="00A123E5" w:rsidRPr="00554D11" w:rsidRDefault="00C62BD5" w:rsidP="00DD00E0">
      <w:pPr>
        <w:pStyle w:val="Heading1"/>
      </w:pPr>
      <w:r w:rsidRPr="00554D11">
        <w:rPr>
          <w:u w:val="none"/>
        </w:rPr>
        <w:lastRenderedPageBreak/>
        <w:t>V.</w:t>
      </w:r>
      <w:r w:rsidRPr="00554D11">
        <w:rPr>
          <w:u w:val="none"/>
        </w:rPr>
        <w:tab/>
      </w:r>
      <w:r w:rsidR="00A123E5" w:rsidRPr="00554D11">
        <w:t>Information Collection Statement</w:t>
      </w:r>
      <w:bookmarkStart w:id="44" w:name="_bmk25"/>
      <w:bookmarkEnd w:id="42"/>
    </w:p>
    <w:bookmarkEnd w:id="44"/>
    <w:p w14:paraId="3913F011" w14:textId="7EFF3E23" w:rsidR="00A123E5" w:rsidRPr="00554D11" w:rsidRDefault="00A123E5" w:rsidP="00554D11">
      <w:pPr>
        <w:pStyle w:val="FERCparanumber"/>
      </w:pPr>
      <w:r w:rsidRPr="00554D11">
        <w:t>The following collection of information contained in this proposed rule is subject to review by the Office of Management and Budget (OMB) under section 3507(d) of the Paperwork Reduction Act of 1995, 44 U.S.C. 3507(d).</w:t>
      </w:r>
      <w:r w:rsidR="0071566B" w:rsidRPr="00554D11">
        <w:rPr>
          <w:rStyle w:val="FootnoteReference"/>
        </w:rPr>
        <w:footnoteReference w:id="55"/>
      </w:r>
      <w:r w:rsidRPr="00554D11">
        <w:t xml:space="preserve">  </w:t>
      </w:r>
      <w:r w:rsidRPr="00554D11">
        <w:rPr>
          <w:szCs w:val="26"/>
        </w:rPr>
        <w:t>OMB’s regulations require approval of certain information collection requirements imposed by agency rules.</w:t>
      </w:r>
      <w:r w:rsidRPr="00554D11">
        <w:rPr>
          <w:rStyle w:val="FootnoteReference"/>
        </w:rPr>
        <w:footnoteReference w:id="56"/>
      </w:r>
      <w:r w:rsidRPr="00554D11">
        <w:rPr>
          <w:szCs w:val="26"/>
        </w:rPr>
        <w:t xml:space="preserve">  Upon approval of a collection(s) of information, OMB will assign an OMB control number and an expiration date</w:t>
      </w:r>
      <w:r w:rsidRPr="00554D11">
        <w:t>.  Respondents subject to the filing requirements of this rule will not be penalized for failing to respond to these collections of information unless the collections of information display a valid OMB control number.</w:t>
      </w:r>
    </w:p>
    <w:p w14:paraId="4CED9ACF" w14:textId="77777777" w:rsidR="00A123E5" w:rsidRPr="00554D11" w:rsidRDefault="00A123E5" w:rsidP="00554D11">
      <w:pPr>
        <w:pStyle w:val="FERCparanumber"/>
      </w:pPr>
      <w:r w:rsidRPr="00554D11">
        <w:t>The Commission solicits comments on the Commission's need for this information, whether the information will have practical utility, the accuracy of the provided burden estimates, ways to enhance the quality, utility, and clarity of the information to be collected, and any suggested methods for minimizing respondents’ burden, including the use of automated information techniques.</w:t>
      </w:r>
    </w:p>
    <w:p w14:paraId="295CC345" w14:textId="29B7C7C9" w:rsidR="003C4C22" w:rsidRPr="00554D11" w:rsidRDefault="00A123E5" w:rsidP="00554D11">
      <w:pPr>
        <w:pStyle w:val="FERCparanumber"/>
      </w:pPr>
      <w:r w:rsidRPr="00554D11">
        <w:t>The following burden estimate is based on the projected costs for the industry to implement the new and revised business practice standards adopted by NAESB and proposed to be incorporated by reference in this NOPR.</w:t>
      </w:r>
      <w:r w:rsidR="003C4C22" w:rsidRPr="00554D11">
        <w:rPr>
          <w:rStyle w:val="FootnoteReference"/>
        </w:rPr>
        <w:footnoteReference w:id="57"/>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4"/>
        <w:gridCol w:w="1674"/>
        <w:gridCol w:w="1584"/>
        <w:gridCol w:w="1476"/>
        <w:gridCol w:w="1584"/>
        <w:gridCol w:w="1638"/>
      </w:tblGrid>
      <w:tr w:rsidR="003C4C22" w:rsidRPr="00554D11" w14:paraId="260FE3AB" w14:textId="77777777" w:rsidTr="003275AB">
        <w:trPr>
          <w:cantSplit/>
        </w:trPr>
        <w:tc>
          <w:tcPr>
            <w:tcW w:w="9540" w:type="dxa"/>
            <w:gridSpan w:val="6"/>
            <w:tcBorders>
              <w:bottom w:val="single" w:sz="4" w:space="0" w:color="auto"/>
            </w:tcBorders>
            <w:shd w:val="clear" w:color="auto" w:fill="D9D9D9"/>
          </w:tcPr>
          <w:p w14:paraId="66BBFD30" w14:textId="03617F3A" w:rsidR="003C4C22" w:rsidRPr="00554D11" w:rsidRDefault="003C4C22" w:rsidP="003275AB">
            <w:pPr>
              <w:keepNext/>
              <w:tabs>
                <w:tab w:val="num" w:pos="720"/>
              </w:tabs>
              <w:jc w:val="center"/>
              <w:rPr>
                <w:b/>
                <w:szCs w:val="26"/>
              </w:rPr>
            </w:pPr>
            <w:r w:rsidRPr="00554D11">
              <w:rPr>
                <w:b/>
                <w:szCs w:val="26"/>
              </w:rPr>
              <w:lastRenderedPageBreak/>
              <w:t>Revisions in NOPR in RM05-5-025</w:t>
            </w:r>
          </w:p>
          <w:p w14:paraId="54ED1372" w14:textId="77777777" w:rsidR="003C4C22" w:rsidRPr="00554D11" w:rsidRDefault="003C4C22" w:rsidP="003275AB">
            <w:pPr>
              <w:keepNext/>
              <w:tabs>
                <w:tab w:val="num" w:pos="720"/>
              </w:tabs>
              <w:jc w:val="center"/>
              <w:rPr>
                <w:rFonts w:eastAsia="Calibri"/>
                <w:b/>
                <w:szCs w:val="26"/>
              </w:rPr>
            </w:pPr>
          </w:p>
        </w:tc>
      </w:tr>
      <w:tr w:rsidR="003C4C22" w:rsidRPr="00554D11" w14:paraId="0647847E" w14:textId="77777777" w:rsidTr="003275AB">
        <w:trPr>
          <w:cantSplit/>
        </w:trPr>
        <w:tc>
          <w:tcPr>
            <w:tcW w:w="1584" w:type="dxa"/>
            <w:shd w:val="clear" w:color="auto" w:fill="D9D9D9"/>
          </w:tcPr>
          <w:p w14:paraId="4A9DD623" w14:textId="77777777" w:rsidR="003C4C22" w:rsidRPr="00554D11" w:rsidRDefault="003C4C22" w:rsidP="003275AB">
            <w:pPr>
              <w:keepNext/>
              <w:tabs>
                <w:tab w:val="num" w:pos="720"/>
              </w:tabs>
              <w:jc w:val="center"/>
              <w:rPr>
                <w:rFonts w:eastAsia="Calibri"/>
                <w:b/>
                <w:szCs w:val="26"/>
              </w:rPr>
            </w:pPr>
          </w:p>
        </w:tc>
        <w:tc>
          <w:tcPr>
            <w:tcW w:w="1674" w:type="dxa"/>
            <w:shd w:val="clear" w:color="auto" w:fill="D9D9D9"/>
            <w:vAlign w:val="bottom"/>
          </w:tcPr>
          <w:p w14:paraId="0BD0F055" w14:textId="4E5A9076" w:rsidR="00554D11" w:rsidRPr="00554D11" w:rsidRDefault="003C4C22" w:rsidP="003275AB">
            <w:pPr>
              <w:keepNext/>
              <w:tabs>
                <w:tab w:val="num" w:pos="720"/>
              </w:tabs>
              <w:jc w:val="center"/>
              <w:rPr>
                <w:rFonts w:eastAsia="Calibri"/>
                <w:b/>
                <w:szCs w:val="26"/>
              </w:rPr>
            </w:pPr>
            <w:r w:rsidRPr="00554D11">
              <w:rPr>
                <w:rFonts w:eastAsia="Calibri"/>
                <w:b/>
                <w:szCs w:val="26"/>
              </w:rPr>
              <w:t>No. of Respondents</w:t>
            </w:r>
          </w:p>
          <w:p w14:paraId="242CCD57" w14:textId="08C86B81" w:rsidR="003C4C22" w:rsidRPr="00554D11" w:rsidRDefault="003C4C22" w:rsidP="003275AB">
            <w:pPr>
              <w:keepNext/>
              <w:tabs>
                <w:tab w:val="num" w:pos="720"/>
              </w:tabs>
              <w:jc w:val="center"/>
              <w:rPr>
                <w:rFonts w:eastAsia="Calibri"/>
                <w:b/>
                <w:szCs w:val="26"/>
              </w:rPr>
            </w:pPr>
            <w:r w:rsidRPr="00554D11">
              <w:rPr>
                <w:rFonts w:eastAsia="Calibri"/>
                <w:b/>
                <w:szCs w:val="26"/>
              </w:rPr>
              <w:t>(1)</w:t>
            </w:r>
          </w:p>
        </w:tc>
        <w:tc>
          <w:tcPr>
            <w:tcW w:w="1584" w:type="dxa"/>
            <w:shd w:val="clear" w:color="auto" w:fill="D9D9D9"/>
            <w:vAlign w:val="bottom"/>
          </w:tcPr>
          <w:p w14:paraId="65CE472A" w14:textId="77777777" w:rsidR="003C4C22" w:rsidRPr="00554D11" w:rsidRDefault="003C4C22" w:rsidP="003275AB">
            <w:pPr>
              <w:keepNext/>
              <w:tabs>
                <w:tab w:val="num" w:pos="720"/>
              </w:tabs>
              <w:jc w:val="center"/>
              <w:rPr>
                <w:rFonts w:eastAsia="Calibri"/>
                <w:b/>
                <w:szCs w:val="26"/>
              </w:rPr>
            </w:pPr>
            <w:r w:rsidRPr="00554D11">
              <w:rPr>
                <w:rFonts w:eastAsia="Calibri"/>
                <w:b/>
                <w:szCs w:val="26"/>
              </w:rPr>
              <w:t>Annual No. of Responses Per Respondent</w:t>
            </w:r>
          </w:p>
          <w:p w14:paraId="358CF7D1" w14:textId="77777777" w:rsidR="003C4C22" w:rsidRPr="00554D11" w:rsidRDefault="003C4C22" w:rsidP="003275AB">
            <w:pPr>
              <w:keepNext/>
              <w:tabs>
                <w:tab w:val="num" w:pos="720"/>
              </w:tabs>
              <w:jc w:val="center"/>
              <w:rPr>
                <w:rFonts w:eastAsia="Calibri"/>
                <w:b/>
                <w:szCs w:val="26"/>
              </w:rPr>
            </w:pPr>
            <w:r w:rsidRPr="00554D11">
              <w:rPr>
                <w:rFonts w:eastAsia="Calibri"/>
                <w:b/>
                <w:szCs w:val="26"/>
              </w:rPr>
              <w:t>(2)</w:t>
            </w:r>
          </w:p>
        </w:tc>
        <w:tc>
          <w:tcPr>
            <w:tcW w:w="1476" w:type="dxa"/>
            <w:shd w:val="clear" w:color="auto" w:fill="D9D9D9"/>
            <w:vAlign w:val="bottom"/>
          </w:tcPr>
          <w:p w14:paraId="7C0BD36E" w14:textId="77777777" w:rsidR="003C4C22" w:rsidRPr="00554D11" w:rsidRDefault="003C4C22" w:rsidP="003275AB">
            <w:pPr>
              <w:keepNext/>
              <w:tabs>
                <w:tab w:val="num" w:pos="720"/>
              </w:tabs>
              <w:jc w:val="center"/>
              <w:rPr>
                <w:rFonts w:eastAsia="Calibri"/>
                <w:b/>
                <w:szCs w:val="26"/>
              </w:rPr>
            </w:pPr>
            <w:r w:rsidRPr="00554D11">
              <w:rPr>
                <w:rFonts w:eastAsia="Calibri"/>
                <w:b/>
                <w:szCs w:val="26"/>
              </w:rPr>
              <w:t>Total No. of Responses (1)*(2)=(3)</w:t>
            </w:r>
          </w:p>
        </w:tc>
        <w:tc>
          <w:tcPr>
            <w:tcW w:w="1584" w:type="dxa"/>
            <w:shd w:val="clear" w:color="auto" w:fill="D9D9D9"/>
            <w:vAlign w:val="bottom"/>
          </w:tcPr>
          <w:p w14:paraId="6CBB203D" w14:textId="77777777" w:rsidR="003C4C22" w:rsidRPr="00554D11" w:rsidRDefault="003C4C22" w:rsidP="003275AB">
            <w:pPr>
              <w:keepNext/>
              <w:tabs>
                <w:tab w:val="num" w:pos="720"/>
              </w:tabs>
              <w:jc w:val="center"/>
              <w:rPr>
                <w:rFonts w:eastAsia="Calibri"/>
                <w:b/>
                <w:szCs w:val="26"/>
              </w:rPr>
            </w:pPr>
            <w:r w:rsidRPr="00554D11">
              <w:rPr>
                <w:rFonts w:eastAsia="Calibri"/>
                <w:b/>
                <w:szCs w:val="26"/>
              </w:rPr>
              <w:t>Average Burden (Hrs.) &amp; Cost ($) Per Response</w:t>
            </w:r>
          </w:p>
          <w:p w14:paraId="61D0B8F9" w14:textId="77777777" w:rsidR="003C4C22" w:rsidRPr="00554D11" w:rsidRDefault="003C4C22" w:rsidP="003275AB">
            <w:pPr>
              <w:keepNext/>
              <w:tabs>
                <w:tab w:val="num" w:pos="720"/>
              </w:tabs>
              <w:jc w:val="center"/>
              <w:rPr>
                <w:rFonts w:eastAsia="Calibri"/>
                <w:b/>
                <w:szCs w:val="26"/>
              </w:rPr>
            </w:pPr>
            <w:r w:rsidRPr="00554D11">
              <w:rPr>
                <w:rFonts w:eastAsia="Calibri"/>
                <w:b/>
                <w:szCs w:val="26"/>
              </w:rPr>
              <w:t>(4)</w:t>
            </w:r>
          </w:p>
        </w:tc>
        <w:tc>
          <w:tcPr>
            <w:tcW w:w="1638" w:type="dxa"/>
            <w:shd w:val="clear" w:color="auto" w:fill="D9D9D9"/>
            <w:vAlign w:val="bottom"/>
          </w:tcPr>
          <w:p w14:paraId="1F550931" w14:textId="77777777" w:rsidR="003C4C22" w:rsidRPr="00554D11" w:rsidRDefault="003C4C22" w:rsidP="003275AB">
            <w:pPr>
              <w:keepNext/>
              <w:tabs>
                <w:tab w:val="num" w:pos="720"/>
              </w:tabs>
              <w:jc w:val="center"/>
              <w:rPr>
                <w:rFonts w:eastAsia="Calibri"/>
                <w:b/>
                <w:szCs w:val="26"/>
              </w:rPr>
            </w:pPr>
            <w:r w:rsidRPr="00554D11">
              <w:rPr>
                <w:rFonts w:eastAsia="Calibri"/>
                <w:b/>
                <w:szCs w:val="26"/>
              </w:rPr>
              <w:t>Total Annual Burden Hrs. &amp; Total Annual Cost ($)</w:t>
            </w:r>
          </w:p>
          <w:p w14:paraId="1C4E6363" w14:textId="77777777" w:rsidR="003C4C22" w:rsidRPr="00554D11" w:rsidRDefault="003C4C22" w:rsidP="003275AB">
            <w:pPr>
              <w:keepNext/>
              <w:tabs>
                <w:tab w:val="num" w:pos="720"/>
              </w:tabs>
              <w:jc w:val="center"/>
              <w:rPr>
                <w:rFonts w:eastAsia="Calibri"/>
                <w:b/>
                <w:szCs w:val="26"/>
              </w:rPr>
            </w:pPr>
            <w:r w:rsidRPr="00554D11">
              <w:rPr>
                <w:rFonts w:eastAsia="Calibri"/>
                <w:b/>
                <w:szCs w:val="26"/>
              </w:rPr>
              <w:t>(3)*(4)=(5)</w:t>
            </w:r>
          </w:p>
        </w:tc>
      </w:tr>
      <w:tr w:rsidR="003C4C22" w:rsidRPr="00554D11" w14:paraId="2D35DA26" w14:textId="77777777" w:rsidTr="003275AB">
        <w:trPr>
          <w:cantSplit/>
        </w:trPr>
        <w:tc>
          <w:tcPr>
            <w:tcW w:w="1584" w:type="dxa"/>
          </w:tcPr>
          <w:p w14:paraId="00B279BE" w14:textId="53CDD22B" w:rsidR="003C4C22" w:rsidRPr="00554D11" w:rsidRDefault="003C4C22" w:rsidP="003275AB">
            <w:r w:rsidRPr="00554D11">
              <w:t>FERC-516E</w:t>
            </w:r>
            <w:r w:rsidRPr="00554D11">
              <w:rPr>
                <w:rStyle w:val="FootnoteReference"/>
              </w:rPr>
              <w:footnoteReference w:id="58"/>
            </w:r>
            <w:r w:rsidR="00EB6325">
              <w:t xml:space="preserve">, </w:t>
            </w:r>
            <w:r w:rsidRPr="00554D11">
              <w:rPr>
                <w:rStyle w:val="FootnoteReference"/>
              </w:rPr>
              <w:footnoteReference w:id="59"/>
            </w:r>
          </w:p>
          <w:p w14:paraId="59F528B1" w14:textId="77777777" w:rsidR="003C4C22" w:rsidRPr="00554D11" w:rsidRDefault="003C4C22" w:rsidP="003275AB">
            <w:pPr>
              <w:keepNext/>
              <w:tabs>
                <w:tab w:val="num" w:pos="720"/>
              </w:tabs>
              <w:rPr>
                <w:rFonts w:eastAsia="Calibri"/>
                <w:szCs w:val="26"/>
              </w:rPr>
            </w:pPr>
            <w:r w:rsidRPr="00554D11">
              <w:t>(tariff filing)</w:t>
            </w:r>
          </w:p>
        </w:tc>
        <w:tc>
          <w:tcPr>
            <w:tcW w:w="1674" w:type="dxa"/>
          </w:tcPr>
          <w:p w14:paraId="2D26F0C2" w14:textId="77777777" w:rsidR="003C4C22" w:rsidRPr="00554D11" w:rsidRDefault="003C4C22" w:rsidP="003275AB">
            <w:pPr>
              <w:keepNext/>
              <w:tabs>
                <w:tab w:val="num" w:pos="720"/>
              </w:tabs>
              <w:jc w:val="right"/>
              <w:rPr>
                <w:rFonts w:eastAsia="Calibri"/>
                <w:szCs w:val="26"/>
              </w:rPr>
            </w:pPr>
            <w:r w:rsidRPr="00554D11">
              <w:rPr>
                <w:rFonts w:eastAsia="Calibri"/>
                <w:szCs w:val="26"/>
              </w:rPr>
              <w:t>132</w:t>
            </w:r>
          </w:p>
        </w:tc>
        <w:tc>
          <w:tcPr>
            <w:tcW w:w="1584" w:type="dxa"/>
          </w:tcPr>
          <w:p w14:paraId="49EF1B57" w14:textId="77777777" w:rsidR="003C4C22" w:rsidRPr="00554D11" w:rsidRDefault="003C4C22" w:rsidP="003275AB">
            <w:pPr>
              <w:keepNext/>
              <w:tabs>
                <w:tab w:val="num" w:pos="720"/>
              </w:tabs>
              <w:jc w:val="right"/>
              <w:rPr>
                <w:rFonts w:eastAsia="Calibri"/>
                <w:szCs w:val="26"/>
              </w:rPr>
            </w:pPr>
            <w:r w:rsidRPr="00554D11">
              <w:rPr>
                <w:rFonts w:eastAsia="Calibri"/>
                <w:szCs w:val="26"/>
              </w:rPr>
              <w:t>1</w:t>
            </w:r>
          </w:p>
        </w:tc>
        <w:tc>
          <w:tcPr>
            <w:tcW w:w="1476" w:type="dxa"/>
          </w:tcPr>
          <w:p w14:paraId="74F8C2C7" w14:textId="77777777" w:rsidR="003C4C22" w:rsidRPr="00554D11" w:rsidRDefault="003C4C22" w:rsidP="003275AB">
            <w:pPr>
              <w:keepNext/>
              <w:tabs>
                <w:tab w:val="num" w:pos="720"/>
              </w:tabs>
              <w:jc w:val="right"/>
              <w:rPr>
                <w:rFonts w:eastAsia="Calibri"/>
                <w:szCs w:val="26"/>
              </w:rPr>
            </w:pPr>
            <w:r w:rsidRPr="00554D11">
              <w:rPr>
                <w:rFonts w:eastAsia="Calibri"/>
                <w:szCs w:val="26"/>
              </w:rPr>
              <w:t>132</w:t>
            </w:r>
          </w:p>
        </w:tc>
        <w:tc>
          <w:tcPr>
            <w:tcW w:w="1584" w:type="dxa"/>
          </w:tcPr>
          <w:p w14:paraId="065534E6" w14:textId="77777777" w:rsidR="003C4C22" w:rsidRPr="00554D11" w:rsidRDefault="003C4C22" w:rsidP="003275AB">
            <w:pPr>
              <w:keepNext/>
              <w:tabs>
                <w:tab w:val="num" w:pos="720"/>
              </w:tabs>
              <w:jc w:val="right"/>
              <w:rPr>
                <w:rFonts w:eastAsia="Calibri"/>
                <w:szCs w:val="26"/>
              </w:rPr>
            </w:pPr>
            <w:r w:rsidRPr="00554D11">
              <w:rPr>
                <w:rFonts w:eastAsia="Calibri"/>
                <w:szCs w:val="26"/>
              </w:rPr>
              <w:t>6</w:t>
            </w:r>
          </w:p>
          <w:p w14:paraId="0DDAFE8D" w14:textId="77777777" w:rsidR="003C4C22" w:rsidRPr="00554D11" w:rsidRDefault="003C4C22" w:rsidP="003275AB">
            <w:pPr>
              <w:keepNext/>
              <w:tabs>
                <w:tab w:val="num" w:pos="720"/>
              </w:tabs>
              <w:jc w:val="right"/>
              <w:rPr>
                <w:rFonts w:eastAsia="Calibri"/>
                <w:szCs w:val="26"/>
              </w:rPr>
            </w:pPr>
            <w:r w:rsidRPr="00554D11">
              <w:rPr>
                <w:rFonts w:eastAsia="Calibri"/>
                <w:szCs w:val="26"/>
              </w:rPr>
              <w:t>$447</w:t>
            </w:r>
          </w:p>
        </w:tc>
        <w:tc>
          <w:tcPr>
            <w:tcW w:w="1638" w:type="dxa"/>
          </w:tcPr>
          <w:p w14:paraId="25641408" w14:textId="77777777" w:rsidR="003C4C22" w:rsidRPr="00554D11" w:rsidRDefault="003C4C22" w:rsidP="003275AB">
            <w:pPr>
              <w:keepNext/>
              <w:tabs>
                <w:tab w:val="num" w:pos="720"/>
              </w:tabs>
              <w:jc w:val="right"/>
              <w:rPr>
                <w:rFonts w:eastAsia="Calibri"/>
                <w:szCs w:val="26"/>
              </w:rPr>
            </w:pPr>
            <w:r w:rsidRPr="00554D11">
              <w:rPr>
                <w:rFonts w:eastAsia="Calibri"/>
                <w:szCs w:val="26"/>
              </w:rPr>
              <w:t>792 hours</w:t>
            </w:r>
          </w:p>
          <w:p w14:paraId="0B614236" w14:textId="77777777" w:rsidR="003C4C22" w:rsidRPr="00554D11" w:rsidRDefault="003C4C22" w:rsidP="003275AB">
            <w:pPr>
              <w:keepNext/>
              <w:tabs>
                <w:tab w:val="num" w:pos="720"/>
              </w:tabs>
              <w:jc w:val="right"/>
              <w:rPr>
                <w:rFonts w:eastAsia="Calibri"/>
                <w:szCs w:val="26"/>
              </w:rPr>
            </w:pPr>
            <w:r w:rsidRPr="00554D11">
              <w:rPr>
                <w:rFonts w:eastAsia="Calibri"/>
                <w:szCs w:val="26"/>
              </w:rPr>
              <w:t xml:space="preserve">$59,004 </w:t>
            </w:r>
          </w:p>
        </w:tc>
      </w:tr>
      <w:tr w:rsidR="003C4C22" w:rsidRPr="00554D11" w14:paraId="27639C68" w14:textId="77777777" w:rsidTr="003275AB">
        <w:trPr>
          <w:cantSplit/>
        </w:trPr>
        <w:tc>
          <w:tcPr>
            <w:tcW w:w="1584" w:type="dxa"/>
          </w:tcPr>
          <w:p w14:paraId="05FEB70E" w14:textId="42573D26" w:rsidR="003C4C22" w:rsidRPr="00554D11" w:rsidRDefault="003C4C22" w:rsidP="003275AB">
            <w:r w:rsidRPr="00554D11">
              <w:t>FERC-717</w:t>
            </w:r>
          </w:p>
          <w:p w14:paraId="17C13FFF" w14:textId="1E1D3B70" w:rsidR="003C4C22" w:rsidRPr="00554D11" w:rsidRDefault="003C4C22" w:rsidP="003F60B5">
            <w:pPr>
              <w:keepNext/>
              <w:tabs>
                <w:tab w:val="num" w:pos="720"/>
              </w:tabs>
              <w:rPr>
                <w:rFonts w:eastAsia="Calibri"/>
                <w:szCs w:val="26"/>
              </w:rPr>
            </w:pPr>
            <w:r w:rsidRPr="00554D11">
              <w:t>(compliance with standards)</w:t>
            </w:r>
            <w:r w:rsidR="004B066C" w:rsidRPr="00554D11">
              <w:rPr>
                <w:rStyle w:val="FootnoteReference"/>
              </w:rPr>
              <w:footnoteReference w:id="60"/>
            </w:r>
          </w:p>
        </w:tc>
        <w:tc>
          <w:tcPr>
            <w:tcW w:w="1674" w:type="dxa"/>
          </w:tcPr>
          <w:p w14:paraId="6BC0DE0B" w14:textId="77777777" w:rsidR="003C4C22" w:rsidRPr="00554D11" w:rsidRDefault="003C4C22" w:rsidP="003275AB">
            <w:pPr>
              <w:keepNext/>
              <w:tabs>
                <w:tab w:val="num" w:pos="720"/>
              </w:tabs>
              <w:jc w:val="right"/>
              <w:rPr>
                <w:rFonts w:eastAsia="Calibri"/>
                <w:szCs w:val="26"/>
              </w:rPr>
            </w:pPr>
            <w:r w:rsidRPr="00554D11">
              <w:rPr>
                <w:rFonts w:eastAsia="Calibri"/>
                <w:szCs w:val="26"/>
              </w:rPr>
              <w:t>132</w:t>
            </w:r>
          </w:p>
        </w:tc>
        <w:tc>
          <w:tcPr>
            <w:tcW w:w="1584" w:type="dxa"/>
          </w:tcPr>
          <w:p w14:paraId="611345FA" w14:textId="77777777" w:rsidR="003C4C22" w:rsidRPr="00554D11" w:rsidRDefault="003C4C22" w:rsidP="003275AB">
            <w:pPr>
              <w:keepNext/>
              <w:tabs>
                <w:tab w:val="num" w:pos="720"/>
              </w:tabs>
              <w:jc w:val="right"/>
              <w:rPr>
                <w:rFonts w:eastAsia="Calibri"/>
                <w:szCs w:val="26"/>
              </w:rPr>
            </w:pPr>
            <w:r w:rsidRPr="00554D11">
              <w:rPr>
                <w:rFonts w:eastAsia="Calibri"/>
                <w:szCs w:val="26"/>
              </w:rPr>
              <w:t>1</w:t>
            </w:r>
          </w:p>
        </w:tc>
        <w:tc>
          <w:tcPr>
            <w:tcW w:w="1476" w:type="dxa"/>
          </w:tcPr>
          <w:p w14:paraId="3B707CEF" w14:textId="77777777" w:rsidR="003C4C22" w:rsidRPr="00554D11" w:rsidRDefault="003C4C22" w:rsidP="003275AB">
            <w:pPr>
              <w:keepNext/>
              <w:tabs>
                <w:tab w:val="num" w:pos="720"/>
              </w:tabs>
              <w:jc w:val="right"/>
              <w:rPr>
                <w:rFonts w:eastAsia="Calibri"/>
                <w:szCs w:val="26"/>
              </w:rPr>
            </w:pPr>
            <w:r w:rsidRPr="00554D11">
              <w:rPr>
                <w:rFonts w:eastAsia="Calibri"/>
                <w:szCs w:val="26"/>
              </w:rPr>
              <w:t>132</w:t>
            </w:r>
          </w:p>
        </w:tc>
        <w:tc>
          <w:tcPr>
            <w:tcW w:w="1584" w:type="dxa"/>
          </w:tcPr>
          <w:p w14:paraId="6575B2FD" w14:textId="77777777" w:rsidR="003C4C22" w:rsidRPr="00554D11" w:rsidRDefault="003C4C22" w:rsidP="003275AB">
            <w:pPr>
              <w:keepNext/>
              <w:tabs>
                <w:tab w:val="num" w:pos="720"/>
              </w:tabs>
              <w:jc w:val="right"/>
              <w:rPr>
                <w:rFonts w:eastAsia="Calibri"/>
                <w:szCs w:val="26"/>
              </w:rPr>
            </w:pPr>
            <w:r w:rsidRPr="00554D11">
              <w:rPr>
                <w:rFonts w:eastAsia="Calibri"/>
                <w:szCs w:val="26"/>
              </w:rPr>
              <w:t>30</w:t>
            </w:r>
            <w:r w:rsidRPr="00554D11">
              <w:rPr>
                <w:rStyle w:val="FootnoteReference"/>
              </w:rPr>
              <w:footnoteReference w:id="61"/>
            </w:r>
          </w:p>
          <w:p w14:paraId="6F608FC4" w14:textId="77777777" w:rsidR="003C4C22" w:rsidRPr="00554D11" w:rsidRDefault="003C4C22" w:rsidP="003275AB">
            <w:pPr>
              <w:keepNext/>
              <w:tabs>
                <w:tab w:val="num" w:pos="720"/>
              </w:tabs>
              <w:jc w:val="right"/>
              <w:rPr>
                <w:rFonts w:eastAsia="Calibri"/>
                <w:szCs w:val="26"/>
              </w:rPr>
            </w:pPr>
            <w:r w:rsidRPr="00554D11">
              <w:rPr>
                <w:rFonts w:eastAsia="Calibri"/>
                <w:szCs w:val="26"/>
              </w:rPr>
              <w:t>$2,235</w:t>
            </w:r>
          </w:p>
        </w:tc>
        <w:tc>
          <w:tcPr>
            <w:tcW w:w="1638" w:type="dxa"/>
          </w:tcPr>
          <w:p w14:paraId="667835B5" w14:textId="77777777" w:rsidR="003C4C22" w:rsidRPr="00554D11" w:rsidRDefault="003C4C22" w:rsidP="003275AB">
            <w:pPr>
              <w:keepNext/>
              <w:tabs>
                <w:tab w:val="num" w:pos="720"/>
              </w:tabs>
              <w:jc w:val="right"/>
              <w:rPr>
                <w:rFonts w:eastAsia="Calibri"/>
                <w:szCs w:val="26"/>
              </w:rPr>
            </w:pPr>
            <w:r w:rsidRPr="00554D11">
              <w:rPr>
                <w:rFonts w:eastAsia="Calibri"/>
                <w:szCs w:val="26"/>
              </w:rPr>
              <w:t>3,960 hours</w:t>
            </w:r>
          </w:p>
          <w:p w14:paraId="2CB142FD" w14:textId="77777777" w:rsidR="003C4C22" w:rsidRPr="00554D11" w:rsidRDefault="003C4C22" w:rsidP="003275AB">
            <w:pPr>
              <w:keepNext/>
              <w:tabs>
                <w:tab w:val="num" w:pos="720"/>
              </w:tabs>
              <w:jc w:val="right"/>
              <w:rPr>
                <w:rFonts w:eastAsia="Calibri"/>
                <w:szCs w:val="26"/>
              </w:rPr>
            </w:pPr>
            <w:r w:rsidRPr="00554D11">
              <w:rPr>
                <w:rFonts w:eastAsia="Calibri"/>
                <w:szCs w:val="26"/>
              </w:rPr>
              <w:t>$295,020</w:t>
            </w:r>
          </w:p>
        </w:tc>
      </w:tr>
      <w:tr w:rsidR="003C4C22" w:rsidRPr="00554D11" w14:paraId="286CEFE7" w14:textId="77777777" w:rsidTr="003275AB">
        <w:trPr>
          <w:cantSplit/>
        </w:trPr>
        <w:tc>
          <w:tcPr>
            <w:tcW w:w="1584" w:type="dxa"/>
          </w:tcPr>
          <w:p w14:paraId="337419F9" w14:textId="77777777" w:rsidR="003C4C22" w:rsidRPr="00554D11" w:rsidRDefault="003C4C22" w:rsidP="003275AB">
            <w:pPr>
              <w:tabs>
                <w:tab w:val="num" w:pos="720"/>
              </w:tabs>
              <w:rPr>
                <w:rFonts w:eastAsia="Calibri"/>
                <w:szCs w:val="26"/>
              </w:rPr>
            </w:pPr>
            <w:r w:rsidRPr="00554D11">
              <w:rPr>
                <w:rFonts w:eastAsia="Calibri"/>
                <w:szCs w:val="26"/>
              </w:rPr>
              <w:t>Total</w:t>
            </w:r>
          </w:p>
        </w:tc>
        <w:tc>
          <w:tcPr>
            <w:tcW w:w="3258" w:type="dxa"/>
            <w:gridSpan w:val="2"/>
            <w:shd w:val="clear" w:color="auto" w:fill="BFBFBF" w:themeFill="background1" w:themeFillShade="BF"/>
          </w:tcPr>
          <w:p w14:paraId="08153748" w14:textId="77777777" w:rsidR="003C4C22" w:rsidRPr="00554D11" w:rsidRDefault="003C4C22" w:rsidP="003275AB">
            <w:pPr>
              <w:tabs>
                <w:tab w:val="num" w:pos="720"/>
              </w:tabs>
              <w:jc w:val="center"/>
              <w:rPr>
                <w:rFonts w:eastAsia="Calibri"/>
                <w:szCs w:val="26"/>
              </w:rPr>
            </w:pPr>
          </w:p>
        </w:tc>
        <w:tc>
          <w:tcPr>
            <w:tcW w:w="1476" w:type="dxa"/>
          </w:tcPr>
          <w:p w14:paraId="30F6861F" w14:textId="77777777" w:rsidR="003C4C22" w:rsidRPr="00554D11" w:rsidRDefault="003C4C22" w:rsidP="003275AB">
            <w:pPr>
              <w:tabs>
                <w:tab w:val="num" w:pos="720"/>
              </w:tabs>
              <w:jc w:val="right"/>
              <w:rPr>
                <w:rFonts w:eastAsia="Calibri"/>
                <w:szCs w:val="26"/>
              </w:rPr>
            </w:pPr>
            <w:r w:rsidRPr="00554D11">
              <w:rPr>
                <w:rFonts w:eastAsia="Calibri"/>
                <w:szCs w:val="26"/>
              </w:rPr>
              <w:t>264</w:t>
            </w:r>
          </w:p>
        </w:tc>
        <w:tc>
          <w:tcPr>
            <w:tcW w:w="1584" w:type="dxa"/>
            <w:shd w:val="clear" w:color="auto" w:fill="FFFFFF" w:themeFill="background1"/>
          </w:tcPr>
          <w:p w14:paraId="7C84193E" w14:textId="77777777" w:rsidR="003C4C22" w:rsidRPr="00554D11" w:rsidRDefault="003C4C22" w:rsidP="003275AB">
            <w:pPr>
              <w:tabs>
                <w:tab w:val="num" w:pos="720"/>
              </w:tabs>
              <w:jc w:val="right"/>
              <w:rPr>
                <w:rFonts w:eastAsia="Calibri"/>
                <w:szCs w:val="26"/>
              </w:rPr>
            </w:pPr>
            <w:r w:rsidRPr="00554D11">
              <w:rPr>
                <w:rFonts w:eastAsia="Calibri"/>
                <w:szCs w:val="26"/>
              </w:rPr>
              <w:t>36 hours</w:t>
            </w:r>
          </w:p>
          <w:p w14:paraId="72C95263" w14:textId="77777777" w:rsidR="003C4C22" w:rsidRPr="00554D11" w:rsidRDefault="003C4C22" w:rsidP="003275AB">
            <w:pPr>
              <w:tabs>
                <w:tab w:val="num" w:pos="720"/>
              </w:tabs>
              <w:jc w:val="right"/>
              <w:rPr>
                <w:rFonts w:eastAsia="Calibri"/>
                <w:szCs w:val="26"/>
              </w:rPr>
            </w:pPr>
            <w:r w:rsidRPr="00554D11">
              <w:rPr>
                <w:rFonts w:eastAsia="Calibri"/>
                <w:szCs w:val="26"/>
              </w:rPr>
              <w:t>$2,682</w:t>
            </w:r>
          </w:p>
        </w:tc>
        <w:tc>
          <w:tcPr>
            <w:tcW w:w="1638" w:type="dxa"/>
          </w:tcPr>
          <w:p w14:paraId="306A8B57" w14:textId="77777777" w:rsidR="003C4C22" w:rsidRPr="00554D11" w:rsidRDefault="003C4C22" w:rsidP="003275AB">
            <w:pPr>
              <w:tabs>
                <w:tab w:val="num" w:pos="720"/>
              </w:tabs>
              <w:jc w:val="right"/>
              <w:rPr>
                <w:rFonts w:eastAsia="Calibri"/>
                <w:szCs w:val="26"/>
              </w:rPr>
            </w:pPr>
            <w:r w:rsidRPr="00554D11">
              <w:rPr>
                <w:rFonts w:eastAsia="Calibri"/>
                <w:szCs w:val="26"/>
              </w:rPr>
              <w:t>4,752 hours</w:t>
            </w:r>
          </w:p>
          <w:p w14:paraId="02704753" w14:textId="77777777" w:rsidR="003C4C22" w:rsidRPr="00554D11" w:rsidRDefault="003C4C22" w:rsidP="003275AB">
            <w:pPr>
              <w:tabs>
                <w:tab w:val="num" w:pos="720"/>
              </w:tabs>
              <w:jc w:val="right"/>
              <w:rPr>
                <w:rFonts w:eastAsia="Calibri"/>
                <w:szCs w:val="26"/>
              </w:rPr>
            </w:pPr>
            <w:r w:rsidRPr="00554D11">
              <w:rPr>
                <w:rFonts w:eastAsia="Calibri"/>
                <w:szCs w:val="26"/>
              </w:rPr>
              <w:t>$354,024</w:t>
            </w:r>
          </w:p>
        </w:tc>
      </w:tr>
    </w:tbl>
    <w:p w14:paraId="4F107A28" w14:textId="77777777" w:rsidR="003A3D31" w:rsidRDefault="003A3D31" w:rsidP="0024025B">
      <w:pPr>
        <w:pStyle w:val="FERCparanumber"/>
        <w:numPr>
          <w:ilvl w:val="0"/>
          <w:numId w:val="0"/>
        </w:numPr>
        <w:spacing w:before="360"/>
        <w:rPr>
          <w:szCs w:val="26"/>
          <w:u w:val="single"/>
        </w:rPr>
      </w:pPr>
    </w:p>
    <w:p w14:paraId="30F27891" w14:textId="77777777" w:rsidR="003C4C22" w:rsidRPr="00554D11" w:rsidRDefault="003C4C22" w:rsidP="0024025B">
      <w:pPr>
        <w:pStyle w:val="FERCparanumber"/>
        <w:numPr>
          <w:ilvl w:val="0"/>
          <w:numId w:val="0"/>
        </w:numPr>
        <w:spacing w:before="360"/>
        <w:rPr>
          <w:szCs w:val="26"/>
        </w:rPr>
      </w:pPr>
      <w:r w:rsidRPr="00554D11">
        <w:rPr>
          <w:szCs w:val="26"/>
          <w:u w:val="single"/>
        </w:rPr>
        <w:lastRenderedPageBreak/>
        <w:t>Costs to Comply with Paperwork Requirements</w:t>
      </w:r>
      <w:r w:rsidRPr="00554D11">
        <w:rPr>
          <w:szCs w:val="26"/>
        </w:rPr>
        <w:t>:</w:t>
      </w:r>
    </w:p>
    <w:p w14:paraId="610810B7" w14:textId="77777777" w:rsidR="003C4C22" w:rsidRPr="00554D11" w:rsidRDefault="003C4C22" w:rsidP="003C4C22">
      <w:pPr>
        <w:pStyle w:val="FERCparanumber"/>
        <w:numPr>
          <w:ilvl w:val="0"/>
          <w:numId w:val="0"/>
        </w:numPr>
        <w:rPr>
          <w:szCs w:val="26"/>
        </w:rPr>
      </w:pPr>
      <w:r w:rsidRPr="00554D11">
        <w:rPr>
          <w:szCs w:val="26"/>
        </w:rPr>
        <w:t>The estimated annual costs are as follows:</w:t>
      </w:r>
    </w:p>
    <w:p w14:paraId="0D76311C" w14:textId="77777777" w:rsidR="003C4C22" w:rsidRPr="00554D11" w:rsidRDefault="003C4C22" w:rsidP="003C4C22">
      <w:pPr>
        <w:spacing w:after="240"/>
      </w:pPr>
      <w:r w:rsidRPr="00554D11">
        <w:t>•  FERC-516E: 132 entities * 1 response/entity * (6 hours/response * $74.50/hour) = $57,024.</w:t>
      </w:r>
    </w:p>
    <w:p w14:paraId="568AED1A" w14:textId="77777777" w:rsidR="003C4C22" w:rsidRPr="00554D11" w:rsidRDefault="003C4C22" w:rsidP="003C4C22">
      <w:pPr>
        <w:spacing w:after="240"/>
      </w:pPr>
      <w:r w:rsidRPr="00554D11">
        <w:t>•  FERC-717: 132 entities * 1 response/entity * (30 hours/response * $74.50/hour) = $285,120.</w:t>
      </w:r>
    </w:p>
    <w:p w14:paraId="473A7029" w14:textId="77777777" w:rsidR="003C4C22" w:rsidRPr="00554D11" w:rsidRDefault="003C4C22" w:rsidP="003C4C22">
      <w:pPr>
        <w:widowControl/>
        <w:spacing w:line="480" w:lineRule="auto"/>
      </w:pPr>
      <w:r w:rsidRPr="00554D11">
        <w:rPr>
          <w:u w:val="single"/>
        </w:rPr>
        <w:t>Titles</w:t>
      </w:r>
      <w:r w:rsidRPr="00554D11">
        <w:t>:  Electric Rate Schedule Filing (FERC-516E); Open Access Same Time Information System and Standards for Business Practices and Communication Protocols for Public Utilities (FERC-717).</w:t>
      </w:r>
    </w:p>
    <w:p w14:paraId="27EDB1A8" w14:textId="77777777" w:rsidR="003C4C22" w:rsidRPr="00554D11" w:rsidRDefault="003C4C22" w:rsidP="003C4C22">
      <w:pPr>
        <w:widowControl/>
        <w:spacing w:after="240"/>
      </w:pPr>
      <w:r w:rsidRPr="00554D11">
        <w:rPr>
          <w:u w:val="single"/>
        </w:rPr>
        <w:t>Action</w:t>
      </w:r>
      <w:r w:rsidRPr="00554D11">
        <w:t>:  Proposed collection.</w:t>
      </w:r>
    </w:p>
    <w:p w14:paraId="0071AC39" w14:textId="77777777" w:rsidR="003C4C22" w:rsidRPr="00554D11" w:rsidRDefault="003C4C22" w:rsidP="003C4C22">
      <w:pPr>
        <w:widowControl/>
        <w:spacing w:after="240"/>
      </w:pPr>
      <w:r w:rsidRPr="00554D11">
        <w:t>OMB Control Nos.:  TBD (FERC-516E); 1902-0173 (FERC-717).</w:t>
      </w:r>
    </w:p>
    <w:p w14:paraId="32AE6993" w14:textId="77777777" w:rsidR="003C4C22" w:rsidRPr="00554D11" w:rsidRDefault="003C4C22" w:rsidP="003C4C22">
      <w:pPr>
        <w:widowControl/>
        <w:spacing w:line="480" w:lineRule="auto"/>
      </w:pPr>
      <w:r w:rsidRPr="00554D11">
        <w:rPr>
          <w:u w:val="single"/>
        </w:rPr>
        <w:t>Respondents</w:t>
      </w:r>
      <w:r w:rsidRPr="00554D11">
        <w:t>:  Business or other for profit (Public Utilities – Generally not applicable to small businesses).</w:t>
      </w:r>
      <w:r w:rsidRPr="00554D11">
        <w:rPr>
          <w:rStyle w:val="FootnoteReference"/>
        </w:rPr>
        <w:footnoteReference w:id="62"/>
      </w:r>
    </w:p>
    <w:p w14:paraId="681505E7" w14:textId="77777777" w:rsidR="003C4C22" w:rsidRPr="00554D11" w:rsidRDefault="003C4C22" w:rsidP="003C4C22">
      <w:pPr>
        <w:widowControl/>
        <w:spacing w:line="480" w:lineRule="auto"/>
      </w:pPr>
      <w:r w:rsidRPr="00554D11">
        <w:rPr>
          <w:u w:val="single"/>
        </w:rPr>
        <w:t>Frequency of Responses</w:t>
      </w:r>
      <w:r w:rsidRPr="00554D11">
        <w:t>:  One-time implementation (business procedures, capital/start-up).</w:t>
      </w:r>
    </w:p>
    <w:p w14:paraId="6B59F492" w14:textId="67158825" w:rsidR="004A6FB2" w:rsidRPr="00554D11" w:rsidRDefault="004A6FB2" w:rsidP="00554D11">
      <w:pPr>
        <w:pStyle w:val="FERCparanumber"/>
      </w:pPr>
      <w:r w:rsidRPr="00554D11">
        <w:rPr>
          <w:u w:val="single"/>
        </w:rPr>
        <w:t>Necessity of the Information</w:t>
      </w:r>
      <w:r w:rsidRPr="00554D11">
        <w:t>:  This proposed rule, if implemented would upgrade the Commission’s current business practice and communication standards and protocols modifications to support compliance with requirements established by the Commission in Order Nos. 890, 890-A, 890-B</w:t>
      </w:r>
      <w:r w:rsidR="00C8145A">
        <w:t>,</w:t>
      </w:r>
      <w:r w:rsidRPr="00554D11">
        <w:t xml:space="preserve"> and 890-C, as well as modifications to the OASIS-related standards to support Order Nos. 676, 676-A, 676-E</w:t>
      </w:r>
      <w:r w:rsidR="00C8145A">
        <w:t>,</w:t>
      </w:r>
      <w:r w:rsidRPr="00554D11">
        <w:t xml:space="preserve"> and 717.</w:t>
      </w:r>
    </w:p>
    <w:p w14:paraId="7508683E" w14:textId="77777777" w:rsidR="00A123E5" w:rsidRPr="00554D11" w:rsidRDefault="00A123E5" w:rsidP="00554D11">
      <w:pPr>
        <w:pStyle w:val="FERCparanumber"/>
      </w:pPr>
      <w:r w:rsidRPr="00554D11">
        <w:rPr>
          <w:bCs/>
          <w:u w:val="single"/>
        </w:rPr>
        <w:lastRenderedPageBreak/>
        <w:t>Internal Review</w:t>
      </w:r>
      <w:r w:rsidRPr="00554D11">
        <w:rPr>
          <w:bCs/>
        </w:rPr>
        <w:t xml:space="preserve">:  </w:t>
      </w:r>
      <w:r w:rsidRPr="00554D11">
        <w:t>The Commission has reviewed the revised business practice standards and has made a preliminary determination that the proposed revisions that we propose here to incorporate by reference are both necessary and useful.  In addition, the Commission has assured itself, by means of its internal review, that there is specific, objective support for the burden estimate associated with the information requirements.</w:t>
      </w:r>
    </w:p>
    <w:p w14:paraId="5E93FF3E" w14:textId="77777777" w:rsidR="00A123E5" w:rsidRPr="00554D11" w:rsidRDefault="00A123E5" w:rsidP="00554D11">
      <w:pPr>
        <w:pStyle w:val="FERCparanumber"/>
      </w:pPr>
      <w:r w:rsidRPr="00554D11">
        <w:t xml:space="preserve">Interested persons may obtain information on the reporting requirements by contacting the Federal Energy Regulatory Commission, </w:t>
      </w:r>
      <w:r w:rsidRPr="00554D11">
        <w:rPr>
          <w:szCs w:val="26"/>
        </w:rPr>
        <w:t xml:space="preserve">Office of the Executive Director, </w:t>
      </w:r>
      <w:r w:rsidRPr="00554D11">
        <w:t>888 First Street, NE, Washington, DC 20426 [Attn: Ellen Brown, e-mail: DataClearance@ferc.gov, phone:</w:t>
      </w:r>
      <w:r w:rsidRPr="00554D11">
        <w:rPr>
          <w:color w:val="0000FF"/>
        </w:rPr>
        <w:t xml:space="preserve"> </w:t>
      </w:r>
      <w:r w:rsidRPr="00554D11">
        <w:t>(202) 502-8663, fax: (202) 273-0873].</w:t>
      </w:r>
    </w:p>
    <w:p w14:paraId="6EB3DCF0" w14:textId="512A8EC9" w:rsidR="00A123E5" w:rsidRPr="00554D11" w:rsidRDefault="00A123E5" w:rsidP="00554D11">
      <w:pPr>
        <w:pStyle w:val="FERCparanumber"/>
      </w:pPr>
      <w:r w:rsidRPr="00554D11">
        <w:t xml:space="preserve">Comments concerning the information collections proposed in this NOPR and the associated burden estimates should be sent </w:t>
      </w:r>
      <w:r w:rsidRPr="00554D11">
        <w:rPr>
          <w:szCs w:val="26"/>
        </w:rPr>
        <w:t xml:space="preserve">to the Commission at this docket and </w:t>
      </w:r>
      <w:r w:rsidRPr="00554D11">
        <w:t xml:space="preserve">by e-mail to the Office of Management and Budget, Office of Information and Regulatory Affairs [Attention:  Desk Officer for the Federal Energy Regulatory Commission].  </w:t>
      </w:r>
      <w:r w:rsidRPr="00554D11">
        <w:rPr>
          <w:szCs w:val="26"/>
        </w:rPr>
        <w:t xml:space="preserve">For security reasons, comments should be sent by e-mail to OMB at the following e-mail address: oira_submission@omb.eop.gov.  Please reference the docket </w:t>
      </w:r>
      <w:r w:rsidR="003E0C77" w:rsidRPr="00554D11">
        <w:rPr>
          <w:szCs w:val="26"/>
        </w:rPr>
        <w:t>number</w:t>
      </w:r>
      <w:r w:rsidRPr="00554D11">
        <w:rPr>
          <w:szCs w:val="26"/>
        </w:rPr>
        <w:t xml:space="preserve"> of this Notice of Proposed Rulemaking (Docket No. RM05-5-</w:t>
      </w:r>
      <w:r w:rsidR="00B727EC" w:rsidRPr="00554D11">
        <w:rPr>
          <w:szCs w:val="26"/>
        </w:rPr>
        <w:t>25</w:t>
      </w:r>
      <w:r w:rsidRPr="00554D11">
        <w:rPr>
          <w:szCs w:val="26"/>
        </w:rPr>
        <w:t xml:space="preserve">) </w:t>
      </w:r>
      <w:r w:rsidR="00B014DA" w:rsidRPr="00B014DA">
        <w:rPr>
          <w:szCs w:val="26"/>
        </w:rPr>
        <w:t>and OMB Control Nos. TBD (FERC-516E) and 1902-0173 (FERC-717)</w:t>
      </w:r>
      <w:r w:rsidR="00B014DA">
        <w:rPr>
          <w:szCs w:val="26"/>
        </w:rPr>
        <w:t xml:space="preserve"> </w:t>
      </w:r>
      <w:r w:rsidRPr="00554D11">
        <w:rPr>
          <w:szCs w:val="26"/>
        </w:rPr>
        <w:t xml:space="preserve">in your </w:t>
      </w:r>
      <w:r w:rsidRPr="00554D11">
        <w:t>submission</w:t>
      </w:r>
      <w:r w:rsidRPr="00554D11">
        <w:rPr>
          <w:szCs w:val="26"/>
        </w:rPr>
        <w:t>.</w:t>
      </w:r>
    </w:p>
    <w:p w14:paraId="052FE737" w14:textId="19221452" w:rsidR="00A123E5" w:rsidRPr="00554D11" w:rsidRDefault="00386125" w:rsidP="00731823">
      <w:pPr>
        <w:pStyle w:val="Heading1"/>
        <w:spacing w:after="0" w:line="480" w:lineRule="auto"/>
      </w:pPr>
      <w:bookmarkStart w:id="45" w:name="_Toc441070588"/>
      <w:r w:rsidRPr="00554D11">
        <w:rPr>
          <w:u w:val="none"/>
        </w:rPr>
        <w:t>V</w:t>
      </w:r>
      <w:r w:rsidR="00C62BD5" w:rsidRPr="00554D11">
        <w:rPr>
          <w:u w:val="none"/>
        </w:rPr>
        <w:t>I</w:t>
      </w:r>
      <w:r w:rsidRPr="00554D11">
        <w:rPr>
          <w:u w:val="none"/>
        </w:rPr>
        <w:t>.</w:t>
      </w:r>
      <w:r w:rsidRPr="00554D11">
        <w:rPr>
          <w:u w:val="none"/>
        </w:rPr>
        <w:tab/>
      </w:r>
      <w:r w:rsidR="00A123E5" w:rsidRPr="00554D11">
        <w:t>Environmental Analysis</w:t>
      </w:r>
      <w:bookmarkStart w:id="46" w:name="_bmk26"/>
      <w:bookmarkEnd w:id="45"/>
    </w:p>
    <w:bookmarkEnd w:id="46"/>
    <w:p w14:paraId="19C5DE8F" w14:textId="77777777" w:rsidR="00A123E5" w:rsidRPr="00554D11" w:rsidRDefault="00A123E5" w:rsidP="00554D11">
      <w:pPr>
        <w:pStyle w:val="FERCparanumber"/>
      </w:pPr>
      <w:r w:rsidRPr="00554D11">
        <w:t xml:space="preserve">The Commission is required to prepare an Environmental Assessment or an Environmental Impact Statement for any action that may have a significant adverse effect </w:t>
      </w:r>
      <w:r w:rsidRPr="00554D11">
        <w:lastRenderedPageBreak/>
        <w:t>on the human environment.</w:t>
      </w:r>
      <w:r w:rsidRPr="00554D11">
        <w:rPr>
          <w:rStyle w:val="FootnoteReference"/>
        </w:rPr>
        <w:footnoteReference w:id="63"/>
      </w:r>
      <w:r w:rsidRPr="00554D11">
        <w:t xml:space="preserve">  The Commission has categorically excluded certain actions from these requirements as not having a significant effect on the human environment.</w:t>
      </w:r>
      <w:r w:rsidRPr="00554D11">
        <w:rPr>
          <w:rStyle w:val="FootnoteReference"/>
        </w:rPr>
        <w:footnoteReference w:id="64"/>
      </w:r>
      <w:r w:rsidRPr="00554D11">
        <w:t xml:space="preserve">  The actions proposed here fall within categorical exclusions in the Commission’s regulations for rules that are clarifying, corrective, or procedural, for information gathering, analysis, and dissemination, and for sales, exchange, and transportation of electric power that requires no construction of facilities.</w:t>
      </w:r>
      <w:r w:rsidRPr="00554D11">
        <w:rPr>
          <w:rStyle w:val="FootnoteReference"/>
        </w:rPr>
        <w:footnoteReference w:id="65"/>
      </w:r>
      <w:r w:rsidRPr="00554D11">
        <w:t xml:space="preserve">  Therefore, an environmental assessment is unnecessary and has not been prepared in this NOPR.</w:t>
      </w:r>
    </w:p>
    <w:p w14:paraId="56F7C28E" w14:textId="4B724FCD" w:rsidR="00A123E5" w:rsidRPr="00554D11" w:rsidRDefault="00386125" w:rsidP="00DD00E0">
      <w:pPr>
        <w:pStyle w:val="Heading1"/>
      </w:pPr>
      <w:bookmarkStart w:id="47" w:name="_Toc441070589"/>
      <w:r w:rsidRPr="00554D11">
        <w:rPr>
          <w:u w:val="none"/>
        </w:rPr>
        <w:t>VI</w:t>
      </w:r>
      <w:r w:rsidR="00C62BD5" w:rsidRPr="00554D11">
        <w:rPr>
          <w:u w:val="none"/>
        </w:rPr>
        <w:t>I</w:t>
      </w:r>
      <w:r w:rsidRPr="00554D11">
        <w:rPr>
          <w:u w:val="none"/>
        </w:rPr>
        <w:t>.</w:t>
      </w:r>
      <w:r w:rsidRPr="00554D11">
        <w:rPr>
          <w:u w:val="none"/>
        </w:rPr>
        <w:tab/>
      </w:r>
      <w:r w:rsidR="00A123E5" w:rsidRPr="00554D11">
        <w:t>Regulatory Flexibility Act Certification</w:t>
      </w:r>
      <w:bookmarkStart w:id="48" w:name="_bmk27"/>
      <w:bookmarkEnd w:id="47"/>
    </w:p>
    <w:bookmarkEnd w:id="48"/>
    <w:p w14:paraId="43CF33C9" w14:textId="651CD535" w:rsidR="003B27BA" w:rsidRPr="00554D11" w:rsidRDefault="00A123E5" w:rsidP="00554D11">
      <w:pPr>
        <w:pStyle w:val="FERCparanumber"/>
      </w:pPr>
      <w:r w:rsidRPr="00554D11">
        <w:t>The Regulatory Flexibility Act of 1980 (RFA)</w:t>
      </w:r>
      <w:r w:rsidRPr="00554D11">
        <w:rPr>
          <w:rStyle w:val="FootnoteReference"/>
        </w:rPr>
        <w:footnoteReference w:id="66"/>
      </w:r>
      <w:r w:rsidRPr="00554D11">
        <w:t xml:space="preserve"> generally requires a description and analysis of proposed rules that will have significant economic impact on a substantial number of small entities.  </w:t>
      </w:r>
      <w:r w:rsidR="00CF679E" w:rsidRPr="00554D11">
        <w:t>The RFA</w:t>
      </w:r>
      <w:r w:rsidR="003B27BA" w:rsidRPr="00554D11">
        <w:t xml:space="preserve"> does not mandate any particular outcome in a rulemaking.  It only requires consideration of alternatives that are less burdensome to small entities and an agency explanation of why alternatives were rejected.</w:t>
      </w:r>
    </w:p>
    <w:p w14:paraId="432BEE81" w14:textId="0B683B24" w:rsidR="003B27BA" w:rsidRPr="00554D11" w:rsidRDefault="003B27BA" w:rsidP="00554D11">
      <w:pPr>
        <w:pStyle w:val="FERCparanumber"/>
      </w:pPr>
      <w:r w:rsidRPr="00554D11">
        <w:t xml:space="preserve">The Small Business Administration (SBA) revised its size standards (effective January 22, 2014) for electric utilities from a standard based on megawatt hours to a standard based on the number of employees, including affiliates.  Under SBA’s </w:t>
      </w:r>
      <w:r w:rsidRPr="00554D11">
        <w:lastRenderedPageBreak/>
        <w:t>standards, some transmission owners will fall under the following category and associated size threshold:</w:t>
      </w:r>
      <w:r w:rsidR="00412CFB">
        <w:t xml:space="preserve"> </w:t>
      </w:r>
      <w:r w:rsidRPr="00554D11">
        <w:t xml:space="preserve"> electric bulk power transmission and control, at 500 employees.</w:t>
      </w:r>
      <w:r w:rsidRPr="00554D11">
        <w:rPr>
          <w:rStyle w:val="FootnoteReference"/>
        </w:rPr>
        <w:footnoteReference w:id="67"/>
      </w:r>
    </w:p>
    <w:p w14:paraId="780DB78F" w14:textId="22BAE2D4" w:rsidR="00CF679E" w:rsidRPr="00554D11" w:rsidRDefault="00CF679E" w:rsidP="00554D11">
      <w:pPr>
        <w:pStyle w:val="FERCparanumber"/>
      </w:pPr>
      <w:r w:rsidRPr="00554D11">
        <w:t>The Commission estimates that 5 of the 132 respondents are small.  The Commission estimates that the impact on these entities is consistent with the paperwork burden of $2,</w:t>
      </w:r>
      <w:r w:rsidR="0024025B" w:rsidRPr="00554D11">
        <w:t>68</w:t>
      </w:r>
      <w:r w:rsidRPr="00554D11">
        <w:t>2 per entity used above.</w:t>
      </w:r>
      <w:r w:rsidRPr="00554D11">
        <w:rPr>
          <w:rStyle w:val="FootnoteReference"/>
        </w:rPr>
        <w:footnoteReference w:id="68"/>
      </w:r>
      <w:r w:rsidRPr="00554D11">
        <w:t xml:space="preserve">  The Commission does not consider $2,</w:t>
      </w:r>
      <w:r w:rsidR="0024025B" w:rsidRPr="00554D11">
        <w:t>68</w:t>
      </w:r>
      <w:r w:rsidRPr="00554D11">
        <w:t>2 to be a significant economic impact.</w:t>
      </w:r>
    </w:p>
    <w:p w14:paraId="4147EB8D" w14:textId="26A527CF" w:rsidR="00A123E5" w:rsidRPr="00554D11" w:rsidRDefault="00CF679E" w:rsidP="00554D11">
      <w:pPr>
        <w:pStyle w:val="FERCparanumber"/>
      </w:pPr>
      <w:r w:rsidRPr="00554D11">
        <w:t xml:space="preserve">Based on the above, the Commission certifies that </w:t>
      </w:r>
      <w:r w:rsidR="00D938F5" w:rsidRPr="00554D11">
        <w:t xml:space="preserve">implementation of </w:t>
      </w:r>
      <w:r w:rsidRPr="00554D11">
        <w:t xml:space="preserve">the proposed </w:t>
      </w:r>
      <w:r w:rsidR="00D938F5" w:rsidRPr="00554D11">
        <w:t xml:space="preserve">Business Practice </w:t>
      </w:r>
      <w:r w:rsidRPr="00554D11">
        <w:t>Standards will not have a significant impact on a substantial number of small entities.  Accordingly, no initial regulatory flexibility analysis is required.</w:t>
      </w:r>
    </w:p>
    <w:p w14:paraId="7F244AC6" w14:textId="3FB9B0B5" w:rsidR="00A123E5" w:rsidRPr="00554D11" w:rsidRDefault="00386125" w:rsidP="00DD00E0">
      <w:pPr>
        <w:pStyle w:val="Heading1"/>
      </w:pPr>
      <w:bookmarkStart w:id="49" w:name="_Toc441070590"/>
      <w:r w:rsidRPr="00554D11">
        <w:rPr>
          <w:u w:val="none"/>
        </w:rPr>
        <w:t>VI</w:t>
      </w:r>
      <w:r w:rsidR="00C62BD5" w:rsidRPr="00554D11">
        <w:rPr>
          <w:u w:val="none"/>
        </w:rPr>
        <w:t>I</w:t>
      </w:r>
      <w:r w:rsidRPr="00554D11">
        <w:rPr>
          <w:u w:val="none"/>
        </w:rPr>
        <w:t>I.</w:t>
      </w:r>
      <w:r w:rsidRPr="00554D11">
        <w:rPr>
          <w:u w:val="none"/>
        </w:rPr>
        <w:tab/>
      </w:r>
      <w:r w:rsidR="00A123E5" w:rsidRPr="00554D11">
        <w:t>Comment Procedures</w:t>
      </w:r>
      <w:bookmarkStart w:id="50" w:name="_bmk28"/>
      <w:bookmarkEnd w:id="49"/>
    </w:p>
    <w:bookmarkEnd w:id="50"/>
    <w:p w14:paraId="2E5583DE" w14:textId="21C8C114" w:rsidR="00A123E5" w:rsidRPr="00554D11" w:rsidRDefault="00A123E5" w:rsidP="00554D11">
      <w:pPr>
        <w:pStyle w:val="FERCparanumber"/>
      </w:pPr>
      <w:r w:rsidRPr="00554D11">
        <w:t>The Commission invites interested persons to submit comments on the matters and issues proposed in this notice to be adopted, including any related matters or alternative proposals that commenters may wish to discuss.  Comments are due [</w:t>
      </w:r>
      <w:r w:rsidRPr="00554D11">
        <w:rPr>
          <w:b/>
        </w:rPr>
        <w:t>INSERT DATE 60 days after publication in the FEDERAL REGISTER]</w:t>
      </w:r>
      <w:r w:rsidRPr="00554D11">
        <w:t>.  Comments must refer to Docket No. RM05-5-</w:t>
      </w:r>
      <w:r w:rsidR="006835E1" w:rsidRPr="00554D11">
        <w:t xml:space="preserve">025 </w:t>
      </w:r>
      <w:r w:rsidRPr="00554D11">
        <w:t>and must include the commenter's name, the organization they represent, if applicable, and their address in their comments.</w:t>
      </w:r>
    </w:p>
    <w:p w14:paraId="21B0B1E5" w14:textId="77777777" w:rsidR="00A123E5" w:rsidRPr="00554D11" w:rsidRDefault="00A123E5" w:rsidP="00554D11">
      <w:pPr>
        <w:pStyle w:val="FERCparanumber"/>
      </w:pPr>
      <w:r w:rsidRPr="00554D11">
        <w:t xml:space="preserve">The Commission encourages comments to be filed electronically via the </w:t>
      </w:r>
      <w:proofErr w:type="spellStart"/>
      <w:r w:rsidRPr="00554D11">
        <w:t>eFiling</w:t>
      </w:r>
      <w:proofErr w:type="spellEnd"/>
      <w:r w:rsidRPr="00554D11">
        <w:t xml:space="preserve"> link on the Commission's web site at </w:t>
      </w:r>
      <w:hyperlink r:id="rId17" w:history="1">
        <w:r w:rsidRPr="00C8145A">
          <w:rPr>
            <w:rStyle w:val="Hyperlink"/>
            <w:u w:val="none"/>
          </w:rPr>
          <w:t>http://www.ferc.gov</w:t>
        </w:r>
      </w:hyperlink>
      <w:r w:rsidRPr="00554D11">
        <w:t xml:space="preserve">.  The Commission accepts </w:t>
      </w:r>
      <w:r w:rsidRPr="00554D11">
        <w:lastRenderedPageBreak/>
        <w:t>most standard word processing formats.  Documents created electronically using word processing software should be filed in native applications or print-to-PDF format and not in a scanned format.  Commenters filing electronically do not need to make a paper filing.</w:t>
      </w:r>
    </w:p>
    <w:p w14:paraId="12A5544B" w14:textId="77777777" w:rsidR="00A123E5" w:rsidRPr="00554D11" w:rsidRDefault="00A123E5" w:rsidP="00554D11">
      <w:pPr>
        <w:pStyle w:val="FERCparanumber"/>
      </w:pPr>
      <w:r w:rsidRPr="00554D11">
        <w:t xml:space="preserve">Commenters that are not able to file comments electronically must send an original of their comments to: </w:t>
      </w:r>
      <w:r w:rsidR="003E0C77" w:rsidRPr="00554D11">
        <w:t xml:space="preserve"> </w:t>
      </w:r>
      <w:r w:rsidRPr="00554D11">
        <w:t>Federal Energy Regulatory Commission, Secretary of the Commission</w:t>
      </w:r>
      <w:r w:rsidR="003E0C77" w:rsidRPr="00554D11">
        <w:t>, 888 First Street N</w:t>
      </w:r>
      <w:r w:rsidRPr="00554D11">
        <w:t>E, Washington</w:t>
      </w:r>
      <w:r w:rsidR="003E0C77" w:rsidRPr="00554D11">
        <w:t xml:space="preserve">, DC  </w:t>
      </w:r>
      <w:r w:rsidRPr="00554D11">
        <w:t>20426.</w:t>
      </w:r>
    </w:p>
    <w:p w14:paraId="6B9F7A44" w14:textId="77777777" w:rsidR="00A123E5" w:rsidRPr="00554D11" w:rsidRDefault="00A123E5" w:rsidP="00554D11">
      <w:pPr>
        <w:pStyle w:val="FERCparanumber"/>
      </w:pPr>
      <w:r w:rsidRPr="00554D11">
        <w:t>All comments will be placed in the Commission's public files and may be viewed, printed, or downloaded remotely as described in the Document Availability section below.  Commenters on this proposal are not required to serve copies of their comments on other commenters.</w:t>
      </w:r>
    </w:p>
    <w:p w14:paraId="6022654F" w14:textId="28F4F476" w:rsidR="00A123E5" w:rsidRPr="00554D11" w:rsidRDefault="00386125" w:rsidP="00DD00E0">
      <w:pPr>
        <w:pStyle w:val="Heading1"/>
      </w:pPr>
      <w:bookmarkStart w:id="51" w:name="_Toc441070591"/>
      <w:r w:rsidRPr="00554D11">
        <w:rPr>
          <w:u w:val="none"/>
        </w:rPr>
        <w:t>I</w:t>
      </w:r>
      <w:r w:rsidR="00C62BD5" w:rsidRPr="00554D11">
        <w:rPr>
          <w:u w:val="none"/>
        </w:rPr>
        <w:t>X</w:t>
      </w:r>
      <w:r w:rsidRPr="00554D11">
        <w:rPr>
          <w:u w:val="none"/>
        </w:rPr>
        <w:t>.</w:t>
      </w:r>
      <w:r w:rsidRPr="00554D11">
        <w:rPr>
          <w:u w:val="none"/>
        </w:rPr>
        <w:tab/>
      </w:r>
      <w:r w:rsidR="00A123E5" w:rsidRPr="00554D11">
        <w:t>Document Availability</w:t>
      </w:r>
      <w:bookmarkStart w:id="52" w:name="_bmk29"/>
      <w:bookmarkEnd w:id="51"/>
    </w:p>
    <w:bookmarkEnd w:id="52"/>
    <w:p w14:paraId="2295630A" w14:textId="1250C54D" w:rsidR="00A123E5" w:rsidRPr="00554D11" w:rsidRDefault="00A123E5" w:rsidP="00554D11">
      <w:pPr>
        <w:pStyle w:val="FERCparanumber"/>
      </w:pPr>
      <w:r w:rsidRPr="00554D11">
        <w:t>In addition to publishing the full text of this document in the Federal Register, the Commission provides all interested persons an opportunity to view and/or print the contents of this document via the Internet through the Commission's Home Page (</w:t>
      </w:r>
      <w:hyperlink r:id="rId18" w:history="1">
        <w:r w:rsidRPr="00C8145A">
          <w:rPr>
            <w:rStyle w:val="Hyperlink"/>
            <w:u w:val="none"/>
          </w:rPr>
          <w:t>http://www.ferc.gov</w:t>
        </w:r>
      </w:hyperlink>
      <w:r w:rsidRPr="00554D11">
        <w:t>) and in the Commission's Public Reference Room during normal business hours (8:30 a.m. to 5:00 p.m. Eastern time) at 888 First Street, NE, Room 2A, Washingto</w:t>
      </w:r>
      <w:r w:rsidR="003E0C77" w:rsidRPr="00554D11">
        <w:t>n</w:t>
      </w:r>
      <w:r w:rsidR="00294E28" w:rsidRPr="00554D11">
        <w:t>,</w:t>
      </w:r>
      <w:r w:rsidR="003E0C77" w:rsidRPr="00554D11">
        <w:t xml:space="preserve"> D</w:t>
      </w:r>
      <w:r w:rsidRPr="00554D11">
        <w:t>C 20426.</w:t>
      </w:r>
    </w:p>
    <w:p w14:paraId="58053A38" w14:textId="77777777" w:rsidR="00A123E5" w:rsidRPr="00554D11" w:rsidRDefault="00A123E5" w:rsidP="00554D11">
      <w:pPr>
        <w:pStyle w:val="FERCparanumber"/>
      </w:pPr>
      <w:r w:rsidRPr="00554D11">
        <w:t xml:space="preserve">From the Commission's Home Page on the Internet, this information is available on eLibrary.  The full text of this document is available on eLibrary in PDF and Microsoft Word format for viewing, printing, and/or downloading. </w:t>
      </w:r>
      <w:r w:rsidR="003E0C77" w:rsidRPr="00554D11">
        <w:t xml:space="preserve"> </w:t>
      </w:r>
      <w:r w:rsidRPr="00554D11">
        <w:t xml:space="preserve">To access this </w:t>
      </w:r>
      <w:r w:rsidRPr="00554D11">
        <w:lastRenderedPageBreak/>
        <w:t>document in eLibrary, type the docket number excluding the last three digits of this document in the docket number field.</w:t>
      </w:r>
    </w:p>
    <w:p w14:paraId="5B974A0A" w14:textId="0DF2F791" w:rsidR="00A123E5" w:rsidRPr="00554D11" w:rsidRDefault="00A123E5" w:rsidP="00554D11">
      <w:pPr>
        <w:pStyle w:val="FERCparanumber"/>
      </w:pPr>
      <w:r w:rsidRPr="00554D11">
        <w:t xml:space="preserve">User assistance is available for eLibrary and the Commission’s website during normal business hours from the Commission’s Online Support at </w:t>
      </w:r>
      <w:r w:rsidR="00C8145A">
        <w:t>(</w:t>
      </w:r>
      <w:r w:rsidRPr="00554D11">
        <w:t>202</w:t>
      </w:r>
      <w:r w:rsidR="00C8145A">
        <w:t xml:space="preserve">) </w:t>
      </w:r>
      <w:r w:rsidRPr="00554D11">
        <w:t xml:space="preserve">502-6652 (toll free at 1-866-208-3676) or email at </w:t>
      </w:r>
      <w:hyperlink r:id="rId19" w:history="1">
        <w:r w:rsidRPr="00554D11">
          <w:rPr>
            <w:rStyle w:val="Hyperlink"/>
          </w:rPr>
          <w:t>ferconlinesupport@ferc.gov</w:t>
        </w:r>
      </w:hyperlink>
      <w:r w:rsidRPr="00554D11">
        <w:t>, or the Public Reference Room at (202) 502-8371, TTY (202)</w:t>
      </w:r>
      <w:r w:rsidR="003E0C77" w:rsidRPr="00554D11">
        <w:t xml:space="preserve"> </w:t>
      </w:r>
      <w:r w:rsidRPr="00554D11">
        <w:t xml:space="preserve">502-8659.  E-mail the Public Reference Room at </w:t>
      </w:r>
      <w:hyperlink r:id="rId20" w:history="1">
        <w:r w:rsidRPr="00554D11">
          <w:rPr>
            <w:rStyle w:val="Hyperlink"/>
          </w:rPr>
          <w:t>public.referenceroom@ferc.gov</w:t>
        </w:r>
      </w:hyperlink>
      <w:r w:rsidRPr="00554D11">
        <w:t>.</w:t>
      </w:r>
    </w:p>
    <w:p w14:paraId="60E2A6A3" w14:textId="77777777" w:rsidR="007C57EA" w:rsidRPr="00554D11" w:rsidRDefault="007C57EA" w:rsidP="00731823">
      <w:pPr>
        <w:spacing w:line="480" w:lineRule="auto"/>
      </w:pPr>
      <w:r w:rsidRPr="00554D11">
        <w:rPr>
          <w:u w:val="single"/>
        </w:rPr>
        <w:t>List of subjects in 18 CFR Part 2</w:t>
      </w:r>
    </w:p>
    <w:p w14:paraId="721FB14D" w14:textId="5A79C836" w:rsidR="007C57EA" w:rsidRPr="00554D11" w:rsidRDefault="007C57EA" w:rsidP="00731823">
      <w:pPr>
        <w:spacing w:after="360"/>
      </w:pPr>
      <w:r w:rsidRPr="00554D11">
        <w:t>Electric utilities, Guidance and policy statements.</w:t>
      </w:r>
    </w:p>
    <w:p w14:paraId="5600375A" w14:textId="77777777" w:rsidR="00A123E5" w:rsidRPr="00554D11" w:rsidRDefault="00A123E5" w:rsidP="0096651A">
      <w:pPr>
        <w:spacing w:after="240"/>
        <w:rPr>
          <w:u w:val="single"/>
        </w:rPr>
      </w:pPr>
      <w:r w:rsidRPr="00554D11">
        <w:rPr>
          <w:u w:val="single"/>
        </w:rPr>
        <w:t>List of subjects in 18 CFR Part 38</w:t>
      </w:r>
    </w:p>
    <w:p w14:paraId="1311D3E5" w14:textId="77777777" w:rsidR="00A123E5" w:rsidRPr="00554D11" w:rsidRDefault="00A123E5" w:rsidP="007C0C74">
      <w:pPr>
        <w:spacing w:line="480" w:lineRule="auto"/>
      </w:pPr>
      <w:r w:rsidRPr="00554D11">
        <w:t xml:space="preserve">Conflict of interests, Electric power plants, Electric utilities, Incorporation by reference, </w:t>
      </w:r>
    </w:p>
    <w:p w14:paraId="2DFAB1D0" w14:textId="77777777" w:rsidR="00A123E5" w:rsidRPr="00554D11" w:rsidRDefault="00A123E5" w:rsidP="00731823">
      <w:pPr>
        <w:spacing w:after="240"/>
      </w:pPr>
      <w:r w:rsidRPr="00554D11">
        <w:t>Reporting and recordkeeping requirements</w:t>
      </w:r>
    </w:p>
    <w:p w14:paraId="29628D80" w14:textId="44DB2D1C" w:rsidR="001624A2" w:rsidRDefault="00A123E5" w:rsidP="00731823">
      <w:pPr>
        <w:spacing w:after="240"/>
      </w:pPr>
      <w:r w:rsidRPr="00554D11">
        <w:t xml:space="preserve">By </w:t>
      </w:r>
      <w:r w:rsidR="001624A2">
        <w:t xml:space="preserve">direction of </w:t>
      </w:r>
      <w:r w:rsidRPr="00554D11">
        <w:t>the Commission.</w:t>
      </w:r>
    </w:p>
    <w:p w14:paraId="1607694A" w14:textId="1A0B0051" w:rsidR="001624A2" w:rsidRDefault="001624A2" w:rsidP="001624A2">
      <w:pPr>
        <w:widowControl/>
      </w:pPr>
      <w:r w:rsidRPr="001624A2">
        <w:t>( S E A L )</w:t>
      </w:r>
    </w:p>
    <w:p w14:paraId="6746ABE1" w14:textId="1D3CCABB" w:rsidR="001624A2" w:rsidRDefault="001624A2" w:rsidP="001624A2">
      <w:pPr>
        <w:widowControl/>
      </w:pPr>
    </w:p>
    <w:p w14:paraId="403A224E" w14:textId="1142D0EC" w:rsidR="001624A2" w:rsidRDefault="001624A2" w:rsidP="001624A2">
      <w:pPr>
        <w:widowControl/>
      </w:pPr>
    </w:p>
    <w:p w14:paraId="4B55A542" w14:textId="2FB19F4F" w:rsidR="001624A2" w:rsidRDefault="001624A2" w:rsidP="001624A2">
      <w:pPr>
        <w:widowControl/>
      </w:pPr>
    </w:p>
    <w:p w14:paraId="4C39545E" w14:textId="4E667C9B" w:rsidR="001624A2" w:rsidRDefault="001624A2" w:rsidP="001624A2">
      <w:pPr>
        <w:widowControl/>
      </w:pPr>
    </w:p>
    <w:p w14:paraId="4CC713B6" w14:textId="3AD53DB7" w:rsidR="001624A2" w:rsidRPr="001624A2" w:rsidRDefault="001624A2" w:rsidP="001624A2">
      <w:pPr>
        <w:widowControl/>
        <w:ind w:firstLine="2606"/>
        <w:jc w:val="center"/>
      </w:pPr>
      <w:r w:rsidRPr="001624A2">
        <w:t>Nathaniel J. Davis, Sr.,</w:t>
      </w:r>
    </w:p>
    <w:p w14:paraId="599A2EDC" w14:textId="0EB3767E" w:rsidR="00B652DE" w:rsidRDefault="001624A2" w:rsidP="001624A2">
      <w:pPr>
        <w:widowControl/>
        <w:ind w:firstLine="2606"/>
        <w:jc w:val="center"/>
      </w:pPr>
      <w:r w:rsidRPr="001624A2">
        <w:t>Deputy Secretary.</w:t>
      </w:r>
    </w:p>
    <w:p w14:paraId="15D579EC" w14:textId="77777777" w:rsidR="00B652DE" w:rsidRDefault="00B652DE">
      <w:pPr>
        <w:widowControl/>
        <w:autoSpaceDE/>
        <w:autoSpaceDN/>
        <w:adjustRightInd/>
      </w:pPr>
      <w:r>
        <w:br w:type="page"/>
      </w:r>
    </w:p>
    <w:p w14:paraId="67206400" w14:textId="68B48976" w:rsidR="007C57EA" w:rsidRPr="00554D11" w:rsidRDefault="00A123E5" w:rsidP="007C57EA">
      <w:pPr>
        <w:widowControl/>
        <w:spacing w:line="480" w:lineRule="auto"/>
      </w:pPr>
      <w:r w:rsidRPr="00554D11">
        <w:lastRenderedPageBreak/>
        <w:t xml:space="preserve">In consideration of the foregoing, the Commission proposes to </w:t>
      </w:r>
      <w:r w:rsidR="00B014DA">
        <w:t>amend</w:t>
      </w:r>
      <w:r w:rsidR="00B014DA" w:rsidRPr="00554D11">
        <w:t xml:space="preserve"> </w:t>
      </w:r>
      <w:r w:rsidR="007C57EA" w:rsidRPr="00554D11">
        <w:t>Part</w:t>
      </w:r>
      <w:r w:rsidR="00B014DA">
        <w:t>s</w:t>
      </w:r>
      <w:r w:rsidR="007C57EA" w:rsidRPr="00554D11">
        <w:t xml:space="preserve"> 2</w:t>
      </w:r>
      <w:r w:rsidR="00B014DA">
        <w:t xml:space="preserve"> and 38</w:t>
      </w:r>
      <w:r w:rsidR="007C57EA" w:rsidRPr="00554D11">
        <w:t>,</w:t>
      </w:r>
      <w:r w:rsidR="00B014DA">
        <w:t xml:space="preserve"> </w:t>
      </w:r>
      <w:r w:rsidR="007C57EA" w:rsidRPr="00554D11">
        <w:t xml:space="preserve">Chapter I, Title 18, </w:t>
      </w:r>
      <w:r w:rsidR="007C57EA" w:rsidRPr="00554D11">
        <w:rPr>
          <w:u w:val="single"/>
        </w:rPr>
        <w:t>Code of Federal Regulations</w:t>
      </w:r>
      <w:r w:rsidR="007C57EA" w:rsidRPr="00554D11">
        <w:t>, as follows:</w:t>
      </w:r>
    </w:p>
    <w:p w14:paraId="60A94CC8" w14:textId="77777777" w:rsidR="007C57EA" w:rsidRPr="00554D11" w:rsidRDefault="007C57EA" w:rsidP="007C57EA">
      <w:pPr>
        <w:widowControl/>
        <w:spacing w:line="480" w:lineRule="auto"/>
        <w:rPr>
          <w:b/>
        </w:rPr>
      </w:pPr>
      <w:r w:rsidRPr="00554D11">
        <w:rPr>
          <w:b/>
        </w:rPr>
        <w:t>PART 2- GENERAL POLICY AND INTERPRETATIONS</w:t>
      </w:r>
    </w:p>
    <w:p w14:paraId="59F38D5D" w14:textId="4D370C97" w:rsidR="007C57EA" w:rsidRPr="00554D11" w:rsidRDefault="00E73301" w:rsidP="00E73301">
      <w:pPr>
        <w:pStyle w:val="FERCparanumber"/>
        <w:numPr>
          <w:ilvl w:val="0"/>
          <w:numId w:val="0"/>
        </w:numPr>
      </w:pPr>
      <w:r w:rsidRPr="00554D11">
        <w:t>1.</w:t>
      </w:r>
      <w:r w:rsidRPr="00554D11">
        <w:tab/>
      </w:r>
      <w:r w:rsidR="007C57EA" w:rsidRPr="00554D11">
        <w:t>The authority citation for Part 2 continues to read as follows:</w:t>
      </w:r>
    </w:p>
    <w:p w14:paraId="6F831A86" w14:textId="77777777" w:rsidR="007C57EA" w:rsidRPr="00554D11" w:rsidRDefault="007C57EA" w:rsidP="007C57EA">
      <w:pPr>
        <w:widowControl/>
        <w:spacing w:line="480" w:lineRule="auto"/>
      </w:pPr>
      <w:r w:rsidRPr="00554D11">
        <w:t>Authority:  5 U.S.C. 601; 15 U.S.C. 717-717z, 3301-3432, 16 U.S.C. 792-828c, 2601-2645; 42 U.S.C. 4321-4370h, 7101-7352.</w:t>
      </w:r>
    </w:p>
    <w:p w14:paraId="23C41948" w14:textId="53EAE887" w:rsidR="007C57EA" w:rsidRPr="00554D11" w:rsidRDefault="00E73301" w:rsidP="00E73301">
      <w:pPr>
        <w:pStyle w:val="FERCparanumber"/>
        <w:numPr>
          <w:ilvl w:val="0"/>
          <w:numId w:val="0"/>
        </w:numPr>
      </w:pPr>
      <w:r w:rsidRPr="00554D11">
        <w:t>2.</w:t>
      </w:r>
      <w:r w:rsidRPr="00554D11">
        <w:tab/>
      </w:r>
      <w:r w:rsidR="008867B7" w:rsidRPr="00554D11">
        <w:t>Amend §</w:t>
      </w:r>
      <w:r w:rsidR="007C57EA" w:rsidRPr="00554D11">
        <w:t xml:space="preserve"> 2.27 </w:t>
      </w:r>
      <w:r w:rsidR="008867B7" w:rsidRPr="00554D11">
        <w:t>by</w:t>
      </w:r>
      <w:r w:rsidR="007C57EA" w:rsidRPr="00554D11">
        <w:t xml:space="preserve"> </w:t>
      </w:r>
      <w:r w:rsidR="00792274" w:rsidRPr="00554D11">
        <w:t>revis</w:t>
      </w:r>
      <w:r w:rsidR="008867B7" w:rsidRPr="00554D11">
        <w:t>ing</w:t>
      </w:r>
      <w:r w:rsidR="007C57EA" w:rsidRPr="00554D11">
        <w:t xml:space="preserve"> </w:t>
      </w:r>
      <w:r w:rsidR="008867B7" w:rsidRPr="00554D11">
        <w:t xml:space="preserve">paragraph (d) </w:t>
      </w:r>
      <w:r w:rsidR="007C57EA" w:rsidRPr="00554D11">
        <w:t>to read as follows:</w:t>
      </w:r>
    </w:p>
    <w:p w14:paraId="350A9BED" w14:textId="132D5760" w:rsidR="007C57EA" w:rsidRPr="00554D11" w:rsidRDefault="007C57EA" w:rsidP="007C57EA">
      <w:pPr>
        <w:widowControl/>
        <w:spacing w:line="480" w:lineRule="auto"/>
        <w:rPr>
          <w:b/>
        </w:rPr>
      </w:pPr>
      <w:r w:rsidRPr="00554D11">
        <w:rPr>
          <w:b/>
        </w:rPr>
        <w:t xml:space="preserve">§ </w:t>
      </w:r>
      <w:proofErr w:type="gramStart"/>
      <w:r w:rsidRPr="00554D11">
        <w:rPr>
          <w:b/>
        </w:rPr>
        <w:t xml:space="preserve">2.27  </w:t>
      </w:r>
      <w:r w:rsidRPr="00554D11">
        <w:rPr>
          <w:b/>
          <w:u w:val="single"/>
        </w:rPr>
        <w:t>Availability</w:t>
      </w:r>
      <w:proofErr w:type="gramEnd"/>
      <w:r w:rsidRPr="00554D11">
        <w:rPr>
          <w:b/>
          <w:u w:val="single"/>
        </w:rPr>
        <w:t xml:space="preserve"> of North American Energy Standards Board </w:t>
      </w:r>
      <w:r w:rsidR="00B014DA">
        <w:rPr>
          <w:b/>
          <w:u w:val="single"/>
        </w:rPr>
        <w:t xml:space="preserve">(NAESB) </w:t>
      </w:r>
      <w:r w:rsidRPr="00554D11">
        <w:rPr>
          <w:b/>
          <w:u w:val="single"/>
        </w:rPr>
        <w:t xml:space="preserve">Smart Grid Standards as </w:t>
      </w:r>
      <w:r w:rsidR="00B014DA">
        <w:rPr>
          <w:b/>
          <w:u w:val="single"/>
        </w:rPr>
        <w:t>n</w:t>
      </w:r>
      <w:r w:rsidRPr="00554D11">
        <w:rPr>
          <w:b/>
          <w:u w:val="single"/>
        </w:rPr>
        <w:t>on-</w:t>
      </w:r>
      <w:r w:rsidR="00B014DA">
        <w:rPr>
          <w:b/>
          <w:u w:val="single"/>
        </w:rPr>
        <w:t>m</w:t>
      </w:r>
      <w:r w:rsidRPr="00554D11">
        <w:rPr>
          <w:b/>
          <w:u w:val="single"/>
        </w:rPr>
        <w:t xml:space="preserve">andatory </w:t>
      </w:r>
      <w:r w:rsidR="00B014DA">
        <w:rPr>
          <w:b/>
          <w:u w:val="single"/>
        </w:rPr>
        <w:t>g</w:t>
      </w:r>
      <w:r w:rsidRPr="00554D11">
        <w:rPr>
          <w:b/>
          <w:u w:val="single"/>
        </w:rPr>
        <w:t>uidance</w:t>
      </w:r>
      <w:r w:rsidRPr="00554D11">
        <w:rPr>
          <w:b/>
        </w:rPr>
        <w:t>.</w:t>
      </w:r>
    </w:p>
    <w:p w14:paraId="69447A00" w14:textId="5D58AC86" w:rsidR="00490BAB" w:rsidRPr="00554D11" w:rsidRDefault="00490BAB" w:rsidP="00731823">
      <w:pPr>
        <w:pStyle w:val="ListParagraph"/>
        <w:widowControl/>
        <w:spacing w:line="480" w:lineRule="auto"/>
      </w:pPr>
      <w:r w:rsidRPr="00554D11">
        <w:t xml:space="preserve">* </w:t>
      </w:r>
      <w:r w:rsidRPr="00554D11">
        <w:tab/>
      </w:r>
      <w:r w:rsidRPr="00554D11">
        <w:tab/>
        <w:t xml:space="preserve">* </w:t>
      </w:r>
      <w:r w:rsidRPr="00554D11">
        <w:tab/>
      </w:r>
      <w:r w:rsidRPr="00554D11">
        <w:tab/>
        <w:t xml:space="preserve">* </w:t>
      </w:r>
      <w:r w:rsidR="008867B7" w:rsidRPr="00554D11">
        <w:tab/>
      </w:r>
    </w:p>
    <w:p w14:paraId="6EF441BE" w14:textId="6D5079D6" w:rsidR="00490BAB" w:rsidRPr="00554D11" w:rsidRDefault="007C57EA" w:rsidP="00731823">
      <w:pPr>
        <w:pStyle w:val="ListParagraph"/>
        <w:widowControl/>
        <w:numPr>
          <w:ilvl w:val="0"/>
          <w:numId w:val="103"/>
        </w:numPr>
        <w:spacing w:line="480" w:lineRule="auto"/>
        <w:ind w:left="0" w:firstLine="0"/>
      </w:pPr>
      <w:r w:rsidRPr="00554D11">
        <w:t xml:space="preserve">WEQ-019, Customer Energy Usage Information Communication  </w:t>
      </w:r>
      <w:r w:rsidR="00572819" w:rsidRPr="00554D11">
        <w:t>(W</w:t>
      </w:r>
      <w:r w:rsidRPr="00554D11">
        <w:t>EQ Version 003</w:t>
      </w:r>
      <w:r w:rsidR="00792274" w:rsidRPr="00554D11">
        <w:t>.1</w:t>
      </w:r>
      <w:r w:rsidR="00572819" w:rsidRPr="00554D11">
        <w:t>, Sep. 30, 2015)</w:t>
      </w:r>
      <w:r w:rsidRPr="00554D11">
        <w:t>; and</w:t>
      </w:r>
    </w:p>
    <w:p w14:paraId="2EFC653E" w14:textId="6BBF41C5" w:rsidR="00490BAB" w:rsidRPr="00554D11" w:rsidRDefault="008867B7" w:rsidP="00731823">
      <w:pPr>
        <w:spacing w:after="360"/>
      </w:pPr>
      <w:r w:rsidRPr="00554D11">
        <w:t>*</w:t>
      </w:r>
      <w:r w:rsidRPr="00554D11">
        <w:tab/>
      </w:r>
      <w:r w:rsidRPr="00554D11">
        <w:tab/>
        <w:t>*</w:t>
      </w:r>
      <w:r w:rsidRPr="00554D11">
        <w:tab/>
      </w:r>
      <w:r w:rsidRPr="00554D11">
        <w:tab/>
        <w:t>*</w:t>
      </w:r>
      <w:r w:rsidRPr="00554D11">
        <w:tab/>
      </w:r>
      <w:r w:rsidRPr="00554D11">
        <w:tab/>
        <w:t>*</w:t>
      </w:r>
      <w:r w:rsidRPr="00554D11">
        <w:tab/>
      </w:r>
      <w:r w:rsidRPr="00554D11">
        <w:tab/>
        <w:t>*</w:t>
      </w:r>
    </w:p>
    <w:p w14:paraId="3DFF6B21" w14:textId="074A00D1" w:rsidR="00A123E5" w:rsidRPr="00554D11" w:rsidRDefault="00A123E5" w:rsidP="00490BAB">
      <w:pPr>
        <w:spacing w:after="240"/>
        <w:rPr>
          <w:b/>
        </w:rPr>
      </w:pPr>
      <w:r w:rsidRPr="00554D11">
        <w:rPr>
          <w:b/>
        </w:rPr>
        <w:t>PART 38 – STANDARDS FOR PUBLIC UTILIT</w:t>
      </w:r>
      <w:r w:rsidR="008B1535">
        <w:rPr>
          <w:b/>
        </w:rPr>
        <w:t>Y BUSINESS OPERATIONS AND COMMUNICATIONS</w:t>
      </w:r>
    </w:p>
    <w:p w14:paraId="27722E28" w14:textId="5FC40D6A" w:rsidR="00A123E5" w:rsidRPr="00554D11" w:rsidRDefault="00E73301" w:rsidP="00A744E4">
      <w:pPr>
        <w:pStyle w:val="FERCparanumber"/>
        <w:numPr>
          <w:ilvl w:val="0"/>
          <w:numId w:val="0"/>
        </w:numPr>
      </w:pPr>
      <w:r w:rsidRPr="00554D11">
        <w:t>3</w:t>
      </w:r>
      <w:r w:rsidR="00F44E0F" w:rsidRPr="00554D11">
        <w:t>.</w:t>
      </w:r>
      <w:r w:rsidR="00F44E0F" w:rsidRPr="00554D11">
        <w:tab/>
      </w:r>
      <w:r w:rsidR="00A123E5" w:rsidRPr="00554D11">
        <w:t xml:space="preserve">The authority citation for </w:t>
      </w:r>
      <w:r w:rsidR="00D55405" w:rsidRPr="00554D11">
        <w:t>P</w:t>
      </w:r>
      <w:r w:rsidR="00A123E5" w:rsidRPr="00554D11">
        <w:t>art 38 continues to read as follows:</w:t>
      </w:r>
    </w:p>
    <w:p w14:paraId="6261877A" w14:textId="77777777" w:rsidR="00A123E5" w:rsidRPr="00554D11" w:rsidRDefault="00A123E5" w:rsidP="007C0C74">
      <w:pPr>
        <w:spacing w:line="480" w:lineRule="auto"/>
      </w:pPr>
      <w:r w:rsidRPr="00554D11">
        <w:t>Authority: 16 U.S.C. 791-825r, 2601-2645; 31 U.S.C. 9701; 42 U.S.C. 7101-7352.</w:t>
      </w:r>
    </w:p>
    <w:p w14:paraId="52973015" w14:textId="07A42390" w:rsidR="00A123E5" w:rsidRPr="00554D11" w:rsidRDefault="00E73301" w:rsidP="00A744E4">
      <w:pPr>
        <w:pStyle w:val="FERCparanumber"/>
        <w:numPr>
          <w:ilvl w:val="0"/>
          <w:numId w:val="0"/>
        </w:numPr>
        <w:rPr>
          <w:b/>
        </w:rPr>
      </w:pPr>
      <w:r w:rsidRPr="00554D11">
        <w:t>4</w:t>
      </w:r>
      <w:r w:rsidR="00F44E0F" w:rsidRPr="00554D11">
        <w:t>.</w:t>
      </w:r>
      <w:r w:rsidR="00F44E0F" w:rsidRPr="00554D11">
        <w:tab/>
      </w:r>
      <w:r w:rsidR="008867B7" w:rsidRPr="00554D11">
        <w:t xml:space="preserve">Amend </w:t>
      </w:r>
      <w:r w:rsidR="00A123E5" w:rsidRPr="00554D11">
        <w:t>§ 38.</w:t>
      </w:r>
      <w:r w:rsidR="00D21466">
        <w:t>1</w:t>
      </w:r>
      <w:r w:rsidR="00A123E5" w:rsidRPr="00554D11">
        <w:t xml:space="preserve">, </w:t>
      </w:r>
      <w:r w:rsidR="008867B7" w:rsidRPr="00554D11">
        <w:t xml:space="preserve">by revising </w:t>
      </w:r>
      <w:r w:rsidR="00A123E5" w:rsidRPr="00554D11">
        <w:t>paragraph (</w:t>
      </w:r>
      <w:r w:rsidR="00D21466">
        <w:t>b</w:t>
      </w:r>
      <w:r w:rsidR="00A123E5" w:rsidRPr="00554D11">
        <w:t>) to read as follows:</w:t>
      </w:r>
    </w:p>
    <w:p w14:paraId="0D1C6A87" w14:textId="3EF4FBDE" w:rsidR="00A123E5" w:rsidRPr="00554D11" w:rsidRDefault="00A123E5" w:rsidP="007C0C74">
      <w:pPr>
        <w:rPr>
          <w:b/>
          <w:u w:val="single"/>
        </w:rPr>
      </w:pPr>
      <w:r w:rsidRPr="00554D11">
        <w:rPr>
          <w:b/>
        </w:rPr>
        <w:t>§ 38.</w:t>
      </w:r>
      <w:r w:rsidR="00BB7506">
        <w:rPr>
          <w:b/>
        </w:rPr>
        <w:t>1</w:t>
      </w:r>
      <w:r w:rsidRPr="00554D11">
        <w:rPr>
          <w:b/>
        </w:rPr>
        <w:tab/>
        <w:t xml:space="preserve"> </w:t>
      </w:r>
      <w:r w:rsidRPr="00554D11">
        <w:rPr>
          <w:b/>
          <w:u w:val="single"/>
        </w:rPr>
        <w:t>Incorporation by reference of North American Energy Standards Board</w:t>
      </w:r>
    </w:p>
    <w:p w14:paraId="162F68CE" w14:textId="77777777" w:rsidR="00A123E5" w:rsidRPr="00554D11" w:rsidRDefault="00A123E5" w:rsidP="007C0C74">
      <w:pPr>
        <w:rPr>
          <w:b/>
          <w:u w:val="single"/>
        </w:rPr>
      </w:pPr>
    </w:p>
    <w:p w14:paraId="33D45D4F" w14:textId="77777777" w:rsidR="00A123E5" w:rsidRPr="00554D11" w:rsidRDefault="00A123E5" w:rsidP="007C0C74">
      <w:pPr>
        <w:rPr>
          <w:b/>
        </w:rPr>
      </w:pPr>
      <w:proofErr w:type="gramStart"/>
      <w:r w:rsidRPr="00554D11">
        <w:rPr>
          <w:b/>
          <w:u w:val="single"/>
        </w:rPr>
        <w:t>Wholesale Electric Quadrant standards</w:t>
      </w:r>
      <w:r w:rsidRPr="00554D11">
        <w:rPr>
          <w:b/>
        </w:rPr>
        <w:t>.</w:t>
      </w:r>
      <w:proofErr w:type="gramEnd"/>
    </w:p>
    <w:p w14:paraId="750C7B8F" w14:textId="77777777" w:rsidR="00A123E5" w:rsidRPr="00554D11" w:rsidRDefault="00A123E5" w:rsidP="007C0C74"/>
    <w:p w14:paraId="7AED114F" w14:textId="576F4219" w:rsidR="00A123E5" w:rsidRPr="00554D11" w:rsidRDefault="00A123E5" w:rsidP="00731823">
      <w:pPr>
        <w:spacing w:after="240"/>
        <w:ind w:firstLine="720"/>
      </w:pPr>
      <w:r w:rsidRPr="00554D11">
        <w:t>(</w:t>
      </w:r>
      <w:r w:rsidR="00D21466">
        <w:t>b</w:t>
      </w:r>
      <w:r w:rsidRPr="00554D11">
        <w:t>)</w:t>
      </w:r>
      <w:r w:rsidRPr="00554D11">
        <w:tab/>
        <w:t>*</w:t>
      </w:r>
      <w:r w:rsidRPr="00554D11">
        <w:tab/>
        <w:t xml:space="preserve">          *</w:t>
      </w:r>
      <w:r w:rsidRPr="00554D11">
        <w:tab/>
        <w:t xml:space="preserve">          *</w:t>
      </w:r>
      <w:r w:rsidRPr="00554D11">
        <w:tab/>
      </w:r>
    </w:p>
    <w:p w14:paraId="33667CEC" w14:textId="77777777" w:rsidR="00E40FCD" w:rsidRDefault="00E40FCD" w:rsidP="00A744E4">
      <w:pPr>
        <w:pStyle w:val="FERCparanumber"/>
        <w:numPr>
          <w:ilvl w:val="0"/>
          <w:numId w:val="0"/>
        </w:numPr>
        <w:ind w:firstLine="720"/>
      </w:pPr>
    </w:p>
    <w:p w14:paraId="279F353D" w14:textId="77777777" w:rsidR="00407398" w:rsidRDefault="00407398" w:rsidP="00A744E4">
      <w:pPr>
        <w:pStyle w:val="FERCparanumber"/>
        <w:numPr>
          <w:ilvl w:val="0"/>
          <w:numId w:val="0"/>
        </w:numPr>
        <w:ind w:firstLine="720"/>
      </w:pPr>
    </w:p>
    <w:p w14:paraId="5C2CC0B7" w14:textId="77777777" w:rsidR="00BC53B9" w:rsidRPr="00554D11" w:rsidRDefault="006D783F" w:rsidP="00A744E4">
      <w:pPr>
        <w:pStyle w:val="FERCparanumber"/>
        <w:numPr>
          <w:ilvl w:val="0"/>
          <w:numId w:val="0"/>
        </w:numPr>
        <w:ind w:firstLine="720"/>
      </w:pPr>
      <w:r w:rsidRPr="00554D11">
        <w:lastRenderedPageBreak/>
        <w:t xml:space="preserve">(1)  WEQ-000, </w:t>
      </w:r>
      <w:r w:rsidR="00A123E5" w:rsidRPr="00554D11">
        <w:t>Abbreviations, Acronyms, and Definition of Terms</w:t>
      </w:r>
    </w:p>
    <w:p w14:paraId="3BEA0F29" w14:textId="77777777" w:rsidR="00A123E5" w:rsidRPr="00554D11" w:rsidRDefault="00A123E5" w:rsidP="005D6F3B">
      <w:pPr>
        <w:pStyle w:val="RegText"/>
        <w:numPr>
          <w:ilvl w:val="0"/>
          <w:numId w:val="0"/>
        </w:numPr>
        <w:spacing w:line="480" w:lineRule="auto"/>
      </w:pPr>
      <w:r w:rsidRPr="00554D11">
        <w:t>(</w:t>
      </w:r>
      <w:r w:rsidR="006A07A9" w:rsidRPr="00554D11">
        <w:t>Version 003</w:t>
      </w:r>
      <w:r w:rsidR="006D783F" w:rsidRPr="00554D11">
        <w:t>.1</w:t>
      </w:r>
      <w:r w:rsidR="006A07A9" w:rsidRPr="00554D11">
        <w:t>,</w:t>
      </w:r>
      <w:r w:rsidR="006D783F" w:rsidRPr="00554D11">
        <w:t xml:space="preserve"> Sep., 30, 2015</w:t>
      </w:r>
      <w:r w:rsidRPr="00554D11">
        <w:t>);</w:t>
      </w:r>
    </w:p>
    <w:p w14:paraId="1D547A34" w14:textId="77777777" w:rsidR="00BC53B9" w:rsidRPr="00554D11" w:rsidRDefault="006D783F" w:rsidP="00A744E4">
      <w:pPr>
        <w:pStyle w:val="FERCparanumber"/>
        <w:numPr>
          <w:ilvl w:val="0"/>
          <w:numId w:val="0"/>
        </w:numPr>
        <w:ind w:firstLine="720"/>
      </w:pPr>
      <w:r w:rsidRPr="00554D11">
        <w:t xml:space="preserve">(2)  WEQ-001, </w:t>
      </w:r>
      <w:r w:rsidR="00A123E5" w:rsidRPr="00554D11">
        <w:t xml:space="preserve">Open Access Same-Time Information System (OASIS), </w:t>
      </w:r>
      <w:r w:rsidR="00D417EF" w:rsidRPr="00554D11">
        <w:t xml:space="preserve">OASIS </w:t>
      </w:r>
      <w:r w:rsidR="00A123E5" w:rsidRPr="00554D11">
        <w:t xml:space="preserve">Version </w:t>
      </w:r>
      <w:r w:rsidR="009B6DE6" w:rsidRPr="00554D11">
        <w:t>2.</w:t>
      </w:r>
      <w:r w:rsidR="00DD38AF" w:rsidRPr="00554D11">
        <w:t>1</w:t>
      </w:r>
      <w:r w:rsidR="009B6DE6" w:rsidRPr="00554D11">
        <w:t xml:space="preserve"> </w:t>
      </w:r>
      <w:r w:rsidR="00A123E5" w:rsidRPr="00554D11">
        <w:t xml:space="preserve">(WEQ </w:t>
      </w:r>
      <w:r w:rsidR="006A07A9" w:rsidRPr="00554D11">
        <w:t>Version 003</w:t>
      </w:r>
      <w:r w:rsidR="00DD38AF" w:rsidRPr="00554D11">
        <w:t>.1</w:t>
      </w:r>
      <w:r w:rsidR="006A07A9" w:rsidRPr="00554D11">
        <w:t xml:space="preserve">, </w:t>
      </w:r>
      <w:r w:rsidR="00DD38AF" w:rsidRPr="00554D11">
        <w:t>Sep. 30, 2015</w:t>
      </w:r>
      <w:r w:rsidR="00A123E5" w:rsidRPr="00554D11">
        <w:t xml:space="preserve">) with the exception of Standards </w:t>
      </w:r>
      <w:r w:rsidR="00DD38AF" w:rsidRPr="00554D11">
        <w:t xml:space="preserve">001-9.5, 001-10.5, </w:t>
      </w:r>
      <w:r w:rsidR="00A123E5" w:rsidRPr="00554D11">
        <w:t>001-14.1.3</w:t>
      </w:r>
      <w:r w:rsidR="00DD38AF" w:rsidRPr="00554D11">
        <w:t>,</w:t>
      </w:r>
      <w:r w:rsidR="00A123E5" w:rsidRPr="00554D11">
        <w:t xml:space="preserve"> 001-15.1.2</w:t>
      </w:r>
      <w:r w:rsidR="00DD38AF" w:rsidRPr="00554D11">
        <w:t xml:space="preserve"> and 001-106.2.5</w:t>
      </w:r>
      <w:r w:rsidR="00A123E5" w:rsidRPr="00554D11">
        <w:t>);</w:t>
      </w:r>
    </w:p>
    <w:p w14:paraId="4CE0DC5B" w14:textId="77777777" w:rsidR="00A123E5" w:rsidRPr="00554D11" w:rsidRDefault="00DD38AF" w:rsidP="00A744E4">
      <w:pPr>
        <w:pStyle w:val="FERCparanumber"/>
        <w:numPr>
          <w:ilvl w:val="0"/>
          <w:numId w:val="0"/>
        </w:numPr>
        <w:ind w:firstLine="720"/>
      </w:pPr>
      <w:r w:rsidRPr="00554D11">
        <w:t xml:space="preserve">(3)  WEQ-002, </w:t>
      </w:r>
      <w:r w:rsidR="00D508E8" w:rsidRPr="00554D11">
        <w:t>Open Access Same-Time Information System (</w:t>
      </w:r>
      <w:r w:rsidR="00A123E5" w:rsidRPr="00554D11">
        <w:t>OASIS</w:t>
      </w:r>
      <w:r w:rsidR="00D508E8" w:rsidRPr="00554D11">
        <w:t>)</w:t>
      </w:r>
      <w:r w:rsidR="00A123E5" w:rsidRPr="00554D11">
        <w:t xml:space="preserve"> </w:t>
      </w:r>
      <w:r w:rsidR="009B6DE6" w:rsidRPr="00554D11">
        <w:t xml:space="preserve">Business Practice </w:t>
      </w:r>
      <w:r w:rsidR="00A123E5" w:rsidRPr="00554D11">
        <w:t>Standards and Communication Protocols</w:t>
      </w:r>
      <w:r w:rsidR="009B6DE6" w:rsidRPr="00554D11">
        <w:t xml:space="preserve"> (S&amp;CP)</w:t>
      </w:r>
      <w:r w:rsidR="00A123E5" w:rsidRPr="00554D11">
        <w:t xml:space="preserve">, </w:t>
      </w:r>
      <w:r w:rsidR="00D417EF" w:rsidRPr="00554D11">
        <w:t xml:space="preserve">OASIS </w:t>
      </w:r>
      <w:r w:rsidR="00A123E5" w:rsidRPr="00554D11">
        <w:t xml:space="preserve">Version </w:t>
      </w:r>
      <w:r w:rsidR="009B6DE6" w:rsidRPr="00554D11">
        <w:t>2.</w:t>
      </w:r>
      <w:r w:rsidRPr="00554D11">
        <w:t>1</w:t>
      </w:r>
      <w:r w:rsidR="00BC53B9" w:rsidRPr="00554D11">
        <w:t xml:space="preserve"> </w:t>
      </w:r>
      <w:r w:rsidR="00A123E5" w:rsidRPr="00554D11">
        <w:t>(WEQ</w:t>
      </w:r>
      <w:r w:rsidR="006A07A9" w:rsidRPr="00554D11">
        <w:t xml:space="preserve"> Version 003</w:t>
      </w:r>
      <w:r w:rsidRPr="00554D11">
        <w:t>.1</w:t>
      </w:r>
      <w:r w:rsidR="00A123E5" w:rsidRPr="00554D11">
        <w:t>,</w:t>
      </w:r>
      <w:r w:rsidR="006A07A9" w:rsidRPr="00554D11">
        <w:t xml:space="preserve"> </w:t>
      </w:r>
      <w:r w:rsidRPr="00554D11">
        <w:t xml:space="preserve">Sep. 30, </w:t>
      </w:r>
      <w:r w:rsidR="00A123E5" w:rsidRPr="00554D11">
        <w:t>201</w:t>
      </w:r>
      <w:r w:rsidRPr="00554D11">
        <w:t>5</w:t>
      </w:r>
      <w:r w:rsidR="00A123E5" w:rsidRPr="00554D11">
        <w:t>);</w:t>
      </w:r>
    </w:p>
    <w:p w14:paraId="69726320" w14:textId="77777777" w:rsidR="00A123E5" w:rsidRPr="00554D11" w:rsidRDefault="00DD38AF" w:rsidP="00A744E4">
      <w:pPr>
        <w:pStyle w:val="FERCparanumber"/>
        <w:numPr>
          <w:ilvl w:val="0"/>
          <w:numId w:val="0"/>
        </w:numPr>
        <w:ind w:firstLine="720"/>
      </w:pPr>
      <w:r w:rsidRPr="00554D11">
        <w:t xml:space="preserve">(4)  WEQ-003, </w:t>
      </w:r>
      <w:r w:rsidR="009B6DE6" w:rsidRPr="00554D11">
        <w:t>Open Access Same-Time Information System (</w:t>
      </w:r>
      <w:r w:rsidR="00A123E5" w:rsidRPr="00554D11">
        <w:t>OASIS</w:t>
      </w:r>
      <w:r w:rsidR="009B6DE6" w:rsidRPr="00554D11">
        <w:t>)</w:t>
      </w:r>
      <w:r w:rsidR="00A123E5" w:rsidRPr="00554D11">
        <w:t xml:space="preserve"> Data Dictionar</w:t>
      </w:r>
      <w:r w:rsidR="009B6DE6" w:rsidRPr="00554D11">
        <w:t>y Business Practice Standards</w:t>
      </w:r>
      <w:r w:rsidR="00A123E5" w:rsidRPr="00554D11">
        <w:t xml:space="preserve">, </w:t>
      </w:r>
      <w:r w:rsidR="00D417EF" w:rsidRPr="00554D11">
        <w:t xml:space="preserve">OASIS </w:t>
      </w:r>
      <w:r w:rsidR="00A123E5" w:rsidRPr="00554D11">
        <w:t xml:space="preserve">Version </w:t>
      </w:r>
      <w:r w:rsidR="009B6DE6" w:rsidRPr="00554D11">
        <w:t>2.</w:t>
      </w:r>
      <w:r w:rsidRPr="00554D11">
        <w:t>1</w:t>
      </w:r>
      <w:r w:rsidR="00BC53B9" w:rsidRPr="00554D11">
        <w:t xml:space="preserve"> </w:t>
      </w:r>
      <w:r w:rsidR="00A123E5" w:rsidRPr="00554D11">
        <w:t>(WEQ</w:t>
      </w:r>
      <w:r w:rsidR="006A07A9" w:rsidRPr="00554D11">
        <w:t xml:space="preserve"> Version 003</w:t>
      </w:r>
      <w:r w:rsidR="00D417EF" w:rsidRPr="00554D11">
        <w:t>.1</w:t>
      </w:r>
      <w:r w:rsidR="00A123E5" w:rsidRPr="00554D11">
        <w:t xml:space="preserve">, </w:t>
      </w:r>
      <w:r w:rsidR="00D417EF" w:rsidRPr="00554D11">
        <w:t>Sep. 30</w:t>
      </w:r>
      <w:r w:rsidR="00A123E5" w:rsidRPr="00554D11">
        <w:t>, 201</w:t>
      </w:r>
      <w:r w:rsidR="00D417EF" w:rsidRPr="00554D11">
        <w:t>5</w:t>
      </w:r>
      <w:r w:rsidR="00A123E5" w:rsidRPr="00554D11">
        <w:t>);</w:t>
      </w:r>
    </w:p>
    <w:p w14:paraId="6451BB2F" w14:textId="77777777" w:rsidR="00081740" w:rsidRPr="00554D11" w:rsidRDefault="00D417EF" w:rsidP="00A744E4">
      <w:pPr>
        <w:pStyle w:val="FERCparanumber"/>
        <w:numPr>
          <w:ilvl w:val="0"/>
          <w:numId w:val="0"/>
        </w:numPr>
        <w:ind w:firstLine="720"/>
      </w:pPr>
      <w:r w:rsidRPr="00554D11">
        <w:t xml:space="preserve">(5) WEQ-004, </w:t>
      </w:r>
      <w:r w:rsidR="00A123E5" w:rsidRPr="00554D11">
        <w:t>Coordinate Interchange (WEQ</w:t>
      </w:r>
      <w:r w:rsidR="006A07A9" w:rsidRPr="00554D11">
        <w:t xml:space="preserve"> Version 003</w:t>
      </w:r>
      <w:r w:rsidRPr="00554D11">
        <w:t>.1</w:t>
      </w:r>
      <w:r w:rsidR="00A123E5" w:rsidRPr="00554D11">
        <w:t xml:space="preserve">, </w:t>
      </w:r>
      <w:r w:rsidRPr="00554D11">
        <w:t>Sep.</w:t>
      </w:r>
      <w:r w:rsidR="00A123E5" w:rsidRPr="00554D11">
        <w:t xml:space="preserve"> 3</w:t>
      </w:r>
      <w:r w:rsidRPr="00554D11">
        <w:t>0</w:t>
      </w:r>
      <w:r w:rsidR="00A123E5" w:rsidRPr="00554D11">
        <w:t>, 201</w:t>
      </w:r>
      <w:r w:rsidRPr="00554D11">
        <w:t>5</w:t>
      </w:r>
      <w:r w:rsidR="00A123E5" w:rsidRPr="00554D11">
        <w:t>);</w:t>
      </w:r>
    </w:p>
    <w:p w14:paraId="2E86DDE1" w14:textId="77777777" w:rsidR="00BC53B9" w:rsidRPr="00554D11" w:rsidRDefault="00D417EF" w:rsidP="00A744E4">
      <w:pPr>
        <w:pStyle w:val="FERCparanumber"/>
        <w:numPr>
          <w:ilvl w:val="0"/>
          <w:numId w:val="0"/>
        </w:numPr>
        <w:ind w:firstLine="720"/>
      </w:pPr>
      <w:r w:rsidRPr="00554D11">
        <w:t xml:space="preserve">(6)  WEQ-005, </w:t>
      </w:r>
      <w:r w:rsidR="009B6DE6" w:rsidRPr="00554D11">
        <w:t>Area Control Error (</w:t>
      </w:r>
      <w:r w:rsidR="00A123E5" w:rsidRPr="00554D11">
        <w:t>ACE</w:t>
      </w:r>
      <w:r w:rsidR="009B6DE6" w:rsidRPr="00554D11">
        <w:t>)</w:t>
      </w:r>
      <w:r w:rsidR="00A123E5" w:rsidRPr="00554D11">
        <w:t xml:space="preserve"> Equation Special Cases</w:t>
      </w:r>
    </w:p>
    <w:p w14:paraId="06FAD87C" w14:textId="77777777" w:rsidR="00A123E5" w:rsidRPr="00554D11" w:rsidRDefault="00A123E5" w:rsidP="005D6F3B">
      <w:pPr>
        <w:pStyle w:val="RegText"/>
        <w:numPr>
          <w:ilvl w:val="0"/>
          <w:numId w:val="0"/>
        </w:numPr>
        <w:spacing w:line="480" w:lineRule="auto"/>
      </w:pPr>
      <w:r w:rsidRPr="00554D11">
        <w:t>(WEQ</w:t>
      </w:r>
      <w:r w:rsidR="006A07A9" w:rsidRPr="00554D11">
        <w:rPr>
          <w:szCs w:val="24"/>
        </w:rPr>
        <w:t xml:space="preserve"> </w:t>
      </w:r>
      <w:r w:rsidR="006A07A9" w:rsidRPr="00554D11">
        <w:t>Version 003</w:t>
      </w:r>
      <w:r w:rsidR="00D417EF" w:rsidRPr="00554D11">
        <w:t>.1</w:t>
      </w:r>
      <w:r w:rsidRPr="00554D11">
        <w:t xml:space="preserve">, </w:t>
      </w:r>
      <w:r w:rsidR="00D417EF" w:rsidRPr="00554D11">
        <w:t>Sep.</w:t>
      </w:r>
      <w:r w:rsidRPr="00554D11">
        <w:t xml:space="preserve"> 3</w:t>
      </w:r>
      <w:r w:rsidR="00D417EF" w:rsidRPr="00554D11">
        <w:t>0</w:t>
      </w:r>
      <w:r w:rsidRPr="00554D11">
        <w:t>, 201</w:t>
      </w:r>
      <w:r w:rsidR="00D417EF" w:rsidRPr="00554D11">
        <w:t>5</w:t>
      </w:r>
      <w:r w:rsidRPr="00554D11">
        <w:t>);</w:t>
      </w:r>
    </w:p>
    <w:p w14:paraId="604FB50F" w14:textId="77777777" w:rsidR="00A123E5" w:rsidRPr="00554D11" w:rsidRDefault="00D417EF" w:rsidP="00A744E4">
      <w:pPr>
        <w:pStyle w:val="FERCparanumber"/>
        <w:numPr>
          <w:ilvl w:val="0"/>
          <w:numId w:val="0"/>
        </w:numPr>
        <w:ind w:firstLine="720"/>
      </w:pPr>
      <w:r w:rsidRPr="00554D11">
        <w:t xml:space="preserve">(7)  WEQ-006, </w:t>
      </w:r>
      <w:r w:rsidR="00A123E5" w:rsidRPr="00554D11">
        <w:t>Manual Time Error Correction (WEQ</w:t>
      </w:r>
      <w:r w:rsidR="006A07A9" w:rsidRPr="00554D11">
        <w:t xml:space="preserve"> Version 003</w:t>
      </w:r>
      <w:r w:rsidR="00A123E5" w:rsidRPr="00554D11">
        <w:t xml:space="preserve">, </w:t>
      </w:r>
      <w:r w:rsidRPr="00554D11">
        <w:t xml:space="preserve">Sep. </w:t>
      </w:r>
      <w:r w:rsidR="00A123E5" w:rsidRPr="00554D11">
        <w:t>3</w:t>
      </w:r>
      <w:r w:rsidRPr="00554D11">
        <w:t>0</w:t>
      </w:r>
      <w:r w:rsidR="00A123E5" w:rsidRPr="00554D11">
        <w:t>, 201</w:t>
      </w:r>
      <w:r w:rsidRPr="00554D11">
        <w:t>5</w:t>
      </w:r>
      <w:r w:rsidR="00BC53B9" w:rsidRPr="00554D11">
        <w:t>)</w:t>
      </w:r>
      <w:r w:rsidR="00A123E5" w:rsidRPr="00554D11">
        <w:t>;</w:t>
      </w:r>
    </w:p>
    <w:p w14:paraId="374BEDEB" w14:textId="77777777" w:rsidR="008867B7" w:rsidRPr="00554D11" w:rsidRDefault="00A123E5" w:rsidP="00796B59">
      <w:pPr>
        <w:pStyle w:val="RegText"/>
        <w:numPr>
          <w:ilvl w:val="0"/>
          <w:numId w:val="0"/>
        </w:numPr>
        <w:spacing w:line="480" w:lineRule="auto"/>
        <w:ind w:firstLine="720"/>
      </w:pPr>
      <w:r w:rsidRPr="00554D11">
        <w:t>(8)</w:t>
      </w:r>
      <w:r w:rsidR="00D417EF" w:rsidRPr="00554D11">
        <w:t xml:space="preserve">  WEQ-007, </w:t>
      </w:r>
      <w:r w:rsidRPr="00554D11">
        <w:t>Inadvertent Interchange Payback (WEQ</w:t>
      </w:r>
      <w:r w:rsidR="006A07A9" w:rsidRPr="00554D11">
        <w:rPr>
          <w:szCs w:val="24"/>
        </w:rPr>
        <w:t xml:space="preserve"> </w:t>
      </w:r>
      <w:r w:rsidR="006A07A9" w:rsidRPr="00554D11">
        <w:t>Version 003</w:t>
      </w:r>
      <w:r w:rsidR="00D417EF" w:rsidRPr="00554D11">
        <w:t>.1</w:t>
      </w:r>
      <w:r w:rsidR="006A07A9" w:rsidRPr="00554D11">
        <w:t>,</w:t>
      </w:r>
      <w:r w:rsidRPr="00554D11">
        <w:t xml:space="preserve"> </w:t>
      </w:r>
      <w:r w:rsidR="00D417EF" w:rsidRPr="00554D11">
        <w:t>Sep. 30</w:t>
      </w:r>
      <w:r w:rsidRPr="00554D11">
        <w:t>, 201</w:t>
      </w:r>
      <w:r w:rsidR="00D417EF" w:rsidRPr="00554D11">
        <w:t>5</w:t>
      </w:r>
      <w:r w:rsidRPr="00554D11">
        <w:t>);</w:t>
      </w:r>
    </w:p>
    <w:p w14:paraId="6CE1DA23" w14:textId="68B93C97" w:rsidR="00BC53B9" w:rsidRPr="00554D11" w:rsidRDefault="00A123E5" w:rsidP="00796B59">
      <w:pPr>
        <w:pStyle w:val="RegText"/>
        <w:numPr>
          <w:ilvl w:val="0"/>
          <w:numId w:val="0"/>
        </w:numPr>
        <w:spacing w:line="480" w:lineRule="auto"/>
        <w:ind w:firstLine="720"/>
      </w:pPr>
      <w:r w:rsidRPr="00554D11">
        <w:t>(9)</w:t>
      </w:r>
      <w:r w:rsidR="00D417EF" w:rsidRPr="00554D11">
        <w:t xml:space="preserve">  WEQ-008, </w:t>
      </w:r>
      <w:r w:rsidRPr="00554D11">
        <w:t>Transmission Loading Relief</w:t>
      </w:r>
      <w:r w:rsidR="009B6DE6" w:rsidRPr="00554D11">
        <w:t xml:space="preserve"> (TLR) – Eastern Interconnection</w:t>
      </w:r>
    </w:p>
    <w:p w14:paraId="2F7A5AD1" w14:textId="77777777" w:rsidR="00A123E5" w:rsidRPr="00554D11" w:rsidRDefault="00A123E5" w:rsidP="005D6F3B">
      <w:pPr>
        <w:pStyle w:val="RegText"/>
        <w:numPr>
          <w:ilvl w:val="0"/>
          <w:numId w:val="0"/>
        </w:numPr>
        <w:spacing w:line="480" w:lineRule="auto"/>
      </w:pPr>
      <w:r w:rsidRPr="00554D11">
        <w:t>(WEQ</w:t>
      </w:r>
      <w:r w:rsidR="006A07A9" w:rsidRPr="00554D11">
        <w:rPr>
          <w:szCs w:val="24"/>
        </w:rPr>
        <w:t xml:space="preserve"> </w:t>
      </w:r>
      <w:r w:rsidR="006A07A9" w:rsidRPr="00554D11">
        <w:t>Version 003</w:t>
      </w:r>
      <w:r w:rsidR="00D417EF" w:rsidRPr="00554D11">
        <w:t>.1</w:t>
      </w:r>
      <w:r w:rsidR="006A07A9" w:rsidRPr="00554D11">
        <w:t>,</w:t>
      </w:r>
      <w:r w:rsidRPr="00554D11">
        <w:t xml:space="preserve"> </w:t>
      </w:r>
      <w:r w:rsidR="00D417EF" w:rsidRPr="00554D11">
        <w:t>Sep.</w:t>
      </w:r>
      <w:r w:rsidRPr="00554D11">
        <w:t xml:space="preserve"> 3</w:t>
      </w:r>
      <w:r w:rsidR="00D417EF" w:rsidRPr="00554D11">
        <w:t>0</w:t>
      </w:r>
      <w:r w:rsidRPr="00554D11">
        <w:t>, 201</w:t>
      </w:r>
      <w:r w:rsidR="00D417EF" w:rsidRPr="00554D11">
        <w:t>5</w:t>
      </w:r>
      <w:r w:rsidRPr="00554D11">
        <w:t>);</w:t>
      </w:r>
      <w:r w:rsidR="00D417EF" w:rsidRPr="00554D11">
        <w:t xml:space="preserve"> </w:t>
      </w:r>
    </w:p>
    <w:p w14:paraId="03FABF33" w14:textId="21CA2527" w:rsidR="00A123E5" w:rsidRPr="00554D11" w:rsidRDefault="00A123E5" w:rsidP="00731823">
      <w:pPr>
        <w:pStyle w:val="RegText"/>
        <w:numPr>
          <w:ilvl w:val="0"/>
          <w:numId w:val="0"/>
        </w:numPr>
        <w:spacing w:line="480" w:lineRule="auto"/>
        <w:ind w:left="720"/>
      </w:pPr>
      <w:r w:rsidRPr="00554D11">
        <w:t>(10)</w:t>
      </w:r>
      <w:r w:rsidR="00D417EF" w:rsidRPr="00554D11">
        <w:t xml:space="preserve">  WEQ-011,</w:t>
      </w:r>
      <w:r w:rsidR="00285231">
        <w:t xml:space="preserve"> </w:t>
      </w:r>
      <w:r w:rsidRPr="00554D11">
        <w:t>Gas/Electric Coordination (WEQ</w:t>
      </w:r>
      <w:r w:rsidR="00BC53B9" w:rsidRPr="00554D11">
        <w:t xml:space="preserve"> </w:t>
      </w:r>
      <w:r w:rsidR="006A07A9" w:rsidRPr="00554D11">
        <w:t>Version 003</w:t>
      </w:r>
      <w:r w:rsidR="00D417EF" w:rsidRPr="00554D11">
        <w:t>.1</w:t>
      </w:r>
      <w:r w:rsidR="006A07A9" w:rsidRPr="00554D11">
        <w:t>,</w:t>
      </w:r>
      <w:r w:rsidRPr="00554D11">
        <w:t xml:space="preserve"> </w:t>
      </w:r>
      <w:r w:rsidR="00D417EF" w:rsidRPr="00554D11">
        <w:t>Sep.</w:t>
      </w:r>
      <w:r w:rsidRPr="00554D11">
        <w:t xml:space="preserve"> 3</w:t>
      </w:r>
      <w:r w:rsidR="00D417EF" w:rsidRPr="00554D11">
        <w:t>0</w:t>
      </w:r>
      <w:r w:rsidRPr="00554D11">
        <w:t>, 201</w:t>
      </w:r>
      <w:r w:rsidR="00D417EF" w:rsidRPr="00554D11">
        <w:t>5</w:t>
      </w:r>
      <w:r w:rsidRPr="00554D11">
        <w:t>);</w:t>
      </w:r>
      <w:r w:rsidR="00D417EF" w:rsidRPr="00554D11">
        <w:t xml:space="preserve"> </w:t>
      </w:r>
      <w:r w:rsidRPr="00554D11">
        <w:t>(11</w:t>
      </w:r>
      <w:proofErr w:type="gramStart"/>
      <w:r w:rsidRPr="00554D11">
        <w:t>)</w:t>
      </w:r>
      <w:r w:rsidR="00D417EF" w:rsidRPr="00554D11">
        <w:t xml:space="preserve">  WEQ</w:t>
      </w:r>
      <w:proofErr w:type="gramEnd"/>
      <w:r w:rsidR="00D417EF" w:rsidRPr="00554D11">
        <w:t xml:space="preserve">-012, </w:t>
      </w:r>
      <w:r w:rsidRPr="00554D11">
        <w:t>Public Key Infrastructure (PKI) (WEQ</w:t>
      </w:r>
      <w:r w:rsidR="006A07A9" w:rsidRPr="00554D11">
        <w:rPr>
          <w:szCs w:val="24"/>
        </w:rPr>
        <w:t xml:space="preserve"> </w:t>
      </w:r>
      <w:r w:rsidR="006A07A9" w:rsidRPr="00554D11">
        <w:t>Version 003</w:t>
      </w:r>
      <w:r w:rsidR="00D417EF" w:rsidRPr="00554D11">
        <w:t>.1</w:t>
      </w:r>
      <w:r w:rsidR="006A07A9" w:rsidRPr="00554D11">
        <w:t>,</w:t>
      </w:r>
      <w:r w:rsidRPr="00554D11">
        <w:t xml:space="preserve"> </w:t>
      </w:r>
      <w:r w:rsidR="00407398">
        <w:t xml:space="preserve">            </w:t>
      </w:r>
      <w:r w:rsidR="00D417EF" w:rsidRPr="00554D11">
        <w:t>Sep.</w:t>
      </w:r>
      <w:r w:rsidRPr="00554D11">
        <w:t xml:space="preserve"> 3</w:t>
      </w:r>
      <w:r w:rsidR="00D417EF" w:rsidRPr="00554D11">
        <w:t>0</w:t>
      </w:r>
      <w:r w:rsidRPr="00554D11">
        <w:t>, 201</w:t>
      </w:r>
      <w:r w:rsidR="00D417EF" w:rsidRPr="00554D11">
        <w:t>5</w:t>
      </w:r>
      <w:r w:rsidRPr="00554D11">
        <w:t>);</w:t>
      </w:r>
    </w:p>
    <w:p w14:paraId="4585AEA4" w14:textId="77777777" w:rsidR="00A123E5" w:rsidRPr="00554D11" w:rsidRDefault="00A123E5" w:rsidP="00796B59">
      <w:pPr>
        <w:pStyle w:val="RegText"/>
        <w:numPr>
          <w:ilvl w:val="0"/>
          <w:numId w:val="0"/>
        </w:numPr>
        <w:spacing w:line="480" w:lineRule="auto"/>
        <w:ind w:firstLine="720"/>
      </w:pPr>
      <w:r w:rsidRPr="00554D11">
        <w:lastRenderedPageBreak/>
        <w:t>(12)</w:t>
      </w:r>
      <w:r w:rsidR="00D417EF" w:rsidRPr="00554D11">
        <w:t xml:space="preserve">  WEQ-013, </w:t>
      </w:r>
      <w:r w:rsidR="009B6DE6" w:rsidRPr="00554D11">
        <w:t>Open Access Same-Time Information System (</w:t>
      </w:r>
      <w:r w:rsidRPr="00554D11">
        <w:t>OASIS</w:t>
      </w:r>
      <w:r w:rsidR="009B6DE6" w:rsidRPr="00554D11">
        <w:t>)</w:t>
      </w:r>
      <w:r w:rsidRPr="00554D11">
        <w:t xml:space="preserve"> Implementation Guide, </w:t>
      </w:r>
      <w:r w:rsidR="006D6DD5" w:rsidRPr="00554D11">
        <w:t xml:space="preserve">OASIS </w:t>
      </w:r>
      <w:r w:rsidRPr="00554D11">
        <w:t xml:space="preserve">Version </w:t>
      </w:r>
      <w:r w:rsidR="009B6DE6" w:rsidRPr="00554D11">
        <w:t>2.</w:t>
      </w:r>
      <w:r w:rsidR="006D6DD5" w:rsidRPr="00554D11">
        <w:t>1</w:t>
      </w:r>
      <w:r w:rsidRPr="00554D11">
        <w:t xml:space="preserve"> (WEQ</w:t>
      </w:r>
      <w:r w:rsidR="006A07A9" w:rsidRPr="00554D11">
        <w:rPr>
          <w:szCs w:val="24"/>
        </w:rPr>
        <w:t xml:space="preserve"> </w:t>
      </w:r>
      <w:r w:rsidR="006A07A9" w:rsidRPr="00554D11">
        <w:t>Version 003</w:t>
      </w:r>
      <w:r w:rsidR="00D417EF" w:rsidRPr="00554D11">
        <w:t>.1</w:t>
      </w:r>
      <w:r w:rsidRPr="00554D11">
        <w:t xml:space="preserve">, </w:t>
      </w:r>
      <w:r w:rsidR="006D6DD5" w:rsidRPr="00554D11">
        <w:t>Sep. 30</w:t>
      </w:r>
      <w:r w:rsidRPr="00554D11">
        <w:t>, 201</w:t>
      </w:r>
      <w:r w:rsidR="006D6DD5" w:rsidRPr="00554D11">
        <w:t>5</w:t>
      </w:r>
      <w:r w:rsidRPr="00554D11">
        <w:t>);</w:t>
      </w:r>
    </w:p>
    <w:p w14:paraId="34899C60" w14:textId="77777777" w:rsidR="00A123E5" w:rsidRPr="00554D11" w:rsidRDefault="00A123E5" w:rsidP="00796B59">
      <w:pPr>
        <w:pStyle w:val="RegText"/>
        <w:numPr>
          <w:ilvl w:val="0"/>
          <w:numId w:val="0"/>
        </w:numPr>
        <w:spacing w:line="480" w:lineRule="auto"/>
        <w:ind w:firstLine="720"/>
      </w:pPr>
      <w:r w:rsidRPr="00554D11">
        <w:t>(13)</w:t>
      </w:r>
      <w:r w:rsidRPr="00554D11">
        <w:tab/>
      </w:r>
      <w:r w:rsidR="006D6DD5" w:rsidRPr="00554D11">
        <w:t xml:space="preserve">WEQ-015, </w:t>
      </w:r>
      <w:r w:rsidRPr="00554D11">
        <w:t>Measurement and Verification of Wholesale Electricity Demand Response</w:t>
      </w:r>
      <w:r w:rsidR="00BC53B9" w:rsidRPr="00554D11">
        <w:t xml:space="preserve"> </w:t>
      </w:r>
      <w:r w:rsidRPr="00554D11">
        <w:t xml:space="preserve">(WEQ </w:t>
      </w:r>
      <w:r w:rsidR="006A07A9" w:rsidRPr="00554D11">
        <w:t>Version 003</w:t>
      </w:r>
      <w:r w:rsidR="006D6DD5" w:rsidRPr="00554D11">
        <w:t>.1</w:t>
      </w:r>
      <w:r w:rsidR="006A07A9" w:rsidRPr="00554D11">
        <w:t xml:space="preserve">, </w:t>
      </w:r>
      <w:r w:rsidR="006D6DD5" w:rsidRPr="00554D11">
        <w:t>Sep.</w:t>
      </w:r>
      <w:r w:rsidRPr="00554D11">
        <w:t xml:space="preserve"> 3</w:t>
      </w:r>
      <w:r w:rsidR="006D6DD5" w:rsidRPr="00554D11">
        <w:t>0</w:t>
      </w:r>
      <w:r w:rsidRPr="00554D11">
        <w:t>, 201</w:t>
      </w:r>
      <w:r w:rsidR="006D6DD5" w:rsidRPr="00554D11">
        <w:t>5</w:t>
      </w:r>
      <w:r w:rsidRPr="00554D11">
        <w:t>);</w:t>
      </w:r>
      <w:r w:rsidR="006D6DD5" w:rsidRPr="001624A2">
        <w:t xml:space="preserve"> </w:t>
      </w:r>
    </w:p>
    <w:p w14:paraId="1E40DDB4" w14:textId="77777777" w:rsidR="00BC53B9" w:rsidRPr="00554D11" w:rsidRDefault="00A123E5" w:rsidP="007C0C74">
      <w:pPr>
        <w:pStyle w:val="RegText"/>
        <w:numPr>
          <w:ilvl w:val="0"/>
          <w:numId w:val="0"/>
        </w:numPr>
        <w:spacing w:line="480" w:lineRule="auto"/>
        <w:ind w:firstLine="720"/>
      </w:pPr>
      <w:r w:rsidRPr="00554D11">
        <w:t>(1</w:t>
      </w:r>
      <w:r w:rsidR="009B6DE6" w:rsidRPr="00554D11">
        <w:t>4</w:t>
      </w:r>
      <w:r w:rsidRPr="00554D11">
        <w:t>)</w:t>
      </w:r>
      <w:r w:rsidR="006D6DD5" w:rsidRPr="00554D11">
        <w:t xml:space="preserve">  WEQ-021, </w:t>
      </w:r>
      <w:r w:rsidRPr="00554D11">
        <w:t>Measurement and Verification of Energy Efficiency Products</w:t>
      </w:r>
    </w:p>
    <w:p w14:paraId="3985F92A" w14:textId="77777777" w:rsidR="00A123E5" w:rsidRPr="00554D11" w:rsidRDefault="00A123E5" w:rsidP="005D6F3B">
      <w:pPr>
        <w:pStyle w:val="RegText"/>
        <w:numPr>
          <w:ilvl w:val="0"/>
          <w:numId w:val="0"/>
        </w:numPr>
        <w:spacing w:line="480" w:lineRule="auto"/>
      </w:pPr>
      <w:r w:rsidRPr="00554D11">
        <w:t xml:space="preserve">(WEQ </w:t>
      </w:r>
      <w:r w:rsidR="006A07A9" w:rsidRPr="00554D11">
        <w:t>Version 003</w:t>
      </w:r>
      <w:r w:rsidR="006D6DD5" w:rsidRPr="00554D11">
        <w:t>.1</w:t>
      </w:r>
      <w:r w:rsidR="006A07A9" w:rsidRPr="00554D11">
        <w:t xml:space="preserve">, </w:t>
      </w:r>
      <w:r w:rsidR="006D6DD5" w:rsidRPr="00554D11">
        <w:t>Sep.</w:t>
      </w:r>
      <w:r w:rsidRPr="00554D11">
        <w:t xml:space="preserve"> 3</w:t>
      </w:r>
      <w:r w:rsidR="006D6DD5" w:rsidRPr="00554D11">
        <w:t>0</w:t>
      </w:r>
      <w:r w:rsidRPr="00554D11">
        <w:t>, 201</w:t>
      </w:r>
      <w:r w:rsidR="006D6DD5" w:rsidRPr="00554D11">
        <w:t>5</w:t>
      </w:r>
      <w:r w:rsidRPr="00554D11">
        <w:t>).</w:t>
      </w:r>
    </w:p>
    <w:p w14:paraId="63B491A1" w14:textId="77777777" w:rsidR="006D6DD5" w:rsidRPr="00554D11" w:rsidRDefault="006D6DD5" w:rsidP="00796B59">
      <w:pPr>
        <w:pStyle w:val="RegText"/>
        <w:numPr>
          <w:ilvl w:val="0"/>
          <w:numId w:val="0"/>
        </w:numPr>
        <w:spacing w:line="480" w:lineRule="auto"/>
        <w:ind w:firstLine="720"/>
      </w:pPr>
      <w:r w:rsidRPr="00554D11">
        <w:t>(15)  WEQ-022, Electric Industry Registry Business Practice Standards (WEQ Version 003.1, Sep. 30, 2015); and</w:t>
      </w:r>
    </w:p>
    <w:p w14:paraId="2143B15F" w14:textId="77777777" w:rsidR="006D6DD5" w:rsidRPr="00554D11" w:rsidRDefault="006D6DD5" w:rsidP="00796B59">
      <w:pPr>
        <w:pStyle w:val="RegText"/>
        <w:numPr>
          <w:ilvl w:val="0"/>
          <w:numId w:val="0"/>
        </w:numPr>
        <w:spacing w:line="480" w:lineRule="auto"/>
        <w:ind w:firstLine="720"/>
        <w:rPr>
          <w:b/>
        </w:rPr>
      </w:pPr>
      <w:r w:rsidRPr="00554D11">
        <w:t>(16)  WEQ-023, Modeling Business Practice Standards (WEQ Version 003.1, Sep. 30, 2015)</w:t>
      </w:r>
      <w:r w:rsidR="00624E5F" w:rsidRPr="00554D11">
        <w:t>.</w:t>
      </w:r>
    </w:p>
    <w:p w14:paraId="3CF841DC" w14:textId="77777777" w:rsidR="00A123E5" w:rsidRPr="00554D11" w:rsidRDefault="00A123E5" w:rsidP="007C0C74">
      <w:pPr>
        <w:ind w:left="720" w:firstLine="720"/>
      </w:pPr>
      <w:r w:rsidRPr="00554D11">
        <w:t>*</w:t>
      </w:r>
      <w:r w:rsidRPr="00554D11">
        <w:tab/>
      </w:r>
      <w:r w:rsidRPr="00554D11">
        <w:tab/>
        <w:t>*</w:t>
      </w:r>
      <w:r w:rsidRPr="00554D11">
        <w:tab/>
      </w:r>
      <w:r w:rsidRPr="00554D11">
        <w:tab/>
        <w:t>*</w:t>
      </w:r>
      <w:r w:rsidRPr="00554D11">
        <w:tab/>
      </w:r>
      <w:r w:rsidRPr="00554D11">
        <w:tab/>
        <w:t>*</w:t>
      </w:r>
      <w:r w:rsidRPr="00554D11">
        <w:tab/>
      </w:r>
      <w:r w:rsidRPr="00554D11">
        <w:tab/>
        <w:t>*</w:t>
      </w:r>
    </w:p>
    <w:sectPr w:rsidR="00A123E5" w:rsidRPr="00554D11" w:rsidSect="003A3D31">
      <w:pgSz w:w="12240" w:h="15840"/>
      <w:pgMar w:top="1440" w:right="1440" w:bottom="1008"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76985" w14:textId="77777777" w:rsidR="004F0CBA" w:rsidRDefault="004F0CBA">
      <w:r>
        <w:separator/>
      </w:r>
    </w:p>
  </w:endnote>
  <w:endnote w:type="continuationSeparator" w:id="0">
    <w:p w14:paraId="45F7B53F" w14:textId="77777777" w:rsidR="004F0CBA" w:rsidRDefault="004F0CBA">
      <w:r>
        <w:continuationSeparator/>
      </w:r>
    </w:p>
  </w:endnote>
  <w:endnote w:type="continuationNotice" w:id="1">
    <w:p w14:paraId="1D3BE628" w14:textId="77777777" w:rsidR="004F0CBA" w:rsidRDefault="004F0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5F815" w14:textId="77777777" w:rsidR="004F0CBA" w:rsidRDefault="004F0CBA">
      <w:r>
        <w:separator/>
      </w:r>
    </w:p>
  </w:footnote>
  <w:footnote w:type="continuationSeparator" w:id="0">
    <w:p w14:paraId="03E3D563" w14:textId="77777777" w:rsidR="004F0CBA" w:rsidRDefault="004F0CBA">
      <w:r>
        <w:continuationSeparator/>
      </w:r>
    </w:p>
  </w:footnote>
  <w:footnote w:type="continuationNotice" w:id="1">
    <w:p w14:paraId="39582E8C" w14:textId="77777777" w:rsidR="004F0CBA" w:rsidRDefault="004F0CBA" w:rsidP="00B555D1">
      <w:pPr>
        <w:pStyle w:val="Footer"/>
      </w:pPr>
    </w:p>
    <w:p w14:paraId="06FE938B" w14:textId="77777777" w:rsidR="004F0CBA" w:rsidRPr="00B555D1" w:rsidRDefault="004F0CBA" w:rsidP="00B555D1">
      <w:pPr>
        <w:pStyle w:val="Footer"/>
      </w:pPr>
      <w:r>
        <w:tab/>
      </w:r>
      <w:r>
        <w:tab/>
        <w:t>(</w:t>
      </w:r>
      <w:proofErr w:type="gramStart"/>
      <w:r>
        <w:t>continued</w:t>
      </w:r>
      <w:proofErr w:type="gramEnd"/>
      <w:r>
        <w:t>…)</w:t>
      </w:r>
    </w:p>
  </w:footnote>
  <w:footnote w:id="2">
    <w:p w14:paraId="4A78179D" w14:textId="77777777" w:rsidR="001624A2" w:rsidRPr="00333C22" w:rsidRDefault="001624A2" w:rsidP="007C0C74">
      <w:pPr>
        <w:pStyle w:val="FootnoteText"/>
      </w:pPr>
      <w:r w:rsidRPr="00554D11">
        <w:rPr>
          <w:rStyle w:val="FootnoteReference"/>
        </w:rPr>
        <w:footnoteRef/>
      </w:r>
      <w:r>
        <w:t xml:space="preserve"> </w:t>
      </w:r>
      <w:proofErr w:type="gramStart"/>
      <w:r w:rsidRPr="0056378F">
        <w:t>1</w:t>
      </w:r>
      <w:r>
        <w:t>6</w:t>
      </w:r>
      <w:r w:rsidRPr="0056378F">
        <w:t xml:space="preserve"> U.S.C. </w:t>
      </w:r>
      <w:r>
        <w:t>791a</w:t>
      </w:r>
      <w:r w:rsidRPr="00333C22">
        <w:t xml:space="preserve">, </w:t>
      </w:r>
      <w:r w:rsidRPr="00333C22">
        <w:rPr>
          <w:i/>
        </w:rPr>
        <w:t>et seq.</w:t>
      </w:r>
      <w:proofErr w:type="gramEnd"/>
    </w:p>
  </w:footnote>
  <w:footnote w:id="3">
    <w:p w14:paraId="7C2ECC94" w14:textId="5D731B9D" w:rsidR="001624A2" w:rsidRDefault="001624A2">
      <w:pPr>
        <w:pStyle w:val="FootnoteText"/>
      </w:pPr>
      <w:r w:rsidRPr="00554D11">
        <w:rPr>
          <w:rStyle w:val="FootnoteReference"/>
        </w:rPr>
        <w:footnoteRef/>
      </w:r>
      <w:r>
        <w:t xml:space="preserve"> </w:t>
      </w:r>
      <w:r w:rsidRPr="00A94852">
        <w:rPr>
          <w:i/>
        </w:rPr>
        <w:t>Standards for Business Practices and Communication Protocols for Public Utilities</w:t>
      </w:r>
      <w:r>
        <w:t xml:space="preserve">, Order No. 676-E, 74 FR 63288 (Dec. 3, 2009), FERC Stats. </w:t>
      </w:r>
      <w:proofErr w:type="gramStart"/>
      <w:r>
        <w:t>&amp; Regs.</w:t>
      </w:r>
      <w:proofErr w:type="gramEnd"/>
      <w:r>
        <w:t xml:space="preserve"> </w:t>
      </w:r>
      <w:proofErr w:type="gramStart"/>
      <w:r>
        <w:t>¶ 31,299 (2009).</w:t>
      </w:r>
      <w:proofErr w:type="gramEnd"/>
    </w:p>
  </w:footnote>
  <w:footnote w:id="4">
    <w:p w14:paraId="2A6B5535" w14:textId="0A769F19" w:rsidR="001624A2" w:rsidRDefault="001624A2">
      <w:pPr>
        <w:pStyle w:val="FootnoteText"/>
      </w:pPr>
      <w:r w:rsidRPr="00554D11">
        <w:rPr>
          <w:rStyle w:val="FootnoteReference"/>
        </w:rPr>
        <w:footnoteRef/>
      </w:r>
      <w:r>
        <w:t xml:space="preserve"> </w:t>
      </w:r>
      <w:r w:rsidRPr="001C62C0">
        <w:rPr>
          <w:i/>
        </w:rPr>
        <w:t>Standards for Business Practices and Communication Protocols for Public Utilities</w:t>
      </w:r>
      <w:r>
        <w:t xml:space="preserve">, Order No. 676-H, </w:t>
      </w:r>
      <w:r w:rsidRPr="006C0A94">
        <w:t>79 FR 56939 (Sept</w:t>
      </w:r>
      <w:r>
        <w:t>.</w:t>
      </w:r>
      <w:r w:rsidRPr="006C0A94">
        <w:t xml:space="preserve"> 24, 2014)</w:t>
      </w:r>
      <w:r>
        <w:t xml:space="preserve">, FERC Stats. </w:t>
      </w:r>
      <w:proofErr w:type="gramStart"/>
      <w:r>
        <w:t>&amp; Regs.</w:t>
      </w:r>
      <w:proofErr w:type="gramEnd"/>
      <w:r>
        <w:t xml:space="preserve"> </w:t>
      </w:r>
      <w:r w:rsidRPr="00642C0C">
        <w:t>¶</w:t>
      </w:r>
      <w:r>
        <w:t> </w:t>
      </w:r>
      <w:r w:rsidRPr="006C0A94">
        <w:t>31,359</w:t>
      </w:r>
      <w:r>
        <w:t>, at n.81 (2014),</w:t>
      </w:r>
      <w:r w:rsidRPr="00E26EC8">
        <w:rPr>
          <w:szCs w:val="24"/>
        </w:rPr>
        <w:t xml:space="preserve"> </w:t>
      </w:r>
      <w:r w:rsidRPr="00FF62E4">
        <w:rPr>
          <w:i/>
          <w:szCs w:val="24"/>
        </w:rPr>
        <w:t>corrected</w:t>
      </w:r>
      <w:r w:rsidR="00A954C9">
        <w:rPr>
          <w:szCs w:val="24"/>
        </w:rPr>
        <w:t>,</w:t>
      </w:r>
      <w:r w:rsidRPr="00C11E7D">
        <w:rPr>
          <w:szCs w:val="24"/>
        </w:rPr>
        <w:t xml:space="preserve"> </w:t>
      </w:r>
      <w:r w:rsidRPr="00E26EC8">
        <w:t>149 FERC ¶</w:t>
      </w:r>
      <w:r>
        <w:t> </w:t>
      </w:r>
      <w:r w:rsidRPr="00E26EC8">
        <w:t>61,014 (2014)</w:t>
      </w:r>
      <w:r>
        <w:t>.</w:t>
      </w:r>
    </w:p>
  </w:footnote>
  <w:footnote w:id="5">
    <w:p w14:paraId="72B0AD70" w14:textId="03C237CA" w:rsidR="001624A2" w:rsidRDefault="001624A2">
      <w:pPr>
        <w:pStyle w:val="FootnoteText"/>
      </w:pPr>
      <w:r w:rsidRPr="00554D11">
        <w:rPr>
          <w:rStyle w:val="FootnoteReference"/>
        </w:rPr>
        <w:footnoteRef/>
      </w:r>
      <w:r>
        <w:t xml:space="preserve"> </w:t>
      </w:r>
      <w:r w:rsidRPr="00A94852">
        <w:rPr>
          <w:i/>
        </w:rPr>
        <w:t>Integration of Variable Energy Resources</w:t>
      </w:r>
      <w:r>
        <w:t xml:space="preserve">, Order No. 764, 77 FR 41,482 </w:t>
      </w:r>
      <w:r w:rsidR="005938D2">
        <w:t xml:space="preserve">      </w:t>
      </w:r>
      <w:r>
        <w:t xml:space="preserve">(July 13, 2012), FERC Stats. </w:t>
      </w:r>
      <w:proofErr w:type="gramStart"/>
      <w:r>
        <w:t>&amp; Regs.</w:t>
      </w:r>
      <w:proofErr w:type="gramEnd"/>
      <w:r>
        <w:t xml:space="preserve"> </w:t>
      </w:r>
      <w:proofErr w:type="gramStart"/>
      <w:r>
        <w:t>¶ 31,331 (2012).</w:t>
      </w:r>
      <w:proofErr w:type="gramEnd"/>
    </w:p>
  </w:footnote>
  <w:footnote w:id="6">
    <w:p w14:paraId="7EFAA40F" w14:textId="13543FB5" w:rsidR="001624A2" w:rsidRDefault="001624A2">
      <w:pPr>
        <w:pStyle w:val="FootnoteText"/>
      </w:pPr>
      <w:r w:rsidRPr="00554D11">
        <w:rPr>
          <w:rStyle w:val="FootnoteReference"/>
        </w:rPr>
        <w:footnoteRef/>
      </w:r>
      <w:r>
        <w:t xml:space="preserve"> </w:t>
      </w:r>
      <w:r w:rsidRPr="00A94852">
        <w:rPr>
          <w:i/>
        </w:rPr>
        <w:t>Preventing Undue Discrimination and Preference in Transmission Service</w:t>
      </w:r>
      <w:r>
        <w:t xml:space="preserve">, Order No. 890, 72 FR 12266 (Mar. 15, 2007), FERC Stats. </w:t>
      </w:r>
      <w:proofErr w:type="gramStart"/>
      <w:r>
        <w:t>&amp; Regs.</w:t>
      </w:r>
      <w:proofErr w:type="gramEnd"/>
      <w:r>
        <w:t xml:space="preserve"> </w:t>
      </w:r>
      <w:proofErr w:type="gramStart"/>
      <w:r>
        <w:t>¶ 31,241 (2007).</w:t>
      </w:r>
      <w:proofErr w:type="gramEnd"/>
    </w:p>
  </w:footnote>
  <w:footnote w:id="7">
    <w:p w14:paraId="2849DB50" w14:textId="452DB303" w:rsidR="001624A2" w:rsidRDefault="001624A2" w:rsidP="00523460">
      <w:pPr>
        <w:pStyle w:val="FootnoteText"/>
      </w:pPr>
      <w:r w:rsidRPr="00526792">
        <w:rPr>
          <w:rStyle w:val="FootnoteReference"/>
        </w:rPr>
        <w:footnoteRef/>
      </w:r>
      <w:r w:rsidRPr="00526792">
        <w:t xml:space="preserve"> </w:t>
      </w:r>
      <w:r>
        <w:t xml:space="preserve">NERC is </w:t>
      </w:r>
      <w:r w:rsidRPr="00526792">
        <w:t>the Commission-certified “electric reliability organization” responsible for developing and enforcing mandatory Reliability Standards</w:t>
      </w:r>
      <w:r>
        <w:t xml:space="preserve">.  </w:t>
      </w:r>
      <w:proofErr w:type="gramStart"/>
      <w:r w:rsidRPr="00526792">
        <w:rPr>
          <w:i/>
        </w:rPr>
        <w:t>See</w:t>
      </w:r>
      <w:r w:rsidRPr="00526792">
        <w:t xml:space="preserve"> section 215 of the Federal Power Act, 16 U.S.C. 824o (2012).</w:t>
      </w:r>
      <w:proofErr w:type="gramEnd"/>
    </w:p>
  </w:footnote>
  <w:footnote w:id="8">
    <w:p w14:paraId="2464D4FB" w14:textId="035BAFE6" w:rsidR="001624A2" w:rsidRDefault="001624A2" w:rsidP="00F47A5D">
      <w:pPr>
        <w:pStyle w:val="FootnoteText"/>
      </w:pPr>
      <w:r w:rsidRPr="00554D11">
        <w:rPr>
          <w:rStyle w:val="FootnoteReference"/>
        </w:rPr>
        <w:footnoteRef/>
      </w:r>
      <w:r>
        <w:t xml:space="preserve"> In a February 19, 2014 petition, NERC proposed to retire </w:t>
      </w:r>
      <w:r w:rsidRPr="00F47A5D">
        <w:t>Reliability Standards MOD-001-1a, MOD-004-1, MOD-008-1, MOD-028-2, MOD-029-1a</w:t>
      </w:r>
      <w:r w:rsidR="00A954C9">
        <w:t>,</w:t>
      </w:r>
      <w:r w:rsidRPr="00F47A5D">
        <w:t xml:space="preserve"> and MOD-030-2</w:t>
      </w:r>
      <w:r w:rsidRPr="00523460">
        <w:t xml:space="preserve"> and requested approval of new Reliability Standard MOD-001-2.  Generally, the “MOD” series of NERC Reliability Standards pertain to transmission system modeling.  The Commission issued a NOPR </w:t>
      </w:r>
      <w:r>
        <w:t xml:space="preserve">in Docket No. RM14-7-000 </w:t>
      </w:r>
      <w:r w:rsidRPr="00523460">
        <w:t>that addresse</w:t>
      </w:r>
      <w:r>
        <w:t>d</w:t>
      </w:r>
      <w:r w:rsidRPr="00523460">
        <w:t xml:space="preserve"> NERC’s </w:t>
      </w:r>
      <w:proofErr w:type="gramStart"/>
      <w:r w:rsidRPr="00523460">
        <w:t>proposal,</w:t>
      </w:r>
      <w:proofErr w:type="gramEnd"/>
      <w:r w:rsidRPr="00523460">
        <w:t xml:space="preserve"> and the matter is currently pending before the Commission.  </w:t>
      </w:r>
      <w:proofErr w:type="gramStart"/>
      <w:r w:rsidRPr="00523460">
        <w:rPr>
          <w:i/>
        </w:rPr>
        <w:t>Modeling, Data, and Analysis Reliability Standards</w:t>
      </w:r>
      <w:r w:rsidRPr="00523460">
        <w:t xml:space="preserve">, </w:t>
      </w:r>
      <w:r w:rsidRPr="00523460">
        <w:rPr>
          <w:i/>
        </w:rPr>
        <w:t>Notice of Proposed Rulemaking</w:t>
      </w:r>
      <w:r w:rsidRPr="00523460">
        <w:t xml:space="preserve">, 79 FR 36269 </w:t>
      </w:r>
      <w:r w:rsidR="00A954C9">
        <w:t xml:space="preserve">    </w:t>
      </w:r>
      <w:r w:rsidRPr="00523460">
        <w:t>(June 26, 2014), 147 FERC ¶ 61,208 (2014) (MOD NOPR).</w:t>
      </w:r>
      <w:proofErr w:type="gramEnd"/>
    </w:p>
  </w:footnote>
  <w:footnote w:id="9">
    <w:p w14:paraId="7074D5BF" w14:textId="624799BD" w:rsidR="001624A2" w:rsidRPr="00F72AF2" w:rsidRDefault="001624A2" w:rsidP="00C45360">
      <w:pPr>
        <w:pStyle w:val="FootnoteText"/>
      </w:pPr>
      <w:r w:rsidRPr="00554D11">
        <w:rPr>
          <w:rStyle w:val="FootnoteReference"/>
        </w:rPr>
        <w:footnoteRef/>
      </w:r>
      <w:r>
        <w:t xml:space="preserve"> O</w:t>
      </w:r>
      <w:r w:rsidRPr="00B759BE">
        <w:t>n October 26, 2015</w:t>
      </w:r>
      <w:r>
        <w:t xml:space="preserve">, NAESB filed a report with the Commission </w:t>
      </w:r>
      <w:r w:rsidRPr="00F75C9C">
        <w:t>(</w:t>
      </w:r>
      <w:r>
        <w:t>previously referenced as the October 26</w:t>
      </w:r>
      <w:r w:rsidRPr="00F75C9C">
        <w:t xml:space="preserve"> </w:t>
      </w:r>
      <w:r>
        <w:t>Filing</w:t>
      </w:r>
      <w:r w:rsidRPr="00F75C9C">
        <w:t>)</w:t>
      </w:r>
      <w:r>
        <w:t xml:space="preserve"> presenting all the modifications it has made to the WEQ Version 003 Business Practice Standards since those standards were incorporated by reference by the Commission in 2014 in Order No. 676-H, as well as two new suites of standards that it has developed, which are further described below in P 12.</w:t>
      </w:r>
    </w:p>
  </w:footnote>
  <w:footnote w:id="10">
    <w:p w14:paraId="4D38FBCB" w14:textId="77777777" w:rsidR="001624A2" w:rsidRDefault="001624A2">
      <w:pPr>
        <w:pStyle w:val="FootnoteText"/>
      </w:pPr>
      <w:r w:rsidRPr="00554D11">
        <w:rPr>
          <w:rStyle w:val="FootnoteReference"/>
        </w:rPr>
        <w:footnoteRef/>
      </w:r>
      <w:r>
        <w:rPr>
          <w:i/>
        </w:rPr>
        <w:t xml:space="preserve"> </w:t>
      </w:r>
      <w:r w:rsidRPr="00C11E7D">
        <w:rPr>
          <w:i/>
        </w:rPr>
        <w:t>See supra</w:t>
      </w:r>
      <w:r>
        <w:t xml:space="preserve"> n.3.</w:t>
      </w:r>
    </w:p>
  </w:footnote>
  <w:footnote w:id="11">
    <w:p w14:paraId="0756DB1C" w14:textId="487E21B5" w:rsidR="001624A2" w:rsidRDefault="001624A2">
      <w:pPr>
        <w:pStyle w:val="FootnoteText"/>
      </w:pPr>
      <w:r>
        <w:rPr>
          <w:rStyle w:val="FootnoteReference"/>
        </w:rPr>
        <w:footnoteRef/>
      </w:r>
      <w:r>
        <w:t xml:space="preserve"> Prior to the establishment of NAESB in 2001, the Commission’s development of business practice standards for the wholesale electric industry was aided by two </w:t>
      </w:r>
      <w:r w:rsidRPr="00526792">
        <w:rPr>
          <w:i/>
        </w:rPr>
        <w:t>ad hoc</w:t>
      </w:r>
      <w:r>
        <w:t xml:space="preserve"> industry working groups established during the rulemaking proceeding that resulted in issuance of Order No. 889 and the creation of the OASIS, while GISB’s efforts involved the development of business practice standards for the wholesale natural gas industry.  Once formally established, NAESB took over the standards development previously handled by GISB and by the electric working groups.</w:t>
      </w:r>
    </w:p>
  </w:footnote>
  <w:footnote w:id="12">
    <w:p w14:paraId="1E207AE2" w14:textId="77777777" w:rsidR="001624A2" w:rsidRDefault="001624A2">
      <w:pPr>
        <w:pStyle w:val="FootnoteText"/>
      </w:pPr>
      <w:r w:rsidRPr="00554D11">
        <w:rPr>
          <w:rStyle w:val="FootnoteReference"/>
        </w:rPr>
        <w:footnoteRef/>
      </w:r>
      <w:r>
        <w:t xml:space="preserve"> The retail gas quadrant and the retail electric quadrant were combined into the retail markets quadrant.  NAESB continues to refer to these working groups as “quadrants” even though there are now only three quadrants.</w:t>
      </w:r>
    </w:p>
  </w:footnote>
  <w:footnote w:id="13">
    <w:p w14:paraId="5F16E54D" w14:textId="77777777" w:rsidR="001624A2" w:rsidRDefault="001624A2">
      <w:pPr>
        <w:pStyle w:val="FootnoteText"/>
      </w:pPr>
      <w:r w:rsidRPr="00554D11">
        <w:rPr>
          <w:rStyle w:val="FootnoteReference"/>
        </w:rPr>
        <w:footnoteRef/>
      </w:r>
      <w:r>
        <w:t xml:space="preserve"> </w:t>
      </w:r>
      <w:r w:rsidRPr="001E7E23">
        <w:rPr>
          <w:i/>
        </w:rPr>
        <w:t>Standards for Business Practices and Communication Protocols for Public Utilities</w:t>
      </w:r>
      <w:r w:rsidRPr="001E7E23">
        <w:t>, Order No. 676</w:t>
      </w:r>
      <w:r>
        <w:t xml:space="preserve">, FERC Stats. </w:t>
      </w:r>
      <w:proofErr w:type="gramStart"/>
      <w:r>
        <w:t>&amp; Regs.</w:t>
      </w:r>
      <w:proofErr w:type="gramEnd"/>
      <w:r>
        <w:t xml:space="preserve"> </w:t>
      </w:r>
      <w:proofErr w:type="gramStart"/>
      <w:r>
        <w:t>¶ 31,216</w:t>
      </w:r>
      <w:r w:rsidRPr="001E7E23">
        <w:t xml:space="preserve"> (200</w:t>
      </w:r>
      <w:r>
        <w:t>6</w:t>
      </w:r>
      <w:r w:rsidRPr="001E7E23">
        <w:t>).</w:t>
      </w:r>
      <w:proofErr w:type="gramEnd"/>
    </w:p>
  </w:footnote>
  <w:footnote w:id="14">
    <w:p w14:paraId="48CD0E46" w14:textId="4CE304C6" w:rsidR="001624A2" w:rsidRDefault="001624A2">
      <w:pPr>
        <w:pStyle w:val="FootnoteText"/>
      </w:pPr>
      <w:r w:rsidRPr="00554D11">
        <w:rPr>
          <w:rStyle w:val="FootnoteReference"/>
        </w:rPr>
        <w:footnoteRef/>
      </w:r>
      <w:r>
        <w:t xml:space="preserve"> </w:t>
      </w:r>
      <w:r w:rsidRPr="00277458">
        <w:rPr>
          <w:i/>
        </w:rPr>
        <w:t>Standards for Business Practices and Communication Protocols for Public Utilities</w:t>
      </w:r>
      <w:r>
        <w:t xml:space="preserve">, Order No. 676-C, FERC Stats. </w:t>
      </w:r>
      <w:proofErr w:type="gramStart"/>
      <w:r>
        <w:t>&amp; Regs.</w:t>
      </w:r>
      <w:proofErr w:type="gramEnd"/>
      <w:r>
        <w:t xml:space="preserve"> ¶ 31,274, </w:t>
      </w:r>
      <w:proofErr w:type="spellStart"/>
      <w:r w:rsidRPr="00864DC9">
        <w:rPr>
          <w:i/>
        </w:rPr>
        <w:t>reh’g</w:t>
      </w:r>
      <w:proofErr w:type="spellEnd"/>
      <w:r w:rsidRPr="00864DC9">
        <w:rPr>
          <w:i/>
        </w:rPr>
        <w:t xml:space="preserve"> denied</w:t>
      </w:r>
      <w:r>
        <w:t xml:space="preserve">, Order </w:t>
      </w:r>
      <w:r w:rsidR="005938D2">
        <w:t xml:space="preserve">           </w:t>
      </w:r>
      <w:r>
        <w:t xml:space="preserve">No. 676-D, 124 FERC ¶ 61,317 (2008); </w:t>
      </w:r>
      <w:r w:rsidRPr="00277458">
        <w:rPr>
          <w:i/>
        </w:rPr>
        <w:t>S</w:t>
      </w:r>
      <w:r>
        <w:rPr>
          <w:i/>
        </w:rPr>
        <w:t xml:space="preserve">ee supra </w:t>
      </w:r>
      <w:r w:rsidRPr="00C11E7D">
        <w:t>n.2</w:t>
      </w:r>
      <w:r>
        <w:t xml:space="preserve">; </w:t>
      </w:r>
      <w:r w:rsidRPr="00277458">
        <w:rPr>
          <w:i/>
        </w:rPr>
        <w:t>Standards for Business Practices and Communication Protocols for Public Utilities</w:t>
      </w:r>
      <w:r>
        <w:t xml:space="preserve">, Order No. 676-F, FERC Stats. </w:t>
      </w:r>
      <w:proofErr w:type="gramStart"/>
      <w:r>
        <w:t>&amp; Regs.</w:t>
      </w:r>
      <w:proofErr w:type="gramEnd"/>
      <w:r>
        <w:t xml:space="preserve"> ¶ 31,309 (2010); </w:t>
      </w:r>
      <w:r w:rsidRPr="00277458">
        <w:rPr>
          <w:i/>
        </w:rPr>
        <w:t>Standards for Business Practices and Communication Protocols for Public Utilities</w:t>
      </w:r>
      <w:r>
        <w:t xml:space="preserve">, Order No. 676-G, 78 FR 14654 (Mar. 7, 2013), FERC Stats. </w:t>
      </w:r>
      <w:proofErr w:type="gramStart"/>
      <w:r>
        <w:t>&amp; Regs.</w:t>
      </w:r>
      <w:proofErr w:type="gramEnd"/>
      <w:r>
        <w:t xml:space="preserve"> ¶ 31,343 (2013); </w:t>
      </w:r>
      <w:r w:rsidRPr="00E375E7">
        <w:rPr>
          <w:i/>
        </w:rPr>
        <w:t>S</w:t>
      </w:r>
      <w:r>
        <w:rPr>
          <w:i/>
        </w:rPr>
        <w:t xml:space="preserve">ee supra </w:t>
      </w:r>
      <w:r>
        <w:t>n.3.</w:t>
      </w:r>
    </w:p>
  </w:footnote>
  <w:footnote w:id="15">
    <w:p w14:paraId="36FF2F25" w14:textId="3C3AFB66" w:rsidR="001624A2" w:rsidRDefault="001624A2" w:rsidP="00F522DA">
      <w:pPr>
        <w:pStyle w:val="FootnoteText"/>
      </w:pPr>
      <w:r w:rsidRPr="00554D11">
        <w:rPr>
          <w:rStyle w:val="FootnoteReference"/>
        </w:rPr>
        <w:footnoteRef/>
      </w:r>
      <w:r w:rsidRPr="00B555D1">
        <w:t xml:space="preserve"> The OASIS suite of standards is used collectively by NAESB to reference </w:t>
      </w:r>
      <w:r w:rsidR="005938D2">
        <w:t xml:space="preserve">    </w:t>
      </w:r>
      <w:r w:rsidRPr="00B555D1">
        <w:t xml:space="preserve">four business practice standards: </w:t>
      </w:r>
      <w:r>
        <w:t xml:space="preserve"> </w:t>
      </w:r>
      <w:r w:rsidRPr="00B555D1">
        <w:t>WEQ-001 Open Access Same-Time Information System (OASIS); WEQ-002 OASIS Standards and Communication Protocols (S&amp;CP); WEQ-003 OASIS S&amp;CP Data Dictionaries; and WEQ-013 OASIS Implementation Guide.</w:t>
      </w:r>
    </w:p>
  </w:footnote>
  <w:footnote w:id="16">
    <w:p w14:paraId="02972D7A" w14:textId="64811CA5" w:rsidR="001624A2" w:rsidRDefault="001624A2">
      <w:pPr>
        <w:pStyle w:val="FootnoteText"/>
      </w:pPr>
      <w:r w:rsidRPr="00554D11">
        <w:rPr>
          <w:rStyle w:val="FootnoteReference"/>
        </w:rPr>
        <w:footnoteRef/>
      </w:r>
      <w:r>
        <w:t xml:space="preserve"> As mentioned above, </w:t>
      </w:r>
      <w:r w:rsidRPr="00300E64">
        <w:t>NERC proposes to retire Reliability Standards MOD-001-1a, MOD-004-1, MOD-008-1, MOD-028-2, MOD-029-1a</w:t>
      </w:r>
      <w:r w:rsidR="00C8145A">
        <w:t>,</w:t>
      </w:r>
      <w:r w:rsidRPr="00300E64">
        <w:t xml:space="preserve"> and MOD-030-2.</w:t>
      </w:r>
    </w:p>
  </w:footnote>
  <w:footnote w:id="17">
    <w:p w14:paraId="38930316" w14:textId="77777777" w:rsidR="001624A2" w:rsidRDefault="001624A2" w:rsidP="00565F73">
      <w:pPr>
        <w:pStyle w:val="FootnoteText"/>
      </w:pPr>
      <w:r>
        <w:rPr>
          <w:rStyle w:val="FootnoteReference"/>
        </w:rPr>
        <w:footnoteRef/>
      </w:r>
      <w:r>
        <w:t xml:space="preserve"> </w:t>
      </w:r>
      <w:hyperlink r:id="rId1" w:history="1">
        <w:r w:rsidRPr="00C8145A">
          <w:rPr>
            <w:rStyle w:val="Hyperlink"/>
            <w:u w:val="none"/>
          </w:rPr>
          <w:t>https://www.naesb.org/pdf4/r140</w:t>
        </w:r>
      </w:hyperlink>
      <w:r>
        <w:t>.</w:t>
      </w:r>
    </w:p>
  </w:footnote>
  <w:footnote w:id="18">
    <w:p w14:paraId="4CE52117" w14:textId="77777777" w:rsidR="001624A2" w:rsidRDefault="001624A2">
      <w:pPr>
        <w:pStyle w:val="FootnoteText"/>
      </w:pPr>
      <w:r w:rsidRPr="00554D11">
        <w:rPr>
          <w:rStyle w:val="FootnoteReference"/>
        </w:rPr>
        <w:footnoteRef/>
      </w:r>
      <w:r>
        <w:t xml:space="preserve"> These terms are defined in WEQ-000-1.</w:t>
      </w:r>
    </w:p>
  </w:footnote>
  <w:footnote w:id="19">
    <w:p w14:paraId="1468CB73" w14:textId="0D2F9814" w:rsidR="001624A2" w:rsidRDefault="001624A2">
      <w:pPr>
        <w:pStyle w:val="FootnoteText"/>
      </w:pPr>
      <w:r>
        <w:rPr>
          <w:rStyle w:val="FootnoteReference"/>
        </w:rPr>
        <w:footnoteRef/>
      </w:r>
      <w:r>
        <w:t xml:space="preserve"> </w:t>
      </w:r>
      <w:proofErr w:type="gramStart"/>
      <w:r>
        <w:t>NAESB October 26 Filing at 3.</w:t>
      </w:r>
      <w:proofErr w:type="gramEnd"/>
    </w:p>
  </w:footnote>
  <w:footnote w:id="20">
    <w:p w14:paraId="0D335FAD" w14:textId="77777777" w:rsidR="001624A2" w:rsidRDefault="001624A2">
      <w:pPr>
        <w:pStyle w:val="FootnoteText"/>
      </w:pPr>
      <w:r w:rsidRPr="00554D11">
        <w:rPr>
          <w:rStyle w:val="FootnoteReference"/>
        </w:rPr>
        <w:footnoteRef/>
      </w:r>
      <w:r>
        <w:t xml:space="preserve"> These corrections are identified and explained in the October 26 Filing.</w:t>
      </w:r>
    </w:p>
  </w:footnote>
  <w:footnote w:id="21">
    <w:p w14:paraId="06EA2E0B" w14:textId="13CE5A1A" w:rsidR="001624A2" w:rsidRDefault="001624A2" w:rsidP="007C0C74">
      <w:pPr>
        <w:pStyle w:val="FootnoteText"/>
      </w:pPr>
      <w:r w:rsidRPr="00554D11">
        <w:rPr>
          <w:rStyle w:val="FootnoteReference"/>
        </w:rPr>
        <w:footnoteRef/>
      </w:r>
      <w:r>
        <w:t xml:space="preserve"> </w:t>
      </w:r>
      <w:r w:rsidRPr="00313F92">
        <w:t xml:space="preserve">Consistent with our past practice, </w:t>
      </w:r>
      <w:r w:rsidRPr="00313F92">
        <w:rPr>
          <w:szCs w:val="26"/>
        </w:rPr>
        <w:t xml:space="preserve">we do not propose to incorporate by reference into the Commission’s regulations the following standards:  Standards of Conduct for Electric Transmission Providers (WEQ-009); Contracts Related Standards (WEQ-010); </w:t>
      </w:r>
      <w:r>
        <w:rPr>
          <w:szCs w:val="26"/>
        </w:rPr>
        <w:t xml:space="preserve">and </w:t>
      </w:r>
      <w:r w:rsidRPr="00313F92">
        <w:rPr>
          <w:szCs w:val="26"/>
        </w:rPr>
        <w:t xml:space="preserve">WEQ/WGQ </w:t>
      </w:r>
      <w:proofErr w:type="spellStart"/>
      <w:r w:rsidRPr="00313F92">
        <w:rPr>
          <w:szCs w:val="26"/>
        </w:rPr>
        <w:t>eTariff</w:t>
      </w:r>
      <w:proofErr w:type="spellEnd"/>
      <w:r w:rsidRPr="00313F92">
        <w:rPr>
          <w:szCs w:val="26"/>
        </w:rPr>
        <w:t xml:space="preserve"> Related Standards (WEQ-014)</w:t>
      </w:r>
      <w:r>
        <w:rPr>
          <w:szCs w:val="26"/>
        </w:rPr>
        <w:t>.</w:t>
      </w:r>
      <w:r w:rsidRPr="00313F92">
        <w:rPr>
          <w:szCs w:val="26"/>
        </w:rPr>
        <w:t xml:space="preserve"> </w:t>
      </w:r>
      <w:r>
        <w:rPr>
          <w:szCs w:val="26"/>
        </w:rPr>
        <w:t xml:space="preserve"> We also do not propose to incorporate by reference at this time the </w:t>
      </w:r>
      <w:r w:rsidRPr="00313F92">
        <w:t>WEQ-023 Modeling Business Practice Standards</w:t>
      </w:r>
      <w:r>
        <w:t>.</w:t>
      </w:r>
      <w:r w:rsidRPr="00313F92">
        <w:t xml:space="preserve">  </w:t>
      </w:r>
      <w:r w:rsidRPr="00313F92">
        <w:rPr>
          <w:szCs w:val="26"/>
        </w:rPr>
        <w:t xml:space="preserve">We do not propose to incorporate by reference standard WEQ-009 because it contains no substantive standards and merely serves as a placeholder for future standards.  We do not propose to incorporate by reference standard WEQ-010 because this standard contains an optional NAESB contract regarding funds transfers and the Commission does not require utilities to use such </w:t>
      </w:r>
      <w:r w:rsidRPr="00DE05BC">
        <w:rPr>
          <w:szCs w:val="26"/>
        </w:rPr>
        <w:t xml:space="preserve">contracts.  </w:t>
      </w:r>
      <w:r w:rsidRPr="00DD00E0">
        <w:rPr>
          <w:szCs w:val="26"/>
        </w:rPr>
        <w:t>Moreover, as discussed more specifically in the section below on Redirects from Conditional Parent Reservations, we do not propose in this NOPR to incorporate by reference certain portions of WEQ-001.</w:t>
      </w:r>
    </w:p>
  </w:footnote>
  <w:footnote w:id="22">
    <w:p w14:paraId="60F50654" w14:textId="3C0FB05A" w:rsidR="001624A2" w:rsidRDefault="001624A2" w:rsidP="00962434">
      <w:pPr>
        <w:pStyle w:val="FootnoteText"/>
      </w:pPr>
      <w:r w:rsidRPr="00554D11">
        <w:rPr>
          <w:rStyle w:val="FootnoteReference"/>
        </w:rPr>
        <w:footnoteRef/>
      </w:r>
      <w:r>
        <w:t xml:space="preserve"> </w:t>
      </w:r>
      <w:proofErr w:type="gramStart"/>
      <w:r>
        <w:t xml:space="preserve">99 FERC </w:t>
      </w:r>
      <w:r w:rsidRPr="00AC0D83">
        <w:t>¶</w:t>
      </w:r>
      <w:r>
        <w:t> </w:t>
      </w:r>
      <w:r w:rsidRPr="00AC0D83">
        <w:t>61,</w:t>
      </w:r>
      <w:r>
        <w:t>054, at P 9 (2002) (</w:t>
      </w:r>
      <w:r w:rsidRPr="00847EB1">
        <w:rPr>
          <w:i/>
        </w:rPr>
        <w:t>Dynegy</w:t>
      </w:r>
      <w:r>
        <w:t>).</w:t>
      </w:r>
      <w:proofErr w:type="gramEnd"/>
    </w:p>
  </w:footnote>
  <w:footnote w:id="23">
    <w:p w14:paraId="3300B668" w14:textId="5BF3A1A0" w:rsidR="001624A2" w:rsidRDefault="001624A2" w:rsidP="00962434">
      <w:pPr>
        <w:pStyle w:val="FootnoteText"/>
      </w:pPr>
      <w:r w:rsidRPr="00554D11">
        <w:rPr>
          <w:rStyle w:val="FootnoteReference"/>
        </w:rPr>
        <w:footnoteRef/>
      </w:r>
      <w:r>
        <w:t xml:space="preserve"> </w:t>
      </w:r>
      <w:proofErr w:type="gramStart"/>
      <w:r>
        <w:t>143 FERC ¶ 61,143, at P 25 &amp; n.68 (2013) (</w:t>
      </w:r>
      <w:r w:rsidRPr="00847EB1">
        <w:rPr>
          <w:i/>
        </w:rPr>
        <w:t>Entergy</w:t>
      </w:r>
      <w:r>
        <w:t>).</w:t>
      </w:r>
      <w:proofErr w:type="gramEnd"/>
    </w:p>
  </w:footnote>
  <w:footnote w:id="24">
    <w:p w14:paraId="3D629138" w14:textId="77777777" w:rsidR="001624A2" w:rsidRDefault="001624A2" w:rsidP="00962434">
      <w:pPr>
        <w:pStyle w:val="FootnoteText"/>
      </w:pPr>
      <w:r w:rsidRPr="00554D11">
        <w:rPr>
          <w:rStyle w:val="FootnoteReference"/>
        </w:rPr>
        <w:footnoteRef/>
      </w:r>
      <w:r>
        <w:t xml:space="preserve"> </w:t>
      </w:r>
      <w:r w:rsidRPr="00E14A60">
        <w:rPr>
          <w:i/>
        </w:rPr>
        <w:t>Id</w:t>
      </w:r>
      <w:r>
        <w:t>. P 47.</w:t>
      </w:r>
    </w:p>
  </w:footnote>
  <w:footnote w:id="25">
    <w:p w14:paraId="0969D83B" w14:textId="778CC3F2" w:rsidR="001624A2" w:rsidRDefault="001624A2">
      <w:pPr>
        <w:pStyle w:val="FootnoteText"/>
      </w:pPr>
      <w:r w:rsidRPr="00554D11">
        <w:rPr>
          <w:rStyle w:val="FootnoteReference"/>
        </w:rPr>
        <w:footnoteRef/>
      </w:r>
      <w:r>
        <w:t xml:space="preserve"> </w:t>
      </w:r>
      <w:proofErr w:type="gramStart"/>
      <w:r>
        <w:rPr>
          <w:i/>
        </w:rPr>
        <w:t>Id.</w:t>
      </w:r>
      <w:r>
        <w:t xml:space="preserve"> P 25 &amp; n.68.</w:t>
      </w:r>
      <w:proofErr w:type="gramEnd"/>
    </w:p>
  </w:footnote>
  <w:footnote w:id="26">
    <w:p w14:paraId="3C98FC77" w14:textId="7270530E" w:rsidR="001624A2" w:rsidRDefault="001624A2">
      <w:pPr>
        <w:pStyle w:val="FootnoteText"/>
      </w:pPr>
      <w:r w:rsidRPr="00554D11">
        <w:rPr>
          <w:rStyle w:val="FootnoteReference"/>
        </w:rPr>
        <w:footnoteRef/>
      </w:r>
      <w:r>
        <w:t xml:space="preserve"> </w:t>
      </w:r>
      <w:proofErr w:type="gramStart"/>
      <w:r>
        <w:rPr>
          <w:i/>
        </w:rPr>
        <w:t>Dynegy,</w:t>
      </w:r>
      <w:r>
        <w:t xml:space="preserve"> 99 FERC </w:t>
      </w:r>
      <w:r w:rsidRPr="00AC0D83">
        <w:t>¶</w:t>
      </w:r>
      <w:r>
        <w:t> </w:t>
      </w:r>
      <w:r w:rsidRPr="00AC0D83">
        <w:t>61,</w:t>
      </w:r>
      <w:r>
        <w:t>054 at P 9.</w:t>
      </w:r>
      <w:proofErr w:type="gramEnd"/>
    </w:p>
  </w:footnote>
  <w:footnote w:id="27">
    <w:p w14:paraId="541A4170" w14:textId="77777777" w:rsidR="001624A2" w:rsidRDefault="001624A2">
      <w:pPr>
        <w:pStyle w:val="FootnoteText"/>
      </w:pPr>
      <w:r w:rsidRPr="00554D11">
        <w:rPr>
          <w:rStyle w:val="FootnoteReference"/>
        </w:rPr>
        <w:footnoteRef/>
      </w:r>
      <w:r>
        <w:t xml:space="preserve"> Order No. 676-E, FERC Stats. </w:t>
      </w:r>
      <w:proofErr w:type="gramStart"/>
      <w:r>
        <w:t>&amp; Regs.</w:t>
      </w:r>
      <w:proofErr w:type="gramEnd"/>
      <w:r>
        <w:t xml:space="preserve"> </w:t>
      </w:r>
      <w:proofErr w:type="gramStart"/>
      <w:r>
        <w:t>¶ 31,299 at P 39.</w:t>
      </w:r>
      <w:proofErr w:type="gramEnd"/>
    </w:p>
  </w:footnote>
  <w:footnote w:id="28">
    <w:p w14:paraId="0E4D4839" w14:textId="5A2F2397" w:rsidR="001624A2" w:rsidRPr="00110C27" w:rsidRDefault="001624A2">
      <w:pPr>
        <w:pStyle w:val="FootnoteText"/>
      </w:pPr>
      <w:r w:rsidRPr="00554D11">
        <w:rPr>
          <w:rStyle w:val="FootnoteReference"/>
        </w:rPr>
        <w:footnoteRef/>
      </w:r>
      <w:r>
        <w:t xml:space="preserve"> </w:t>
      </w:r>
      <w:r>
        <w:rPr>
          <w:i/>
        </w:rPr>
        <w:t xml:space="preserve">Id. </w:t>
      </w:r>
      <w:r>
        <w:t>P 29.</w:t>
      </w:r>
    </w:p>
  </w:footnote>
  <w:footnote w:id="29">
    <w:p w14:paraId="45D860B7" w14:textId="70BCE2BC" w:rsidR="001624A2" w:rsidRDefault="001624A2" w:rsidP="0062625A">
      <w:pPr>
        <w:pStyle w:val="FootnoteText"/>
      </w:pPr>
      <w:r w:rsidRPr="00554D11">
        <w:rPr>
          <w:rStyle w:val="FootnoteReference"/>
        </w:rPr>
        <w:footnoteRef/>
      </w:r>
      <w:r>
        <w:t xml:space="preserve"> </w:t>
      </w:r>
      <w:r w:rsidRPr="00F30857">
        <w:rPr>
          <w:i/>
        </w:rPr>
        <w:t>See supra</w:t>
      </w:r>
      <w:r>
        <w:t xml:space="preserve"> P 8.</w:t>
      </w:r>
    </w:p>
  </w:footnote>
  <w:footnote w:id="30">
    <w:p w14:paraId="19031431" w14:textId="1B686100" w:rsidR="001624A2" w:rsidRDefault="001624A2">
      <w:pPr>
        <w:pStyle w:val="FootnoteText"/>
      </w:pPr>
      <w:r w:rsidRPr="00554D11">
        <w:rPr>
          <w:rStyle w:val="FootnoteReference"/>
        </w:rPr>
        <w:footnoteRef/>
      </w:r>
      <w:r>
        <w:t xml:space="preserve"> </w:t>
      </w:r>
      <w:r w:rsidRPr="007328FB">
        <w:rPr>
          <w:i/>
        </w:rPr>
        <w:t>See infra</w:t>
      </w:r>
      <w:r>
        <w:t xml:space="preserve"> P 57.</w:t>
      </w:r>
    </w:p>
  </w:footnote>
  <w:footnote w:id="31">
    <w:p w14:paraId="262A48C2" w14:textId="77777777" w:rsidR="001624A2" w:rsidRDefault="001624A2" w:rsidP="00B23928">
      <w:pPr>
        <w:pStyle w:val="FootnoteText"/>
      </w:pPr>
      <w:r w:rsidRPr="00554D11">
        <w:rPr>
          <w:rStyle w:val="FootnoteReference"/>
        </w:rPr>
        <w:footnoteRef/>
      </w:r>
      <w:r>
        <w:t xml:space="preserve"> Order No. 890, FERC Stats. </w:t>
      </w:r>
      <w:proofErr w:type="gramStart"/>
      <w:r>
        <w:t>&amp; Regs.</w:t>
      </w:r>
      <w:proofErr w:type="gramEnd"/>
      <w:r>
        <w:t xml:space="preserve"> </w:t>
      </w:r>
      <w:proofErr w:type="gramStart"/>
      <w:r>
        <w:t>¶ 31,241 at P 1377.</w:t>
      </w:r>
      <w:proofErr w:type="gramEnd"/>
    </w:p>
  </w:footnote>
  <w:footnote w:id="32">
    <w:p w14:paraId="3F3613B7" w14:textId="77777777" w:rsidR="001624A2" w:rsidRDefault="001624A2">
      <w:pPr>
        <w:pStyle w:val="FootnoteText"/>
      </w:pPr>
      <w:r w:rsidRPr="00554D11">
        <w:rPr>
          <w:rStyle w:val="FootnoteReference"/>
        </w:rPr>
        <w:footnoteRef/>
      </w:r>
      <w:r>
        <w:t xml:space="preserve"> Order No. 676-H, FERC Stats. </w:t>
      </w:r>
      <w:proofErr w:type="gramStart"/>
      <w:r>
        <w:t>&amp; Regs.</w:t>
      </w:r>
      <w:proofErr w:type="gramEnd"/>
      <w:r>
        <w:t xml:space="preserve"> </w:t>
      </w:r>
      <w:proofErr w:type="gramStart"/>
      <w:r>
        <w:t>¶ 31,359 at P 65.</w:t>
      </w:r>
      <w:proofErr w:type="gramEnd"/>
    </w:p>
  </w:footnote>
  <w:footnote w:id="33">
    <w:p w14:paraId="427B678F" w14:textId="77777777" w:rsidR="001624A2" w:rsidRDefault="001624A2" w:rsidP="00C31433">
      <w:pPr>
        <w:pStyle w:val="FootnoteText"/>
      </w:pPr>
      <w:r w:rsidRPr="00554D11">
        <w:rPr>
          <w:rStyle w:val="FootnoteReference"/>
        </w:rPr>
        <w:footnoteRef/>
      </w:r>
      <w:r>
        <w:t xml:space="preserve"> </w:t>
      </w:r>
      <w:r w:rsidRPr="00C11E7D">
        <w:rPr>
          <w:i/>
        </w:rPr>
        <w:t>Id.</w:t>
      </w:r>
      <w:r>
        <w:t xml:space="preserve"> P 58.</w:t>
      </w:r>
    </w:p>
  </w:footnote>
  <w:footnote w:id="34">
    <w:p w14:paraId="0A0BD2EC" w14:textId="77777777" w:rsidR="001624A2" w:rsidRDefault="001624A2">
      <w:pPr>
        <w:pStyle w:val="FootnoteText"/>
      </w:pPr>
      <w:r w:rsidRPr="00554D11">
        <w:rPr>
          <w:rStyle w:val="FootnoteReference"/>
        </w:rPr>
        <w:footnoteRef/>
      </w:r>
      <w:r>
        <w:t xml:space="preserve"> Order No. 676-E, FERC Stats. </w:t>
      </w:r>
      <w:proofErr w:type="gramStart"/>
      <w:r>
        <w:t>&amp; Regs.</w:t>
      </w:r>
      <w:proofErr w:type="gramEnd"/>
      <w:r>
        <w:t xml:space="preserve"> </w:t>
      </w:r>
      <w:proofErr w:type="gramStart"/>
      <w:r>
        <w:t>¶ 31,299 at P 72.</w:t>
      </w:r>
      <w:proofErr w:type="gramEnd"/>
    </w:p>
  </w:footnote>
  <w:footnote w:id="35">
    <w:p w14:paraId="2DF2F46D" w14:textId="77777777" w:rsidR="001624A2" w:rsidRDefault="001624A2" w:rsidP="00C56848">
      <w:pPr>
        <w:pStyle w:val="FootnoteText"/>
      </w:pPr>
      <w:r w:rsidRPr="00554D11">
        <w:rPr>
          <w:rStyle w:val="FootnoteReference"/>
        </w:rPr>
        <w:footnoteRef/>
      </w:r>
      <w:r>
        <w:t xml:space="preserve"> Order No. 890-A, FERC Stats. </w:t>
      </w:r>
      <w:proofErr w:type="gramStart"/>
      <w:r>
        <w:t>&amp; Regs.</w:t>
      </w:r>
      <w:proofErr w:type="gramEnd"/>
      <w:r>
        <w:t xml:space="preserve"> </w:t>
      </w:r>
      <w:proofErr w:type="gramStart"/>
      <w:r>
        <w:t>¶ 31,261 at P 51.</w:t>
      </w:r>
      <w:proofErr w:type="gramEnd"/>
    </w:p>
  </w:footnote>
  <w:footnote w:id="36">
    <w:p w14:paraId="74ED5D0A" w14:textId="05F897B5" w:rsidR="001624A2" w:rsidRDefault="001624A2">
      <w:pPr>
        <w:pStyle w:val="FootnoteText"/>
      </w:pPr>
      <w:r>
        <w:rPr>
          <w:rStyle w:val="FootnoteReference"/>
        </w:rPr>
        <w:footnoteRef/>
      </w:r>
      <w:r>
        <w:t xml:space="preserve"> </w:t>
      </w:r>
      <w:r w:rsidRPr="003F60B5">
        <w:rPr>
          <w:lang w:val="en"/>
        </w:rPr>
        <w:t xml:space="preserve">The </w:t>
      </w:r>
      <w:r w:rsidRPr="003F60B5">
        <w:rPr>
          <w:bCs/>
          <w:lang w:val="en"/>
        </w:rPr>
        <w:t>Data Universal Numbering System</w:t>
      </w:r>
      <w:r w:rsidRPr="003F60B5">
        <w:rPr>
          <w:lang w:val="en"/>
        </w:rPr>
        <w:t xml:space="preserve">, abbreviated as </w:t>
      </w:r>
      <w:r w:rsidRPr="003F60B5">
        <w:rPr>
          <w:bCs/>
          <w:lang w:val="en"/>
        </w:rPr>
        <w:t>DUNS</w:t>
      </w:r>
      <w:r w:rsidRPr="003F60B5">
        <w:rPr>
          <w:lang w:val="en"/>
        </w:rPr>
        <w:t xml:space="preserve"> or </w:t>
      </w:r>
      <w:r w:rsidRPr="003F60B5">
        <w:rPr>
          <w:bCs/>
          <w:lang w:val="en"/>
        </w:rPr>
        <w:t>D-U-N-S</w:t>
      </w:r>
      <w:r w:rsidRPr="003F60B5">
        <w:rPr>
          <w:lang w:val="en"/>
        </w:rPr>
        <w:t xml:space="preserve">, is a proprietary system developed and regulated by </w:t>
      </w:r>
      <w:hyperlink r:id="rId2" w:tooltip="Dun &amp; Bradstreet" w:history="1">
        <w:r w:rsidRPr="003F60B5">
          <w:rPr>
            <w:rStyle w:val="Hyperlink"/>
          </w:rPr>
          <w:t>Dun &amp; Bradstreet</w:t>
        </w:r>
      </w:hyperlink>
      <w:r w:rsidRPr="003F60B5">
        <w:rPr>
          <w:lang w:val="en"/>
        </w:rPr>
        <w:t xml:space="preserve"> that assigns a unique numeric identifier, referred to as a "DUNS number" to a single business entity</w:t>
      </w:r>
      <w:r>
        <w:rPr>
          <w:lang w:val="en"/>
        </w:rPr>
        <w:t>.</w:t>
      </w:r>
    </w:p>
  </w:footnote>
  <w:footnote w:id="37">
    <w:p w14:paraId="4FBFCDC7" w14:textId="2C8C6100" w:rsidR="001624A2" w:rsidRDefault="001624A2" w:rsidP="00775EF5">
      <w:pPr>
        <w:pStyle w:val="FootnoteText"/>
      </w:pPr>
      <w:r w:rsidRPr="00554D11">
        <w:rPr>
          <w:rStyle w:val="FootnoteReference"/>
        </w:rPr>
        <w:footnoteRef/>
      </w:r>
      <w:r>
        <w:t xml:space="preserve"> </w:t>
      </w:r>
      <w:r w:rsidRPr="00DD00E0">
        <w:rPr>
          <w:i/>
        </w:rPr>
        <w:t xml:space="preserve">Electricity Market Transparency Provisions of Section 220 of the Federal Power Act, </w:t>
      </w:r>
      <w:r w:rsidRPr="00C8145A">
        <w:t>Order No. 768</w:t>
      </w:r>
      <w:r>
        <w:t xml:space="preserve">, 77 FR 61896, FERC Stats. </w:t>
      </w:r>
      <w:proofErr w:type="gramStart"/>
      <w:r>
        <w:t>&amp; Regs.</w:t>
      </w:r>
      <w:proofErr w:type="gramEnd"/>
      <w:r>
        <w:t xml:space="preserve"> </w:t>
      </w:r>
      <w:proofErr w:type="gramStart"/>
      <w:r>
        <w:t>¶ 31,336</w:t>
      </w:r>
      <w:r w:rsidR="00C8145A">
        <w:t>,</w:t>
      </w:r>
      <w:r>
        <w:t xml:space="preserve"> at P 171 (2012).</w:t>
      </w:r>
      <w:proofErr w:type="gramEnd"/>
    </w:p>
  </w:footnote>
  <w:footnote w:id="38">
    <w:p w14:paraId="24203F61" w14:textId="78616954" w:rsidR="001624A2" w:rsidRDefault="001624A2">
      <w:pPr>
        <w:pStyle w:val="FootnoteText"/>
      </w:pPr>
      <w:r w:rsidRPr="00554D11">
        <w:rPr>
          <w:rStyle w:val="FootnoteReference"/>
        </w:rPr>
        <w:footnoteRef/>
      </w:r>
      <w:r>
        <w:t xml:space="preserve"> </w:t>
      </w:r>
      <w:proofErr w:type="gramStart"/>
      <w:r w:rsidRPr="00C63EAE">
        <w:rPr>
          <w:i/>
          <w:iCs/>
        </w:rPr>
        <w:t>North American Electric Reliability Corporation</w:t>
      </w:r>
      <w:r w:rsidRPr="00C63EAE">
        <w:t>, 15</w:t>
      </w:r>
      <w:r>
        <w:t>0</w:t>
      </w:r>
      <w:r w:rsidRPr="00C63EAE">
        <w:t xml:space="preserve"> FERC ¶</w:t>
      </w:r>
      <w:r>
        <w:t> </w:t>
      </w:r>
      <w:r w:rsidRPr="00C63EAE">
        <w:t>61,2</w:t>
      </w:r>
      <w:r>
        <w:t>13</w:t>
      </w:r>
      <w:r w:rsidRPr="00C63EAE">
        <w:t xml:space="preserve"> (2015)</w:t>
      </w:r>
      <w:r>
        <w:t>.</w:t>
      </w:r>
      <w:proofErr w:type="gramEnd"/>
    </w:p>
  </w:footnote>
  <w:footnote w:id="39">
    <w:p w14:paraId="042C2B68" w14:textId="062E2E38" w:rsidR="001624A2" w:rsidRDefault="001624A2" w:rsidP="00775EF5">
      <w:pPr>
        <w:pStyle w:val="FootnoteText"/>
      </w:pPr>
      <w:r w:rsidRPr="00554D11">
        <w:rPr>
          <w:rStyle w:val="FootnoteReference"/>
        </w:rPr>
        <w:footnoteRef/>
      </w:r>
      <w:r w:rsidRPr="00B555D1">
        <w:t xml:space="preserve"> </w:t>
      </w:r>
      <w:proofErr w:type="gramStart"/>
      <w:r w:rsidRPr="00B555D1">
        <w:rPr>
          <w:i/>
          <w:iCs/>
        </w:rPr>
        <w:t>North American Electric Reliability Corporation</w:t>
      </w:r>
      <w:r w:rsidRPr="00B555D1">
        <w:t>, 153 FERC ¶</w:t>
      </w:r>
      <w:r>
        <w:t> </w:t>
      </w:r>
      <w:r w:rsidRPr="00B555D1">
        <w:t>61,024</w:t>
      </w:r>
      <w:r>
        <w:t xml:space="preserve">, at P 20 </w:t>
      </w:r>
      <w:r w:rsidRPr="00B555D1">
        <w:t>(2015)</w:t>
      </w:r>
      <w:r>
        <w:t>.</w:t>
      </w:r>
      <w:proofErr w:type="gramEnd"/>
    </w:p>
  </w:footnote>
  <w:footnote w:id="40">
    <w:p w14:paraId="6AB53926" w14:textId="1B3D7DFE" w:rsidR="001624A2" w:rsidRDefault="001624A2">
      <w:pPr>
        <w:pStyle w:val="FootnoteText"/>
      </w:pPr>
      <w:r>
        <w:rPr>
          <w:rStyle w:val="FootnoteReference"/>
        </w:rPr>
        <w:footnoteRef/>
      </w:r>
      <w:r>
        <w:t xml:space="preserve"> </w:t>
      </w:r>
      <w:r w:rsidRPr="00EF79C1">
        <w:t>NERC’s proposal is currently pending before the Commission in the rulemaking</w:t>
      </w:r>
      <w:r>
        <w:t xml:space="preserve"> proceeding in </w:t>
      </w:r>
      <w:r w:rsidRPr="00EF79C1">
        <w:t>Docket No. RM14-7-000</w:t>
      </w:r>
      <w:r>
        <w:t xml:space="preserve">, </w:t>
      </w:r>
      <w:r w:rsidRPr="00847EB1">
        <w:rPr>
          <w:i/>
        </w:rPr>
        <w:t>see supra</w:t>
      </w:r>
      <w:r>
        <w:t xml:space="preserve"> n.7</w:t>
      </w:r>
      <w:r w:rsidRPr="00EF79C1">
        <w:t>.</w:t>
      </w:r>
    </w:p>
  </w:footnote>
  <w:footnote w:id="41">
    <w:p w14:paraId="366A8A81" w14:textId="3C0050A4" w:rsidR="001624A2" w:rsidRDefault="001624A2" w:rsidP="00EF79C1">
      <w:pPr>
        <w:pStyle w:val="FootnoteText"/>
      </w:pPr>
      <w:r>
        <w:rPr>
          <w:rStyle w:val="FootnoteReference"/>
        </w:rPr>
        <w:footnoteRef/>
      </w:r>
      <w:r>
        <w:t xml:space="preserve"> </w:t>
      </w:r>
      <w:proofErr w:type="gramStart"/>
      <w:r w:rsidRPr="009E19F4">
        <w:rPr>
          <w:i/>
        </w:rPr>
        <w:t>See,</w:t>
      </w:r>
      <w:r>
        <w:t xml:space="preserve"> </w:t>
      </w:r>
      <w:r w:rsidRPr="009E19F4">
        <w:rPr>
          <w:i/>
        </w:rPr>
        <w:t>e.g.,</w:t>
      </w:r>
      <w:r>
        <w:t xml:space="preserve"> the December 18, 2014 status report filed by NAESB in Docket </w:t>
      </w:r>
      <w:r w:rsidR="005938D2">
        <w:t xml:space="preserve">     </w:t>
      </w:r>
      <w:r>
        <w:t>Nos.</w:t>
      </w:r>
      <w:proofErr w:type="gramEnd"/>
      <w:r>
        <w:t xml:space="preserve"> </w:t>
      </w:r>
      <w:proofErr w:type="gramStart"/>
      <w:r>
        <w:t xml:space="preserve">RM05-5-000 and RM14-7-000, and the Commission’s April 21, 2015 workshop, </w:t>
      </w:r>
      <w:r w:rsidRPr="00526792">
        <w:rPr>
          <w:i/>
        </w:rPr>
        <w:t>Available Transfer Capability Standards for Wholesale Electric Transmission Services</w:t>
      </w:r>
      <w:r>
        <w:t>, Docket No.</w:t>
      </w:r>
      <w:proofErr w:type="gramEnd"/>
      <w:r>
        <w:t xml:space="preserve"> </w:t>
      </w:r>
      <w:proofErr w:type="gramStart"/>
      <w:r>
        <w:t>RM15-5-000.</w:t>
      </w:r>
      <w:proofErr w:type="gramEnd"/>
    </w:p>
  </w:footnote>
  <w:footnote w:id="42">
    <w:p w14:paraId="7DC93EDA" w14:textId="6B4D30B1" w:rsidR="001624A2" w:rsidRDefault="001624A2" w:rsidP="001662B0">
      <w:pPr>
        <w:pStyle w:val="FootnoteText"/>
      </w:pPr>
      <w:r w:rsidRPr="00554D11">
        <w:rPr>
          <w:rStyle w:val="FootnoteReference"/>
        </w:rPr>
        <w:footnoteRef/>
      </w:r>
      <w:r>
        <w:t xml:space="preserve"> </w:t>
      </w:r>
      <w:r w:rsidRPr="00F908AD">
        <w:rPr>
          <w:szCs w:val="24"/>
        </w:rPr>
        <w:t>These three modifications were not included in the Version 003 filing NAESB made on September 18, 2012 but rather were filed separately by NAESB on January 29, 2013 following the conclusion of standards development.</w:t>
      </w:r>
      <w:r>
        <w:rPr>
          <w:szCs w:val="24"/>
        </w:rPr>
        <w:t xml:space="preserve">  </w:t>
      </w:r>
      <w:r w:rsidRPr="00F908AD">
        <w:rPr>
          <w:i/>
          <w:szCs w:val="24"/>
        </w:rPr>
        <w:t>See</w:t>
      </w:r>
      <w:r>
        <w:t xml:space="preserve"> </w:t>
      </w:r>
      <w:r w:rsidRPr="00F908AD">
        <w:rPr>
          <w:szCs w:val="24"/>
        </w:rPr>
        <w:t>Submittal of Modifications to the NAESB Public Key Infrastructure Standards and Other Standards to support the Public Key Infrastructure, Docket Nos. RM05-5-000 and RM05-5-022</w:t>
      </w:r>
      <w:r>
        <w:rPr>
          <w:szCs w:val="24"/>
        </w:rPr>
        <w:t xml:space="preserve">, </w:t>
      </w:r>
      <w:r w:rsidRPr="00F908AD">
        <w:rPr>
          <w:szCs w:val="24"/>
        </w:rPr>
        <w:t>January 29, 2013</w:t>
      </w:r>
      <w:r>
        <w:rPr>
          <w:szCs w:val="24"/>
        </w:rPr>
        <w:t>.</w:t>
      </w:r>
    </w:p>
  </w:footnote>
  <w:footnote w:id="43">
    <w:p w14:paraId="2C7D1B4C" w14:textId="21174075" w:rsidR="001624A2" w:rsidRDefault="001624A2">
      <w:pPr>
        <w:pStyle w:val="FootnoteText"/>
      </w:pPr>
      <w:r w:rsidRPr="00554D11">
        <w:rPr>
          <w:rStyle w:val="FootnoteReference"/>
        </w:rPr>
        <w:footnoteRef/>
      </w:r>
      <w:r>
        <w:t xml:space="preserve"> The specifications document was created in recognition that certificate authorities may not be subject to the Commission’s jurisdictional authority under the Federal Power Act and that specification requirements can be modified through an accelerated process versus standards development.</w:t>
      </w:r>
    </w:p>
  </w:footnote>
  <w:footnote w:id="44">
    <w:p w14:paraId="5A65AF95" w14:textId="77777777" w:rsidR="001624A2" w:rsidRDefault="001624A2">
      <w:pPr>
        <w:pStyle w:val="FootnoteText"/>
      </w:pPr>
      <w:r w:rsidRPr="00554D11">
        <w:rPr>
          <w:rStyle w:val="FootnoteReference"/>
        </w:rPr>
        <w:footnoteRef/>
      </w:r>
      <w:r>
        <w:t xml:space="preserve"> We note the</w:t>
      </w:r>
      <w:r w:rsidRPr="00B54E9E">
        <w:t xml:space="preserve"> </w:t>
      </w:r>
      <w:r>
        <w:t xml:space="preserve">NAESB </w:t>
      </w:r>
      <w:r w:rsidRPr="00B54E9E">
        <w:t xml:space="preserve">ACA Certification Program </w:t>
      </w:r>
      <w:r>
        <w:t xml:space="preserve">is solely a service offered by NAESB, and is not include in </w:t>
      </w:r>
      <w:r w:rsidRPr="00B54E9E">
        <w:t>WEQ-012.</w:t>
      </w:r>
    </w:p>
  </w:footnote>
  <w:footnote w:id="45">
    <w:p w14:paraId="355876C7" w14:textId="77777777" w:rsidR="001624A2" w:rsidRDefault="001624A2">
      <w:pPr>
        <w:pStyle w:val="FootnoteText"/>
      </w:pPr>
      <w:r w:rsidRPr="00554D11">
        <w:rPr>
          <w:rStyle w:val="FootnoteReference"/>
        </w:rPr>
        <w:footnoteRef/>
      </w:r>
      <w:r>
        <w:t xml:space="preserve"> Order No. 676-H, FERC Stats. </w:t>
      </w:r>
      <w:proofErr w:type="gramStart"/>
      <w:r>
        <w:t>&amp; Regs.</w:t>
      </w:r>
      <w:proofErr w:type="gramEnd"/>
      <w:r>
        <w:t xml:space="preserve"> </w:t>
      </w:r>
      <w:proofErr w:type="gramStart"/>
      <w:r>
        <w:t>¶ 31,359 at P 71.</w:t>
      </w:r>
      <w:proofErr w:type="gramEnd"/>
    </w:p>
  </w:footnote>
  <w:footnote w:id="46">
    <w:p w14:paraId="1DD17F32" w14:textId="73226F54" w:rsidR="001624A2" w:rsidRPr="00800381" w:rsidRDefault="001624A2" w:rsidP="007C0C74">
      <w:pPr>
        <w:pStyle w:val="FootnoteText"/>
      </w:pPr>
      <w:r w:rsidRPr="00554D11">
        <w:rPr>
          <w:rStyle w:val="FootnoteReference"/>
        </w:rPr>
        <w:footnoteRef/>
      </w:r>
      <w:r>
        <w:t xml:space="preserve"> </w:t>
      </w:r>
      <w:r w:rsidRPr="00800381">
        <w:t>Under this process, to be approved a standard must receive a super-majority vote of 67 percent of the members of the WEQ's Executive Committee with support from at least 40 percent from each of the five industry segments</w:t>
      </w:r>
      <w:r>
        <w:t xml:space="preserve"> - </w:t>
      </w:r>
      <w:r w:rsidRPr="00800381">
        <w:t>transmission, generation, marketer/brokers, distribution/load serving entities, and end users.</w:t>
      </w:r>
      <w:r>
        <w:t xml:space="preserve"> </w:t>
      </w:r>
      <w:r w:rsidRPr="00800381">
        <w:t xml:space="preserve"> For final approval, </w:t>
      </w:r>
      <w:r w:rsidR="005938D2">
        <w:t xml:space="preserve">  </w:t>
      </w:r>
      <w:r w:rsidRPr="00800381">
        <w:t>67 percent of the WEQ's general membership must ratify the standards.</w:t>
      </w:r>
    </w:p>
  </w:footnote>
  <w:footnote w:id="47">
    <w:p w14:paraId="09095EE9" w14:textId="77777777" w:rsidR="001624A2" w:rsidRPr="003752CC" w:rsidRDefault="001624A2" w:rsidP="007C0C74">
      <w:pPr>
        <w:pStyle w:val="FootnoteText"/>
      </w:pPr>
      <w:r w:rsidRPr="00554D11">
        <w:rPr>
          <w:rStyle w:val="FootnoteReference"/>
        </w:rPr>
        <w:footnoteRef/>
      </w:r>
      <w:r>
        <w:t xml:space="preserve"> </w:t>
      </w:r>
      <w:proofErr w:type="gramStart"/>
      <w:r w:rsidRPr="003752CC">
        <w:t>Pub</w:t>
      </w:r>
      <w:r>
        <w:t>.</w:t>
      </w:r>
      <w:proofErr w:type="gramEnd"/>
      <w:r w:rsidRPr="003752CC">
        <w:t xml:space="preserve"> L. No. 104</w:t>
      </w:r>
      <w:r w:rsidRPr="003752CC">
        <w:noBreakHyphen/>
        <w:t xml:space="preserve">113, 12(d), 110 </w:t>
      </w:r>
      <w:r>
        <w:t xml:space="preserve">Stat. 775 (1996), 15 U.S.C. </w:t>
      </w:r>
      <w:r w:rsidRPr="003752CC">
        <w:t>272 note (1997).</w:t>
      </w:r>
    </w:p>
  </w:footnote>
  <w:footnote w:id="48">
    <w:p w14:paraId="2386FCCC" w14:textId="77777777" w:rsidR="001624A2" w:rsidRDefault="001624A2" w:rsidP="00C62BD5">
      <w:pPr>
        <w:pStyle w:val="FootnoteText"/>
        <w:rPr>
          <w:i/>
        </w:rPr>
      </w:pPr>
      <w:r w:rsidRPr="00554D11">
        <w:rPr>
          <w:rStyle w:val="FootnoteReference"/>
        </w:rPr>
        <w:footnoteRef/>
      </w:r>
      <w:r>
        <w:t xml:space="preserve"> </w:t>
      </w:r>
      <w:proofErr w:type="gramStart"/>
      <w:r>
        <w:t>1 CFR 51.5.</w:t>
      </w:r>
      <w:proofErr w:type="gramEnd"/>
      <w:r>
        <w:t xml:space="preserve">  </w:t>
      </w:r>
      <w:r>
        <w:rPr>
          <w:i/>
        </w:rPr>
        <w:t xml:space="preserve">See </w:t>
      </w:r>
      <w:r>
        <w:t>Incorporation by Reference, 79 FR 66267 (Nov. 7, 2014).</w:t>
      </w:r>
    </w:p>
  </w:footnote>
  <w:footnote w:id="49">
    <w:p w14:paraId="17EF5B63" w14:textId="1D42B3DC" w:rsidR="001624A2" w:rsidRDefault="001624A2">
      <w:pPr>
        <w:pStyle w:val="FootnoteText"/>
      </w:pPr>
      <w:r>
        <w:rPr>
          <w:rStyle w:val="FootnoteReference"/>
        </w:rPr>
        <w:footnoteRef/>
      </w:r>
      <w:r>
        <w:t xml:space="preserve"> As discussed above, NAESB has also adopted modifications to NERC-related standards, such as WEQ-023, that we do not propose in this NOPR to incorporate by reference.</w:t>
      </w:r>
    </w:p>
  </w:footnote>
  <w:footnote w:id="50">
    <w:p w14:paraId="0C9CEC1D" w14:textId="77777777" w:rsidR="001624A2" w:rsidRDefault="001624A2" w:rsidP="00C62BD5">
      <w:pPr>
        <w:pStyle w:val="FootnoteText"/>
      </w:pPr>
      <w:r w:rsidRPr="00554D11">
        <w:rPr>
          <w:rStyle w:val="FootnoteReference"/>
        </w:rPr>
        <w:footnoteRef/>
      </w:r>
      <w:r>
        <w:t xml:space="preserve"> </w:t>
      </w:r>
      <w:proofErr w:type="gramStart"/>
      <w:r>
        <w:t>18 CFR 284.12.</w:t>
      </w:r>
      <w:proofErr w:type="gramEnd"/>
    </w:p>
  </w:footnote>
  <w:footnote w:id="51">
    <w:p w14:paraId="7B1ACB61" w14:textId="1410916A" w:rsidR="001624A2" w:rsidRDefault="001624A2" w:rsidP="00C62BD5">
      <w:pPr>
        <w:pStyle w:val="FootnoteText"/>
      </w:pPr>
      <w:r w:rsidRPr="00554D11">
        <w:rPr>
          <w:rStyle w:val="FootnoteReference"/>
        </w:rPr>
        <w:footnoteRef/>
      </w:r>
      <w:r>
        <w:t xml:space="preserve"> As a private, consensus standards developer, NAESB needs the funds obtained from its membership fees and sales of its standards to finance the organization.  The parties affected by these Commission regulations generally are highly sophisticated and have the means to acquire the information they need to effectively participate in Commission proceedings.</w:t>
      </w:r>
    </w:p>
  </w:footnote>
  <w:footnote w:id="52">
    <w:p w14:paraId="58362EEA" w14:textId="37121393" w:rsidR="001624A2" w:rsidRDefault="001624A2" w:rsidP="003275AB">
      <w:pPr>
        <w:pStyle w:val="FootnoteText"/>
      </w:pPr>
      <w:r w:rsidRPr="00554D11">
        <w:rPr>
          <w:rStyle w:val="FootnoteReference"/>
        </w:rPr>
        <w:footnoteRef/>
      </w:r>
      <w:r>
        <w:t xml:space="preserve"> Procedures for non-members to evaluate work products before purchasing are available at </w:t>
      </w:r>
      <w:hyperlink r:id="rId3" w:history="1">
        <w:r w:rsidRPr="00C8145A">
          <w:rPr>
            <w:rStyle w:val="Hyperlink"/>
            <w:u w:val="none"/>
          </w:rPr>
          <w:t>https://www.naesb.org/misc/NAESB_Nonmember_Evaluation.pdf</w:t>
        </w:r>
      </w:hyperlink>
      <w:r>
        <w:rPr>
          <w:i/>
        </w:rPr>
        <w:t xml:space="preserve">.  See </w:t>
      </w:r>
      <w:r>
        <w:t xml:space="preserve">Incorporation by Reference, 79 FR at 66271, n.51 &amp; 53 (Nov. 7, 2014) (citing to NAESB’s procedure of providing “no-cost, no-print electronic access,” NAESB Comment at 1, </w:t>
      </w:r>
      <w:hyperlink r:id="rId4" w:anchor="!documentDetail;D=OFR-2013-0001-0023" w:history="1">
        <w:r w:rsidRPr="00C8145A">
          <w:rPr>
            <w:rStyle w:val="Hyperlink"/>
            <w:u w:val="none"/>
          </w:rPr>
          <w:t>http://www.regulations.gov/#!documentDetail;D=OFR-2013-0001-0023</w:t>
        </w:r>
      </w:hyperlink>
      <w:r>
        <w:t>).</w:t>
      </w:r>
    </w:p>
  </w:footnote>
  <w:footnote w:id="53">
    <w:p w14:paraId="4DF946F1" w14:textId="7D6368F3" w:rsidR="001624A2" w:rsidRDefault="001624A2" w:rsidP="00C62BD5">
      <w:pPr>
        <w:pStyle w:val="FootnoteText"/>
      </w:pPr>
      <w:r w:rsidRPr="00554D11">
        <w:rPr>
          <w:rStyle w:val="FootnoteReference"/>
        </w:rPr>
        <w:footnoteRef/>
      </w:r>
      <w:r>
        <w:t xml:space="preserve"> North American Energy Standards Board Membership Application, </w:t>
      </w:r>
      <w:hyperlink r:id="rId5" w:history="1">
        <w:r w:rsidRPr="00C8145A">
          <w:rPr>
            <w:rStyle w:val="Hyperlink"/>
            <w:u w:val="none"/>
          </w:rPr>
          <w:t>https://www.naesb.org/pdf4/naesbapp.pdf</w:t>
        </w:r>
      </w:hyperlink>
      <w:r>
        <w:t>.</w:t>
      </w:r>
    </w:p>
  </w:footnote>
  <w:footnote w:id="54">
    <w:p w14:paraId="7756013B" w14:textId="2CE9F139" w:rsidR="001624A2" w:rsidRPr="003275AB" w:rsidRDefault="001624A2">
      <w:pPr>
        <w:pStyle w:val="FootnoteText"/>
      </w:pPr>
      <w:r w:rsidRPr="00554D11">
        <w:rPr>
          <w:rStyle w:val="FootnoteReference"/>
        </w:rPr>
        <w:footnoteRef/>
      </w:r>
      <w:r>
        <w:t xml:space="preserve"> </w:t>
      </w:r>
      <w:r w:rsidRPr="003275AB">
        <w:t xml:space="preserve">NAESB Materials Order Form, </w:t>
      </w:r>
      <w:hyperlink r:id="rId6" w:history="1">
        <w:r w:rsidRPr="00C8145A">
          <w:rPr>
            <w:rStyle w:val="Hyperlink"/>
            <w:u w:val="none"/>
          </w:rPr>
          <w:t>https://www.naesb.org//pdf/ordrform.pdf</w:t>
        </w:r>
      </w:hyperlink>
      <w:r w:rsidRPr="003275AB">
        <w:t>.</w:t>
      </w:r>
    </w:p>
  </w:footnote>
  <w:footnote w:id="55">
    <w:p w14:paraId="20FFBC61" w14:textId="14FF5EF8" w:rsidR="001624A2" w:rsidRDefault="001624A2">
      <w:pPr>
        <w:pStyle w:val="FootnoteText"/>
      </w:pPr>
      <w:r w:rsidRPr="00554D11">
        <w:rPr>
          <w:rStyle w:val="FootnoteReference"/>
        </w:rPr>
        <w:footnoteRef/>
      </w:r>
      <w:r>
        <w:t xml:space="preserve"> </w:t>
      </w:r>
      <w:proofErr w:type="gramStart"/>
      <w:r>
        <w:t>44 U.S.C. 3507(d).</w:t>
      </w:r>
      <w:proofErr w:type="gramEnd"/>
    </w:p>
  </w:footnote>
  <w:footnote w:id="56">
    <w:p w14:paraId="478AB788" w14:textId="01808C60" w:rsidR="001624A2" w:rsidRPr="00335A9B" w:rsidRDefault="001624A2" w:rsidP="00B555D1">
      <w:pPr>
        <w:pStyle w:val="FootnoteText"/>
        <w:spacing w:before="120" w:after="240"/>
        <w:rPr>
          <w:szCs w:val="26"/>
        </w:rPr>
      </w:pPr>
      <w:r w:rsidRPr="00554D11">
        <w:rPr>
          <w:rStyle w:val="FootnoteReference"/>
        </w:rPr>
        <w:footnoteRef/>
      </w:r>
      <w:r w:rsidRPr="00335A9B">
        <w:rPr>
          <w:szCs w:val="26"/>
        </w:rPr>
        <w:t xml:space="preserve"> </w:t>
      </w:r>
      <w:proofErr w:type="gramStart"/>
      <w:r w:rsidRPr="00335A9B">
        <w:rPr>
          <w:szCs w:val="26"/>
        </w:rPr>
        <w:t>5 CFR 1320.11.</w:t>
      </w:r>
      <w:proofErr w:type="gramEnd"/>
    </w:p>
  </w:footnote>
  <w:footnote w:id="57">
    <w:p w14:paraId="09905AC8" w14:textId="77777777" w:rsidR="001624A2" w:rsidRDefault="001624A2" w:rsidP="003C4C22">
      <w:pPr>
        <w:pStyle w:val="FootnoteText"/>
      </w:pPr>
      <w:r w:rsidRPr="00554D11">
        <w:rPr>
          <w:rStyle w:val="FootnoteReference"/>
        </w:rPr>
        <w:footnoteRef/>
      </w:r>
      <w:r>
        <w:t xml:space="preserve"> </w:t>
      </w:r>
      <w:r w:rsidRPr="00517C29">
        <w:t>Commission staff estimates that industry is</w:t>
      </w:r>
      <w:r>
        <w:t xml:space="preserve"> </w:t>
      </w:r>
      <w:r w:rsidRPr="00517C29">
        <w:t>similarly situated in terms of hourly cost (wages</w:t>
      </w:r>
      <w:r>
        <w:t xml:space="preserve"> </w:t>
      </w:r>
      <w:r w:rsidRPr="00517C29">
        <w:t xml:space="preserve">plus benefits). </w:t>
      </w:r>
      <w:r>
        <w:t xml:space="preserve"> </w:t>
      </w:r>
      <w:r w:rsidRPr="00517C29">
        <w:t>Based on the Commission average</w:t>
      </w:r>
      <w:r>
        <w:t xml:space="preserve"> </w:t>
      </w:r>
      <w:r w:rsidRPr="00517C29">
        <w:t>cos</w:t>
      </w:r>
      <w:r>
        <w:t>t (wages plus benefits) for 2016</w:t>
      </w:r>
      <w:r w:rsidRPr="00517C29">
        <w:t>, $7</w:t>
      </w:r>
      <w:r>
        <w:t>4.50</w:t>
      </w:r>
      <w:r w:rsidRPr="00517C29">
        <w:t>/hour is</w:t>
      </w:r>
      <w:r>
        <w:t xml:space="preserve"> </w:t>
      </w:r>
      <w:r w:rsidRPr="00517C29">
        <w:t>used.</w:t>
      </w:r>
    </w:p>
  </w:footnote>
  <w:footnote w:id="58">
    <w:p w14:paraId="09BAD1D6" w14:textId="0D8B5B8E" w:rsidR="001624A2" w:rsidRDefault="001624A2" w:rsidP="003C4C22">
      <w:pPr>
        <w:pStyle w:val="FootnoteText"/>
      </w:pPr>
      <w:r w:rsidRPr="00554D11">
        <w:rPr>
          <w:rStyle w:val="FootnoteReference"/>
        </w:rPr>
        <w:footnoteRef/>
      </w:r>
      <w:r>
        <w:t xml:space="preserve"> This burden category is intended for “FERC-516,” the Commission’s identifier that corresponds to OMB Control No. 1902-0096 (Electric Rate Schedules and Tariff Filings). However, another unrelated item is pending OMB review using this OMB Control No. and only one item per OMB Control No. may be pending at a time.  Therefore, to ensure timely submission, Commission staff is using FERC-516E (OMB Control No. </w:t>
      </w:r>
      <w:proofErr w:type="gramStart"/>
      <w:r>
        <w:t>TBD), a temporary collection number.</w:t>
      </w:r>
      <w:proofErr w:type="gramEnd"/>
    </w:p>
  </w:footnote>
  <w:footnote w:id="59">
    <w:p w14:paraId="5F10C51A" w14:textId="103C1F27" w:rsidR="001624A2" w:rsidRDefault="001624A2" w:rsidP="003C4C22">
      <w:pPr>
        <w:pStyle w:val="FootnoteText"/>
      </w:pPr>
      <w:r w:rsidRPr="00554D11">
        <w:rPr>
          <w:rStyle w:val="FootnoteReference"/>
        </w:rPr>
        <w:footnoteRef/>
      </w:r>
      <w:r>
        <w:t xml:space="preserve"> These information collection requirements are one-time burden estimates.  After implementation in Year 1, the revision proposed in this NOPR would be complete.</w:t>
      </w:r>
    </w:p>
  </w:footnote>
  <w:footnote w:id="60">
    <w:p w14:paraId="66498DB6" w14:textId="77777777" w:rsidR="001624A2" w:rsidRDefault="001624A2" w:rsidP="004B066C">
      <w:pPr>
        <w:pStyle w:val="FootnoteText"/>
      </w:pPr>
      <w:r w:rsidRPr="00554D11">
        <w:rPr>
          <w:rStyle w:val="FootnoteReference"/>
        </w:rPr>
        <w:footnoteRef/>
      </w:r>
      <w:r>
        <w:t xml:space="preserve"> “FERC-717” is the Commission’s identifier that corresponds to OMB control no. 1902-0173 that identifies the information collection associated with Standards for </w:t>
      </w:r>
      <w:r>
        <w:rPr>
          <w:szCs w:val="26"/>
        </w:rPr>
        <w:t>Business Practices and Communication Protocols for Public Utilities.</w:t>
      </w:r>
    </w:p>
  </w:footnote>
  <w:footnote w:id="61">
    <w:p w14:paraId="6E0E2B92" w14:textId="001863B4" w:rsidR="001624A2" w:rsidRDefault="001624A2" w:rsidP="003C4C22">
      <w:pPr>
        <w:pStyle w:val="FootnoteText"/>
      </w:pPr>
      <w:r w:rsidRPr="00554D11">
        <w:rPr>
          <w:rStyle w:val="FootnoteReference"/>
        </w:rPr>
        <w:footnoteRef/>
      </w:r>
      <w:r>
        <w:t xml:space="preserve"> The 30-hour estimate was developed in Docket No. RM05-5-013, when the Commission prepared its estimate of the scope of work involved in transitioning to the NAESB Version 002.1 Business Practice Standards.  </w:t>
      </w:r>
      <w:r w:rsidRPr="002A4F39">
        <w:rPr>
          <w:i/>
        </w:rPr>
        <w:t>See</w:t>
      </w:r>
      <w:r>
        <w:t xml:space="preserve"> Order No. 676-E, FERC Stats. </w:t>
      </w:r>
      <w:proofErr w:type="gramStart"/>
      <w:r>
        <w:t>&amp; Regs.</w:t>
      </w:r>
      <w:proofErr w:type="gramEnd"/>
      <w:r>
        <w:t xml:space="preserve"> </w:t>
      </w:r>
      <w:proofErr w:type="gramStart"/>
      <w:r>
        <w:t>¶ 31,299 at P 134.</w:t>
      </w:r>
      <w:proofErr w:type="gramEnd"/>
      <w:r>
        <w:t xml:space="preserve">  We have retained the same estimate here, because the scope of the tasks involved in the transition to Version 003.1 of the Business Practice Standards is very similar to that for the transition to the Version 003 Standards.</w:t>
      </w:r>
    </w:p>
  </w:footnote>
  <w:footnote w:id="62">
    <w:p w14:paraId="30AA850A" w14:textId="218FFE15" w:rsidR="001624A2" w:rsidRDefault="001624A2" w:rsidP="003C4C22">
      <w:pPr>
        <w:pStyle w:val="FootnoteText"/>
      </w:pPr>
      <w:r w:rsidRPr="00554D11">
        <w:rPr>
          <w:rStyle w:val="FootnoteReference"/>
        </w:rPr>
        <w:footnoteRef/>
      </w:r>
      <w:r>
        <w:t xml:space="preserve"> </w:t>
      </w:r>
      <w:r w:rsidRPr="00CA689F">
        <w:rPr>
          <w:i/>
        </w:rPr>
        <w:t xml:space="preserve">See </w:t>
      </w:r>
      <w:r>
        <w:rPr>
          <w:i/>
        </w:rPr>
        <w:t>infra</w:t>
      </w:r>
      <w:r>
        <w:t xml:space="preserve"> PP 72-73.</w:t>
      </w:r>
    </w:p>
  </w:footnote>
  <w:footnote w:id="63">
    <w:p w14:paraId="3A36457A" w14:textId="77777777" w:rsidR="001624A2" w:rsidRDefault="001624A2" w:rsidP="007C0C74">
      <w:pPr>
        <w:pStyle w:val="FootnoteText"/>
      </w:pPr>
      <w:r w:rsidRPr="00554D11">
        <w:rPr>
          <w:rStyle w:val="FootnoteReference"/>
        </w:rPr>
        <w:footnoteRef/>
      </w:r>
      <w:r>
        <w:t xml:space="preserve"> </w:t>
      </w:r>
      <w:r w:rsidRPr="003E0C77">
        <w:rPr>
          <w:i/>
        </w:rPr>
        <w:t>Regulations Implementing the National Environmental Policy Act of 1969</w:t>
      </w:r>
      <w:r>
        <w:t xml:space="preserve">, Order No. 486, 52 FR 47897 (Dec. 17, 1987), FERC Stats. &amp; </w:t>
      </w:r>
      <w:proofErr w:type="gramStart"/>
      <w:r>
        <w:t>Regs.,</w:t>
      </w:r>
      <w:proofErr w:type="gramEnd"/>
      <w:r>
        <w:t xml:space="preserve"> Regulations Preambles 1986-1990 ¶ 30,783 (1987).</w:t>
      </w:r>
    </w:p>
  </w:footnote>
  <w:footnote w:id="64">
    <w:p w14:paraId="4F14199C" w14:textId="77777777" w:rsidR="001624A2" w:rsidRDefault="001624A2" w:rsidP="007C0C74">
      <w:pPr>
        <w:pStyle w:val="FootnoteText"/>
      </w:pPr>
      <w:r w:rsidRPr="00554D11">
        <w:rPr>
          <w:rStyle w:val="FootnoteReference"/>
        </w:rPr>
        <w:footnoteRef/>
      </w:r>
      <w:r>
        <w:t xml:space="preserve"> </w:t>
      </w:r>
      <w:proofErr w:type="gramStart"/>
      <w:r>
        <w:t>18 CFR 380.4.</w:t>
      </w:r>
      <w:proofErr w:type="gramEnd"/>
    </w:p>
  </w:footnote>
  <w:footnote w:id="65">
    <w:p w14:paraId="512749AA" w14:textId="77777777" w:rsidR="001624A2" w:rsidRPr="00C9597D" w:rsidRDefault="001624A2" w:rsidP="007C0C74">
      <w:pPr>
        <w:pStyle w:val="FootnoteText"/>
      </w:pPr>
      <w:r w:rsidRPr="00554D11">
        <w:rPr>
          <w:rStyle w:val="FootnoteReference"/>
        </w:rPr>
        <w:footnoteRef/>
      </w:r>
      <w:r w:rsidRPr="00930758">
        <w:t xml:space="preserve"> </w:t>
      </w:r>
      <w:r w:rsidRPr="002A4F39">
        <w:rPr>
          <w:i/>
        </w:rPr>
        <w:t>See</w:t>
      </w:r>
      <w:r w:rsidRPr="0007160F">
        <w:t xml:space="preserve"> </w:t>
      </w:r>
      <w:r>
        <w:t>18 CFR 380.4(a</w:t>
      </w:r>
      <w:proofErr w:type="gramStart"/>
      <w:r>
        <w:t>)(</w:t>
      </w:r>
      <w:proofErr w:type="gramEnd"/>
      <w:r>
        <w:t>2)(ii), 380.4(a)(5), 380.4(a)(27).</w:t>
      </w:r>
    </w:p>
  </w:footnote>
  <w:footnote w:id="66">
    <w:p w14:paraId="6B41F059" w14:textId="77777777" w:rsidR="001624A2" w:rsidRDefault="001624A2" w:rsidP="007C0C74">
      <w:pPr>
        <w:pStyle w:val="FootnoteText"/>
      </w:pPr>
      <w:r w:rsidRPr="00554D11">
        <w:rPr>
          <w:rStyle w:val="FootnoteReference"/>
        </w:rPr>
        <w:footnoteRef/>
      </w:r>
      <w:r>
        <w:t xml:space="preserve"> 5 U.S.C. 601-612.</w:t>
      </w:r>
    </w:p>
  </w:footnote>
  <w:footnote w:id="67">
    <w:p w14:paraId="07699E43" w14:textId="77777777" w:rsidR="001624A2" w:rsidRDefault="001624A2" w:rsidP="003B27BA">
      <w:pPr>
        <w:pStyle w:val="FootnoteText"/>
      </w:pPr>
      <w:r w:rsidRPr="00554D11">
        <w:rPr>
          <w:rStyle w:val="FootnoteReference"/>
        </w:rPr>
        <w:footnoteRef/>
      </w:r>
      <w:r>
        <w:t xml:space="preserve"> </w:t>
      </w:r>
      <w:proofErr w:type="gramStart"/>
      <w:r>
        <w:t>13 CFR 121.201, Sector 22 (Utilities), NAICS code 221121 (Electric Bulk Power Transmission and Control).</w:t>
      </w:r>
      <w:proofErr w:type="gramEnd"/>
    </w:p>
  </w:footnote>
  <w:footnote w:id="68">
    <w:p w14:paraId="274B2EBD" w14:textId="12CF2671" w:rsidR="001624A2" w:rsidRDefault="001624A2" w:rsidP="00CF679E">
      <w:pPr>
        <w:pStyle w:val="FootnoteText"/>
      </w:pPr>
      <w:r w:rsidRPr="00554D11">
        <w:rPr>
          <w:rStyle w:val="FootnoteReference"/>
        </w:rPr>
        <w:footnoteRef/>
      </w:r>
      <w:r>
        <w:t xml:space="preserve"> 36 hours at $74.50/hour = $2,682.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EDB04" w14:textId="77777777" w:rsidR="001624A2" w:rsidRDefault="001624A2" w:rsidP="007C0C7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0708">
      <w:rPr>
        <w:rStyle w:val="PageNumber"/>
        <w:noProof/>
      </w:rPr>
      <w:t>xliv</w:t>
    </w:r>
    <w:r>
      <w:rPr>
        <w:rStyle w:val="PageNumber"/>
      </w:rPr>
      <w:fldChar w:fldCharType="end"/>
    </w:r>
  </w:p>
  <w:p w14:paraId="02151315" w14:textId="77777777" w:rsidR="001624A2" w:rsidRDefault="001624A2" w:rsidP="007C0C7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66046" w14:textId="77777777" w:rsidR="001624A2" w:rsidRPr="00E349E6" w:rsidRDefault="001624A2" w:rsidP="007C0C74">
    <w:pPr>
      <w:pStyle w:val="Header"/>
      <w:ind w:right="360"/>
    </w:pPr>
    <w:r>
      <w:t xml:space="preserve">Docket No. </w:t>
    </w:r>
    <w:r w:rsidRPr="001E2405">
      <w:t>RM05-5-</w:t>
    </w:r>
    <w:r>
      <w:t>025</w:t>
    </w:r>
    <w:r>
      <w:tab/>
    </w:r>
    <w:r>
      <w:fldChar w:fldCharType="begin"/>
    </w:r>
    <w:r>
      <w:instrText xml:space="preserve"> PAGE  \* MERGEFORMAT </w:instrText>
    </w:r>
    <w:r>
      <w:fldChar w:fldCharType="separate"/>
    </w:r>
    <w:r w:rsidR="00015770">
      <w:rPr>
        <w:noProof/>
      </w:rPr>
      <w:t>- 44 -</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nsid w:val="08431B08"/>
    <w:multiLevelType w:val="hybridMultilevel"/>
    <w:tmpl w:val="5FA250B4"/>
    <w:lvl w:ilvl="0" w:tplc="155CE1A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192E3372"/>
    <w:multiLevelType w:val="hybridMultilevel"/>
    <w:tmpl w:val="18304ADC"/>
    <w:lvl w:ilvl="0" w:tplc="04860C24">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C214EA8"/>
    <w:multiLevelType w:val="hybridMultilevel"/>
    <w:tmpl w:val="AD6C840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6247DF"/>
    <w:multiLevelType w:val="multilevel"/>
    <w:tmpl w:val="FCB0712A"/>
    <w:lvl w:ilvl="0">
      <w:start w:val="1"/>
      <w:numFmt w:val="upperRoman"/>
      <w:lvlRestart w:val="0"/>
      <w:lvlText w:val="%1."/>
      <w:lvlJc w:val="left"/>
      <w:pPr>
        <w:tabs>
          <w:tab w:val="num" w:pos="720"/>
        </w:tabs>
        <w:ind w:left="720" w:hanging="720"/>
      </w:pPr>
      <w:rPr>
        <w:rFonts w:hint="default"/>
      </w:rPr>
    </w:lvl>
    <w:lvl w:ilvl="1">
      <w:start w:val="1"/>
      <w:numFmt w:val="upperLetter"/>
      <w:lvlText w:val="%2."/>
      <w:lvlJc w:val="left"/>
      <w:pPr>
        <w:tabs>
          <w:tab w:val="num" w:pos="1080"/>
        </w:tabs>
        <w:ind w:left="1080" w:hanging="720"/>
      </w:pPr>
      <w:rPr>
        <w:rFonts w:hint="default"/>
      </w:rPr>
    </w:lvl>
    <w:lvl w:ilvl="2">
      <w:start w:val="1"/>
      <w:numFmt w:val="decimal"/>
      <w:lvlText w:val="%3."/>
      <w:lvlJc w:val="left"/>
      <w:pPr>
        <w:tabs>
          <w:tab w:val="num" w:pos="1440"/>
        </w:tabs>
        <w:ind w:left="1440" w:firstLine="0"/>
      </w:pPr>
      <w:rPr>
        <w:rFonts w:hint="default"/>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2520"/>
        </w:tabs>
        <w:ind w:left="2520" w:hanging="720"/>
      </w:pPr>
      <w:rPr>
        <w:rFonts w:hint="default"/>
      </w:rPr>
    </w:lvl>
    <w:lvl w:ilvl="6">
      <w:start w:val="1"/>
      <w:numFmt w:val="decimal"/>
      <w:lvlText w:val="(%7)"/>
      <w:lvlJc w:val="left"/>
      <w:pPr>
        <w:tabs>
          <w:tab w:val="num" w:pos="2880"/>
        </w:tabs>
        <w:ind w:left="2880" w:hanging="720"/>
      </w:pPr>
      <w:rPr>
        <w:rFonts w:hint="default"/>
      </w:rPr>
    </w:lvl>
    <w:lvl w:ilvl="7">
      <w:start w:val="1"/>
      <w:numFmt w:val="lowerRoman"/>
      <w:lvlText w:val="(%8)"/>
      <w:lvlJc w:val="left"/>
      <w:pPr>
        <w:tabs>
          <w:tab w:val="num" w:pos="3240"/>
        </w:tabs>
        <w:ind w:left="3240" w:hanging="720"/>
      </w:pPr>
      <w:rPr>
        <w:rFonts w:hint="default"/>
      </w:rPr>
    </w:lvl>
    <w:lvl w:ilvl="8">
      <w:start w:val="1"/>
      <w:numFmt w:val="decimalZero"/>
      <w:lvlText w:val="(%9)"/>
      <w:lvlJc w:val="left"/>
      <w:pPr>
        <w:tabs>
          <w:tab w:val="num" w:pos="3600"/>
        </w:tabs>
        <w:ind w:left="3600" w:hanging="720"/>
      </w:pPr>
      <w:rPr>
        <w:rFonts w:hint="default"/>
      </w:rPr>
    </w:lvl>
  </w:abstractNum>
  <w:abstractNum w:abstractNumId="15">
    <w:nsid w:val="2E6759CE"/>
    <w:multiLevelType w:val="hybridMultilevel"/>
    <w:tmpl w:val="D826AB7E"/>
    <w:lvl w:ilvl="0" w:tplc="F6A24E1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3AC0F85"/>
    <w:multiLevelType w:val="hybridMultilevel"/>
    <w:tmpl w:val="841239C2"/>
    <w:lvl w:ilvl="0" w:tplc="F800CFA4">
      <w:start w:val="4"/>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38640187"/>
    <w:multiLevelType w:val="hybridMultilevel"/>
    <w:tmpl w:val="DCBCA9E6"/>
    <w:lvl w:ilvl="0" w:tplc="7DDAB672">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ABF6D98"/>
    <w:multiLevelType w:val="hybridMultilevel"/>
    <w:tmpl w:val="AA84149A"/>
    <w:lvl w:ilvl="0" w:tplc="C41C003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2A22E6"/>
    <w:multiLevelType w:val="multilevel"/>
    <w:tmpl w:val="377CDAF8"/>
    <w:lvl w:ilvl="0">
      <w:start w:val="1"/>
      <w:numFmt w:val="decimal"/>
      <w:pStyle w:val="RegText"/>
      <w:lvlText w:val="%1."/>
      <w:lvlJc w:val="left"/>
      <w:pPr>
        <w:tabs>
          <w:tab w:val="num" w:pos="720"/>
        </w:tabs>
        <w:ind w:left="0" w:firstLine="0"/>
      </w:pPr>
      <w:rPr>
        <w:rFonts w:hint="default"/>
        <w:b w:val="0"/>
      </w:rPr>
    </w:lvl>
    <w:lvl w:ilvl="1">
      <w:start w:val="1"/>
      <w:numFmt w:val="lowerLetter"/>
      <w:lvlText w:val="(%2)"/>
      <w:lvlJc w:val="left"/>
      <w:pPr>
        <w:tabs>
          <w:tab w:val="num" w:pos="1530"/>
        </w:tabs>
        <w:ind w:left="90" w:firstLine="720"/>
      </w:pPr>
      <w:rPr>
        <w:rFonts w:hint="default"/>
        <w:i w:val="0"/>
      </w:rPr>
    </w:lvl>
    <w:lvl w:ilvl="2">
      <w:start w:val="1"/>
      <w:numFmt w:val="decimal"/>
      <w:lvlText w:val="(%3)"/>
      <w:lvlJc w:val="left"/>
      <w:pPr>
        <w:tabs>
          <w:tab w:val="num" w:pos="1440"/>
        </w:tabs>
        <w:ind w:left="0" w:firstLine="720"/>
      </w:pPr>
      <w:rPr>
        <w:rFonts w:hint="default"/>
      </w:rPr>
    </w:lvl>
    <w:lvl w:ilvl="3">
      <w:start w:val="1"/>
      <w:numFmt w:val="lowerRoman"/>
      <w:lvlText w:val="(%4)"/>
      <w:lvlJc w:val="left"/>
      <w:pPr>
        <w:tabs>
          <w:tab w:val="num" w:pos="1440"/>
        </w:tabs>
        <w:ind w:left="0" w:firstLine="720"/>
      </w:pPr>
      <w:rPr>
        <w:rFonts w:hint="default"/>
      </w:rPr>
    </w:lvl>
    <w:lvl w:ilvl="4">
      <w:start w:val="1"/>
      <w:numFmt w:val="upperLetter"/>
      <w:lvlText w:val="%5."/>
      <w:lvlJc w:val="left"/>
      <w:pPr>
        <w:tabs>
          <w:tab w:val="num" w:pos="1440"/>
        </w:tabs>
        <w:ind w:left="0" w:firstLine="720"/>
      </w:pPr>
      <w:rPr>
        <w:rFonts w:hint="default"/>
      </w:rPr>
    </w:lvl>
    <w:lvl w:ilvl="5">
      <w:start w:val="1"/>
      <w:numFmt w:val="decimal"/>
      <w:lvlText w:val="(%6)"/>
      <w:lvlJc w:val="left"/>
      <w:pPr>
        <w:tabs>
          <w:tab w:val="num" w:pos="1440"/>
        </w:tabs>
        <w:ind w:left="0" w:firstLine="720"/>
      </w:pPr>
      <w:rPr>
        <w:rFonts w:hint="default"/>
        <w:b w:val="0"/>
        <w:i/>
      </w:rPr>
    </w:lvl>
    <w:lvl w:ilvl="6">
      <w:start w:val="1"/>
      <w:numFmt w:val="lowerRoman"/>
      <w:lvlText w:val="(%7)"/>
      <w:lvlJc w:val="left"/>
      <w:pPr>
        <w:tabs>
          <w:tab w:val="num" w:pos="1440"/>
        </w:tabs>
        <w:ind w:left="0" w:firstLine="720"/>
      </w:pPr>
      <w:rPr>
        <w:rFonts w:hint="default"/>
        <w:b w:val="0"/>
        <w:i/>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3E52162B"/>
    <w:multiLevelType w:val="hybridMultilevel"/>
    <w:tmpl w:val="27241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EF59D1"/>
    <w:multiLevelType w:val="hybridMultilevel"/>
    <w:tmpl w:val="8F10E850"/>
    <w:lvl w:ilvl="0" w:tplc="3C32BE6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654A5A"/>
    <w:multiLevelType w:val="hybridMultilevel"/>
    <w:tmpl w:val="301E5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C23E61"/>
    <w:multiLevelType w:val="hybridMultilevel"/>
    <w:tmpl w:val="9B6C22FE"/>
    <w:lvl w:ilvl="0" w:tplc="1A881B1E">
      <w:start w:val="19"/>
      <w:numFmt w:val="decimalZero"/>
      <w:lvlText w:val="%1"/>
      <w:lvlJc w:val="left"/>
      <w:pPr>
        <w:ind w:left="1125" w:hanging="405"/>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1AF5A31"/>
    <w:multiLevelType w:val="hybridMultilevel"/>
    <w:tmpl w:val="8A7C4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2EB399C"/>
    <w:multiLevelType w:val="multilevel"/>
    <w:tmpl w:val="9B441BD0"/>
    <w:lvl w:ilvl="0">
      <w:start w:val="1"/>
      <w:numFmt w:val="upperRoman"/>
      <w:lvlRestart w:val="0"/>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1440"/>
        </w:tabs>
        <w:ind w:left="1440" w:firstLine="0"/>
      </w:pPr>
      <w:rPr>
        <w:rFonts w:hint="default"/>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2520"/>
        </w:tabs>
        <w:ind w:left="2520" w:hanging="720"/>
      </w:pPr>
      <w:rPr>
        <w:rFonts w:hint="default"/>
      </w:rPr>
    </w:lvl>
    <w:lvl w:ilvl="6">
      <w:start w:val="1"/>
      <w:numFmt w:val="decimal"/>
      <w:lvlText w:val="(%7)"/>
      <w:lvlJc w:val="left"/>
      <w:pPr>
        <w:tabs>
          <w:tab w:val="num" w:pos="2880"/>
        </w:tabs>
        <w:ind w:left="2880" w:hanging="720"/>
      </w:pPr>
      <w:rPr>
        <w:rFonts w:hint="default"/>
      </w:rPr>
    </w:lvl>
    <w:lvl w:ilvl="7">
      <w:start w:val="1"/>
      <w:numFmt w:val="lowerRoman"/>
      <w:lvlText w:val="(%8)"/>
      <w:lvlJc w:val="left"/>
      <w:pPr>
        <w:tabs>
          <w:tab w:val="num" w:pos="3240"/>
        </w:tabs>
        <w:ind w:left="3240" w:hanging="720"/>
      </w:pPr>
      <w:rPr>
        <w:rFonts w:hint="default"/>
      </w:rPr>
    </w:lvl>
    <w:lvl w:ilvl="8">
      <w:start w:val="1"/>
      <w:numFmt w:val="decimalZero"/>
      <w:lvlText w:val="(%9)"/>
      <w:lvlJc w:val="left"/>
      <w:pPr>
        <w:tabs>
          <w:tab w:val="num" w:pos="3600"/>
        </w:tabs>
        <w:ind w:left="3600" w:hanging="720"/>
      </w:pPr>
      <w:rPr>
        <w:rFonts w:hint="default"/>
      </w:rPr>
    </w:lvl>
  </w:abstractNum>
  <w:abstractNum w:abstractNumId="26">
    <w:nsid w:val="59C93606"/>
    <w:multiLevelType w:val="hybridMultilevel"/>
    <w:tmpl w:val="4B7A0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674FD5"/>
    <w:multiLevelType w:val="hybridMultilevel"/>
    <w:tmpl w:val="D5A6E014"/>
    <w:lvl w:ilvl="0" w:tplc="84FE6AD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6646187"/>
    <w:multiLevelType w:val="hybridMultilevel"/>
    <w:tmpl w:val="9DCC217A"/>
    <w:lvl w:ilvl="0" w:tplc="FFFFFFFF">
      <w:start w:val="1"/>
      <w:numFmt w:val="bullet"/>
      <w:lvlText w:val=""/>
      <w:lvlJc w:val="left"/>
      <w:pPr>
        <w:tabs>
          <w:tab w:val="num" w:pos="36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D510455"/>
    <w:multiLevelType w:val="hybridMultilevel"/>
    <w:tmpl w:val="806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D25A0E"/>
    <w:multiLevelType w:val="hybridMultilevel"/>
    <w:tmpl w:val="40F2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C820AC"/>
    <w:multiLevelType w:val="hybridMultilevel"/>
    <w:tmpl w:val="45B8F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6B1B6B"/>
    <w:multiLevelType w:val="hybridMultilevel"/>
    <w:tmpl w:val="38465C78"/>
    <w:lvl w:ilvl="0" w:tplc="E4FAF836">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nsid w:val="7E4E4DD3"/>
    <w:multiLevelType w:val="hybridMultilevel"/>
    <w:tmpl w:val="7A9C585E"/>
    <w:lvl w:ilvl="0" w:tplc="74B84F80">
      <w:start w:val="1"/>
      <w:numFmt w:val="decimal"/>
      <w:pStyle w:val="FERCparanumber"/>
      <w:lvlText w:val="%1."/>
      <w:lvlJc w:val="left"/>
      <w:pPr>
        <w:tabs>
          <w:tab w:val="num" w:pos="720"/>
        </w:tabs>
        <w:ind w:left="0" w:firstLine="0"/>
      </w:pPr>
      <w:rPr>
        <w:rFonts w:hint="default"/>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1"/>
  </w:num>
  <w:num w:numId="3">
    <w:abstractNumId w:val="27"/>
  </w:num>
  <w:num w:numId="4">
    <w:abstractNumId w:val="15"/>
  </w:num>
  <w:num w:numId="5">
    <w:abstractNumId w:val="33"/>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28"/>
  </w:num>
  <w:num w:numId="27">
    <w:abstractNumId w:val="25"/>
  </w:num>
  <w:num w:numId="28">
    <w:abstractNumId w:val="32"/>
  </w:num>
  <w:num w:numId="29">
    <w:abstractNumId w:val="19"/>
  </w:num>
  <w:num w:numId="30">
    <w:abstractNumId w:val="19"/>
    <w:lvlOverride w:ilvl="0">
      <w:startOverride w:val="1"/>
    </w:lvlOverride>
    <w:lvlOverride w:ilvl="1">
      <w:startOverride w:val="1"/>
    </w:lvlOverride>
    <w:lvlOverride w:ilvl="2">
      <w:startOverride w:val="5"/>
    </w:lvlOverride>
  </w:num>
  <w:num w:numId="31">
    <w:abstractNumId w:val="19"/>
    <w:lvlOverride w:ilvl="0">
      <w:startOverride w:val="1"/>
    </w:lvlOverride>
    <w:lvlOverride w:ilvl="1">
      <w:startOverride w:val="1"/>
    </w:lvlOverride>
    <w:lvlOverride w:ilvl="2">
      <w:startOverride w:val="7"/>
    </w:lvlOverride>
  </w:num>
  <w:num w:numId="32">
    <w:abstractNumId w:val="30"/>
  </w:num>
  <w:num w:numId="33">
    <w:abstractNumId w:val="22"/>
  </w:num>
  <w:num w:numId="34">
    <w:abstractNumId w:val="13"/>
  </w:num>
  <w:num w:numId="35">
    <w:abstractNumId w:val="31"/>
  </w:num>
  <w:num w:numId="36">
    <w:abstractNumId w:val="33"/>
  </w:num>
  <w:num w:numId="37">
    <w:abstractNumId w:val="33"/>
  </w:num>
  <w:num w:numId="38">
    <w:abstractNumId w:val="33"/>
  </w:num>
  <w:num w:numId="39">
    <w:abstractNumId w:val="33"/>
  </w:num>
  <w:num w:numId="40">
    <w:abstractNumId w:val="33"/>
  </w:num>
  <w:num w:numId="41">
    <w:abstractNumId w:val="24"/>
  </w:num>
  <w:num w:numId="42">
    <w:abstractNumId w:val="23"/>
  </w:num>
  <w:num w:numId="43">
    <w:abstractNumId w:val="33"/>
  </w:num>
  <w:num w:numId="44">
    <w:abstractNumId w:val="14"/>
  </w:num>
  <w:num w:numId="45">
    <w:abstractNumId w:val="33"/>
  </w:num>
  <w:num w:numId="46">
    <w:abstractNumId w:val="33"/>
  </w:num>
  <w:num w:numId="47">
    <w:abstractNumId w:val="33"/>
  </w:num>
  <w:num w:numId="48">
    <w:abstractNumId w:val="33"/>
  </w:num>
  <w:num w:numId="49">
    <w:abstractNumId w:val="33"/>
  </w:num>
  <w:num w:numId="50">
    <w:abstractNumId w:val="33"/>
  </w:num>
  <w:num w:numId="51">
    <w:abstractNumId w:val="33"/>
    <w:lvlOverride w:ilvl="0">
      <w:startOverride w:val="1"/>
    </w:lvlOverride>
  </w:num>
  <w:num w:numId="52">
    <w:abstractNumId w:val="33"/>
    <w:lvlOverride w:ilvl="0">
      <w:startOverride w:val="1"/>
    </w:lvlOverride>
  </w:num>
  <w:num w:numId="53">
    <w:abstractNumId w:val="33"/>
  </w:num>
  <w:num w:numId="54">
    <w:abstractNumId w:val="12"/>
  </w:num>
  <w:num w:numId="55">
    <w:abstractNumId w:val="33"/>
  </w:num>
  <w:num w:numId="56">
    <w:abstractNumId w:val="11"/>
  </w:num>
  <w:num w:numId="57">
    <w:abstractNumId w:val="33"/>
  </w:num>
  <w:num w:numId="58">
    <w:abstractNumId w:val="33"/>
  </w:num>
  <w:num w:numId="59">
    <w:abstractNumId w:val="33"/>
    <w:lvlOverride w:ilvl="0">
      <w:startOverride w:val="1"/>
    </w:lvlOverride>
    <w:lvlOverride w:ilvl="1">
      <w:startOverride w:val="3"/>
    </w:lvlOverride>
  </w:num>
  <w:num w:numId="60">
    <w:abstractNumId w:val="33"/>
    <w:lvlOverride w:ilvl="0">
      <w:startOverride w:val="2"/>
    </w:lvlOverride>
  </w:num>
  <w:num w:numId="61">
    <w:abstractNumId w:val="33"/>
    <w:lvlOverride w:ilvl="0">
      <w:startOverride w:val="2"/>
    </w:lvlOverride>
  </w:num>
  <w:num w:numId="62">
    <w:abstractNumId w:val="33"/>
  </w:num>
  <w:num w:numId="63">
    <w:abstractNumId w:val="33"/>
  </w:num>
  <w:num w:numId="64">
    <w:abstractNumId w:val="33"/>
  </w:num>
  <w:num w:numId="65">
    <w:abstractNumId w:val="33"/>
  </w:num>
  <w:num w:numId="66">
    <w:abstractNumId w:val="33"/>
  </w:num>
  <w:num w:numId="67">
    <w:abstractNumId w:val="33"/>
  </w:num>
  <w:num w:numId="68">
    <w:abstractNumId w:val="33"/>
  </w:num>
  <w:num w:numId="69">
    <w:abstractNumId w:val="33"/>
  </w:num>
  <w:num w:numId="70">
    <w:abstractNumId w:val="33"/>
  </w:num>
  <w:num w:numId="71">
    <w:abstractNumId w:val="33"/>
  </w:num>
  <w:num w:numId="72">
    <w:abstractNumId w:val="33"/>
  </w:num>
  <w:num w:numId="73">
    <w:abstractNumId w:val="33"/>
  </w:num>
  <w:num w:numId="74">
    <w:abstractNumId w:val="33"/>
  </w:num>
  <w:num w:numId="75">
    <w:abstractNumId w:val="33"/>
  </w:num>
  <w:num w:numId="76">
    <w:abstractNumId w:val="33"/>
  </w:num>
  <w:num w:numId="77">
    <w:abstractNumId w:val="33"/>
  </w:num>
  <w:num w:numId="78">
    <w:abstractNumId w:val="33"/>
  </w:num>
  <w:num w:numId="79">
    <w:abstractNumId w:val="33"/>
  </w:num>
  <w:num w:numId="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3"/>
  </w:num>
  <w:num w:numId="82">
    <w:abstractNumId w:val="33"/>
  </w:num>
  <w:num w:numId="83">
    <w:abstractNumId w:val="33"/>
  </w:num>
  <w:num w:numId="84">
    <w:abstractNumId w:val="33"/>
  </w:num>
  <w:num w:numId="85">
    <w:abstractNumId w:val="33"/>
  </w:num>
  <w:num w:numId="86">
    <w:abstractNumId w:val="33"/>
  </w:num>
  <w:num w:numId="87">
    <w:abstractNumId w:val="33"/>
  </w:num>
  <w:num w:numId="88">
    <w:abstractNumId w:val="33"/>
  </w:num>
  <w:num w:numId="89">
    <w:abstractNumId w:val="33"/>
  </w:num>
  <w:num w:numId="90">
    <w:abstractNumId w:val="33"/>
  </w:num>
  <w:num w:numId="91">
    <w:abstractNumId w:val="33"/>
  </w:num>
  <w:num w:numId="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9"/>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3"/>
  </w:num>
  <w:num w:numId="95">
    <w:abstractNumId w:val="33"/>
  </w:num>
  <w:num w:numId="96">
    <w:abstractNumId w:val="33"/>
  </w:num>
  <w:num w:numId="97">
    <w:abstractNumId w:val="20"/>
  </w:num>
  <w:num w:numId="98">
    <w:abstractNumId w:val="33"/>
  </w:num>
  <w:num w:numId="99">
    <w:abstractNumId w:val="26"/>
  </w:num>
  <w:num w:numId="100">
    <w:abstractNumId w:val="33"/>
  </w:num>
  <w:num w:numId="101">
    <w:abstractNumId w:val="33"/>
  </w:num>
  <w:num w:numId="102">
    <w:abstractNumId w:val="17"/>
  </w:num>
  <w:num w:numId="103">
    <w:abstractNumId w:val="16"/>
  </w:num>
  <w:num w:numId="104">
    <w:abstractNumId w:val="33"/>
  </w:num>
  <w:num w:numId="105">
    <w:abstractNumId w:val="33"/>
  </w:num>
  <w:num w:numId="106">
    <w:abstractNumId w:val="29"/>
  </w:num>
  <w:num w:numId="107">
    <w:abstractNumId w:val="33"/>
  </w:num>
  <w:num w:numId="108">
    <w:abstractNumId w:val="33"/>
  </w:num>
  <w:num w:numId="109">
    <w:abstractNumId w:val="33"/>
  </w:num>
  <w:num w:numId="110">
    <w:abstractNumId w:val="33"/>
  </w:num>
  <w:num w:numId="111">
    <w:abstractNumId w:val="33"/>
  </w:num>
  <w:num w:numId="112">
    <w:abstractNumId w:val="33"/>
  </w:num>
  <w:num w:numId="113">
    <w:abstractNumId w:val="33"/>
  </w:num>
  <w:num w:numId="114">
    <w:abstractNumId w:val="33"/>
  </w:num>
  <w:num w:numId="115">
    <w:abstractNumId w:val="33"/>
  </w:num>
  <w:num w:numId="116">
    <w:abstractNumId w:val="33"/>
  </w:num>
  <w:num w:numId="117">
    <w:abstractNumId w:val="33"/>
  </w:num>
  <w:num w:numId="118">
    <w:abstractNumId w:val="33"/>
  </w:num>
  <w:num w:numId="119">
    <w:abstractNumId w:val="33"/>
  </w:num>
  <w:num w:numId="120">
    <w:abstractNumId w:val="33"/>
  </w:num>
  <w:num w:numId="121">
    <w:abstractNumId w:val="33"/>
  </w:num>
  <w:num w:numId="122">
    <w:abstractNumId w:val="33"/>
  </w:num>
  <w:num w:numId="123">
    <w:abstractNumId w:val="33"/>
  </w:num>
  <w:num w:numId="124">
    <w:abstractNumId w:val="33"/>
  </w:num>
  <w:num w:numId="125">
    <w:abstractNumId w:val="33"/>
  </w:num>
  <w:num w:numId="126">
    <w:abstractNumId w:val="33"/>
  </w:num>
  <w:num w:numId="127">
    <w:abstractNumId w:val="33"/>
  </w:num>
  <w:num w:numId="128">
    <w:abstractNumId w:val="33"/>
  </w:num>
  <w:num w:numId="129">
    <w:abstractNumId w:val="33"/>
  </w:num>
  <w:num w:numId="130">
    <w:abstractNumId w:val="33"/>
  </w:num>
  <w:num w:numId="131">
    <w:abstractNumId w:val="33"/>
  </w:num>
  <w:num w:numId="132">
    <w:abstractNumId w:val="33"/>
  </w:num>
  <w:num w:numId="133">
    <w:abstractNumId w:val="33"/>
  </w:num>
  <w:num w:numId="134">
    <w:abstractNumId w:val="33"/>
  </w:num>
  <w:num w:numId="135">
    <w:abstractNumId w:val="33"/>
  </w:num>
  <w:num w:numId="136">
    <w:abstractNumId w:val="33"/>
  </w:num>
  <w:num w:numId="137">
    <w:abstractNumId w:val="33"/>
  </w:num>
  <w:num w:numId="138">
    <w:abstractNumId w:val="33"/>
  </w:num>
  <w:num w:numId="139">
    <w:abstractNumId w:val="33"/>
  </w:num>
  <w:num w:numId="140">
    <w:abstractNumId w:val="33"/>
  </w:num>
  <w:num w:numId="141">
    <w:abstractNumId w:val="33"/>
  </w:num>
  <w:num w:numId="142">
    <w:abstractNumId w:val="33"/>
  </w:num>
  <w:num w:numId="143">
    <w:abstractNumId w:val="33"/>
  </w:num>
  <w:num w:numId="144">
    <w:abstractNumId w:val="33"/>
  </w:num>
  <w:num w:numId="145">
    <w:abstractNumId w:val="33"/>
  </w:num>
  <w:num w:numId="146">
    <w:abstractNumId w:val="33"/>
  </w:num>
  <w:num w:numId="147">
    <w:abstractNumId w:val="33"/>
  </w:num>
  <w:num w:numId="148">
    <w:abstractNumId w:val="33"/>
  </w:num>
  <w:num w:numId="149">
    <w:abstractNumId w:val="33"/>
  </w:num>
  <w:num w:numId="150">
    <w:abstractNumId w:val="33"/>
  </w:num>
  <w:num w:numId="151">
    <w:abstractNumId w:val="33"/>
  </w:num>
  <w:num w:numId="152">
    <w:abstractNumId w:val="33"/>
  </w:num>
  <w:num w:numId="153">
    <w:abstractNumId w:val="33"/>
  </w:num>
  <w:num w:numId="154">
    <w:abstractNumId w:val="33"/>
  </w:num>
  <w:num w:numId="155">
    <w:abstractNumId w:val="33"/>
  </w:num>
  <w:num w:numId="156">
    <w:abstractNumId w:val="33"/>
  </w:num>
  <w:num w:numId="157">
    <w:abstractNumId w:val="33"/>
  </w:num>
  <w:num w:numId="158">
    <w:abstractNumId w:val="33"/>
  </w:num>
  <w:num w:numId="159">
    <w:abstractNumId w:val="33"/>
  </w:num>
  <w:num w:numId="160">
    <w:abstractNumId w:val="33"/>
  </w:num>
  <w:num w:numId="161">
    <w:abstractNumId w:val="33"/>
  </w:num>
  <w:num w:numId="162">
    <w:abstractNumId w:val="33"/>
  </w:num>
  <w:num w:numId="163">
    <w:abstractNumId w:val="33"/>
  </w:num>
  <w:num w:numId="164">
    <w:abstractNumId w:val="33"/>
  </w:num>
  <w:num w:numId="165">
    <w:abstractNumId w:val="33"/>
  </w:num>
  <w:num w:numId="166">
    <w:abstractNumId w:val="33"/>
  </w:num>
  <w:num w:numId="167">
    <w:abstractNumId w:val="33"/>
  </w:num>
  <w:num w:numId="168">
    <w:abstractNumId w:val="33"/>
  </w:num>
  <w:num w:numId="169">
    <w:abstractNumId w:val="33"/>
  </w:num>
  <w:num w:numId="170">
    <w:abstractNumId w:val="33"/>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3E5"/>
    <w:rsid w:val="000008DC"/>
    <w:rsid w:val="000010A2"/>
    <w:rsid w:val="00001846"/>
    <w:rsid w:val="00001E0B"/>
    <w:rsid w:val="000029E3"/>
    <w:rsid w:val="00003548"/>
    <w:rsid w:val="000039F0"/>
    <w:rsid w:val="00004346"/>
    <w:rsid w:val="00004950"/>
    <w:rsid w:val="00004A11"/>
    <w:rsid w:val="00004AEC"/>
    <w:rsid w:val="00005ACF"/>
    <w:rsid w:val="000060FC"/>
    <w:rsid w:val="0000615A"/>
    <w:rsid w:val="00006AE5"/>
    <w:rsid w:val="00006E79"/>
    <w:rsid w:val="000079F5"/>
    <w:rsid w:val="00010757"/>
    <w:rsid w:val="00010CA8"/>
    <w:rsid w:val="0001111E"/>
    <w:rsid w:val="00011A24"/>
    <w:rsid w:val="00011AE3"/>
    <w:rsid w:val="000129B6"/>
    <w:rsid w:val="00012FEF"/>
    <w:rsid w:val="000133FB"/>
    <w:rsid w:val="000136F4"/>
    <w:rsid w:val="00014B7D"/>
    <w:rsid w:val="00014CD3"/>
    <w:rsid w:val="00014FDC"/>
    <w:rsid w:val="00015350"/>
    <w:rsid w:val="00015770"/>
    <w:rsid w:val="00016DEE"/>
    <w:rsid w:val="000174D7"/>
    <w:rsid w:val="00017DB6"/>
    <w:rsid w:val="00020368"/>
    <w:rsid w:val="00020927"/>
    <w:rsid w:val="00021448"/>
    <w:rsid w:val="00021B4E"/>
    <w:rsid w:val="00021C38"/>
    <w:rsid w:val="00021F71"/>
    <w:rsid w:val="00022014"/>
    <w:rsid w:val="000221B9"/>
    <w:rsid w:val="0002233B"/>
    <w:rsid w:val="000223E4"/>
    <w:rsid w:val="000234C9"/>
    <w:rsid w:val="00023C15"/>
    <w:rsid w:val="000241CE"/>
    <w:rsid w:val="00024FAD"/>
    <w:rsid w:val="00025374"/>
    <w:rsid w:val="00025D19"/>
    <w:rsid w:val="00025EB0"/>
    <w:rsid w:val="00027D5A"/>
    <w:rsid w:val="00027FC1"/>
    <w:rsid w:val="000300EA"/>
    <w:rsid w:val="00030452"/>
    <w:rsid w:val="000306AF"/>
    <w:rsid w:val="000316FC"/>
    <w:rsid w:val="00032E9E"/>
    <w:rsid w:val="00033038"/>
    <w:rsid w:val="00034FA3"/>
    <w:rsid w:val="00035AC0"/>
    <w:rsid w:val="00035B57"/>
    <w:rsid w:val="00035D07"/>
    <w:rsid w:val="00036021"/>
    <w:rsid w:val="00036AAA"/>
    <w:rsid w:val="00036CB0"/>
    <w:rsid w:val="00037102"/>
    <w:rsid w:val="00037F7E"/>
    <w:rsid w:val="00040148"/>
    <w:rsid w:val="000410B8"/>
    <w:rsid w:val="000411AB"/>
    <w:rsid w:val="00042097"/>
    <w:rsid w:val="0004211A"/>
    <w:rsid w:val="0004338F"/>
    <w:rsid w:val="000438F0"/>
    <w:rsid w:val="00043FB1"/>
    <w:rsid w:val="00044310"/>
    <w:rsid w:val="000443F6"/>
    <w:rsid w:val="00044CB4"/>
    <w:rsid w:val="00045168"/>
    <w:rsid w:val="00046A52"/>
    <w:rsid w:val="000473E9"/>
    <w:rsid w:val="000504C7"/>
    <w:rsid w:val="00051FB1"/>
    <w:rsid w:val="00052A1B"/>
    <w:rsid w:val="00053843"/>
    <w:rsid w:val="00053C78"/>
    <w:rsid w:val="00054007"/>
    <w:rsid w:val="0005406C"/>
    <w:rsid w:val="0005418B"/>
    <w:rsid w:val="0005596E"/>
    <w:rsid w:val="00055C3B"/>
    <w:rsid w:val="00057383"/>
    <w:rsid w:val="00057954"/>
    <w:rsid w:val="00057A3B"/>
    <w:rsid w:val="00057EC0"/>
    <w:rsid w:val="00060573"/>
    <w:rsid w:val="00060A04"/>
    <w:rsid w:val="00060AEC"/>
    <w:rsid w:val="00061322"/>
    <w:rsid w:val="00061BF3"/>
    <w:rsid w:val="0006298B"/>
    <w:rsid w:val="00062F52"/>
    <w:rsid w:val="000632CE"/>
    <w:rsid w:val="00063363"/>
    <w:rsid w:val="00063754"/>
    <w:rsid w:val="00063C60"/>
    <w:rsid w:val="0006403B"/>
    <w:rsid w:val="00064D88"/>
    <w:rsid w:val="0006505F"/>
    <w:rsid w:val="00065633"/>
    <w:rsid w:val="000656C0"/>
    <w:rsid w:val="000660B6"/>
    <w:rsid w:val="00066527"/>
    <w:rsid w:val="00066A63"/>
    <w:rsid w:val="00066F4B"/>
    <w:rsid w:val="00066FCB"/>
    <w:rsid w:val="0006768F"/>
    <w:rsid w:val="00067898"/>
    <w:rsid w:val="00067E42"/>
    <w:rsid w:val="00071AAC"/>
    <w:rsid w:val="0007321F"/>
    <w:rsid w:val="00074A14"/>
    <w:rsid w:val="00074CE9"/>
    <w:rsid w:val="000758C7"/>
    <w:rsid w:val="00076F34"/>
    <w:rsid w:val="0007717A"/>
    <w:rsid w:val="0007725C"/>
    <w:rsid w:val="00077618"/>
    <w:rsid w:val="000808C0"/>
    <w:rsid w:val="00080B5B"/>
    <w:rsid w:val="00081326"/>
    <w:rsid w:val="00081740"/>
    <w:rsid w:val="000822CA"/>
    <w:rsid w:val="00082312"/>
    <w:rsid w:val="00082E46"/>
    <w:rsid w:val="00083DBE"/>
    <w:rsid w:val="00083E5A"/>
    <w:rsid w:val="000846AB"/>
    <w:rsid w:val="00084C53"/>
    <w:rsid w:val="00085AE3"/>
    <w:rsid w:val="000867CB"/>
    <w:rsid w:val="00087051"/>
    <w:rsid w:val="0008718D"/>
    <w:rsid w:val="00087FCE"/>
    <w:rsid w:val="000906D1"/>
    <w:rsid w:val="00091746"/>
    <w:rsid w:val="000929B2"/>
    <w:rsid w:val="000931A3"/>
    <w:rsid w:val="00093A55"/>
    <w:rsid w:val="00094059"/>
    <w:rsid w:val="00094AA1"/>
    <w:rsid w:val="00094CF6"/>
    <w:rsid w:val="00095BFF"/>
    <w:rsid w:val="00096B2E"/>
    <w:rsid w:val="000970A8"/>
    <w:rsid w:val="000972B5"/>
    <w:rsid w:val="000973D0"/>
    <w:rsid w:val="00097708"/>
    <w:rsid w:val="00097A85"/>
    <w:rsid w:val="00097C85"/>
    <w:rsid w:val="000A0D5B"/>
    <w:rsid w:val="000A0DDB"/>
    <w:rsid w:val="000A158F"/>
    <w:rsid w:val="000A1BF3"/>
    <w:rsid w:val="000A1DAA"/>
    <w:rsid w:val="000A2655"/>
    <w:rsid w:val="000A26E8"/>
    <w:rsid w:val="000A2D91"/>
    <w:rsid w:val="000A33F0"/>
    <w:rsid w:val="000A409A"/>
    <w:rsid w:val="000A4B59"/>
    <w:rsid w:val="000A586E"/>
    <w:rsid w:val="000A593E"/>
    <w:rsid w:val="000A67E4"/>
    <w:rsid w:val="000B1348"/>
    <w:rsid w:val="000B32DC"/>
    <w:rsid w:val="000B350D"/>
    <w:rsid w:val="000B3933"/>
    <w:rsid w:val="000B41CE"/>
    <w:rsid w:val="000B46E1"/>
    <w:rsid w:val="000B5551"/>
    <w:rsid w:val="000B6C6A"/>
    <w:rsid w:val="000B6C86"/>
    <w:rsid w:val="000B7201"/>
    <w:rsid w:val="000B7B33"/>
    <w:rsid w:val="000C07CA"/>
    <w:rsid w:val="000C1D1E"/>
    <w:rsid w:val="000C1F55"/>
    <w:rsid w:val="000C2F61"/>
    <w:rsid w:val="000C2FE7"/>
    <w:rsid w:val="000C4897"/>
    <w:rsid w:val="000C4BC6"/>
    <w:rsid w:val="000C5199"/>
    <w:rsid w:val="000C7616"/>
    <w:rsid w:val="000C7C3A"/>
    <w:rsid w:val="000C7D12"/>
    <w:rsid w:val="000C7E65"/>
    <w:rsid w:val="000D0097"/>
    <w:rsid w:val="000D0A72"/>
    <w:rsid w:val="000D1581"/>
    <w:rsid w:val="000D19F2"/>
    <w:rsid w:val="000D22B0"/>
    <w:rsid w:val="000D2B7E"/>
    <w:rsid w:val="000D2DFC"/>
    <w:rsid w:val="000D3880"/>
    <w:rsid w:val="000D4A71"/>
    <w:rsid w:val="000D527E"/>
    <w:rsid w:val="000D597F"/>
    <w:rsid w:val="000D6175"/>
    <w:rsid w:val="000D670E"/>
    <w:rsid w:val="000D6AA4"/>
    <w:rsid w:val="000D6AC1"/>
    <w:rsid w:val="000D6BAA"/>
    <w:rsid w:val="000D709F"/>
    <w:rsid w:val="000D7830"/>
    <w:rsid w:val="000E099E"/>
    <w:rsid w:val="000E0AAC"/>
    <w:rsid w:val="000E14BB"/>
    <w:rsid w:val="000E19FF"/>
    <w:rsid w:val="000E1EF6"/>
    <w:rsid w:val="000E2EAD"/>
    <w:rsid w:val="000E314D"/>
    <w:rsid w:val="000E41CC"/>
    <w:rsid w:val="000E51F4"/>
    <w:rsid w:val="000E639E"/>
    <w:rsid w:val="000E63BC"/>
    <w:rsid w:val="000E66D9"/>
    <w:rsid w:val="000E7DE0"/>
    <w:rsid w:val="000F013C"/>
    <w:rsid w:val="000F07BA"/>
    <w:rsid w:val="000F0A91"/>
    <w:rsid w:val="000F0CCD"/>
    <w:rsid w:val="000F0E52"/>
    <w:rsid w:val="000F0F09"/>
    <w:rsid w:val="000F130C"/>
    <w:rsid w:val="000F1A65"/>
    <w:rsid w:val="000F28E3"/>
    <w:rsid w:val="000F37A6"/>
    <w:rsid w:val="000F40DE"/>
    <w:rsid w:val="000F42ED"/>
    <w:rsid w:val="000F438A"/>
    <w:rsid w:val="000F4DC4"/>
    <w:rsid w:val="000F4E91"/>
    <w:rsid w:val="000F6044"/>
    <w:rsid w:val="000F63AB"/>
    <w:rsid w:val="000F6557"/>
    <w:rsid w:val="000F68E5"/>
    <w:rsid w:val="000F7238"/>
    <w:rsid w:val="0010085C"/>
    <w:rsid w:val="00101152"/>
    <w:rsid w:val="001012C8"/>
    <w:rsid w:val="001013CC"/>
    <w:rsid w:val="00101558"/>
    <w:rsid w:val="00101878"/>
    <w:rsid w:val="00101ECB"/>
    <w:rsid w:val="001023A2"/>
    <w:rsid w:val="00102993"/>
    <w:rsid w:val="00102AF0"/>
    <w:rsid w:val="00102B4E"/>
    <w:rsid w:val="00103251"/>
    <w:rsid w:val="0010352E"/>
    <w:rsid w:val="0010366D"/>
    <w:rsid w:val="00103B23"/>
    <w:rsid w:val="00103BFD"/>
    <w:rsid w:val="00103E0B"/>
    <w:rsid w:val="00104B5E"/>
    <w:rsid w:val="001054AB"/>
    <w:rsid w:val="00106417"/>
    <w:rsid w:val="001064AC"/>
    <w:rsid w:val="00106C33"/>
    <w:rsid w:val="00107D25"/>
    <w:rsid w:val="00107D5A"/>
    <w:rsid w:val="0011005F"/>
    <w:rsid w:val="001106ED"/>
    <w:rsid w:val="00110C27"/>
    <w:rsid w:val="00111034"/>
    <w:rsid w:val="001124EB"/>
    <w:rsid w:val="00112870"/>
    <w:rsid w:val="001128A5"/>
    <w:rsid w:val="00112FC1"/>
    <w:rsid w:val="00113507"/>
    <w:rsid w:val="00113736"/>
    <w:rsid w:val="00113B8A"/>
    <w:rsid w:val="00114197"/>
    <w:rsid w:val="00114673"/>
    <w:rsid w:val="0011511B"/>
    <w:rsid w:val="001170A8"/>
    <w:rsid w:val="00117586"/>
    <w:rsid w:val="001179D0"/>
    <w:rsid w:val="0012245F"/>
    <w:rsid w:val="00123043"/>
    <w:rsid w:val="0012341F"/>
    <w:rsid w:val="00123A7B"/>
    <w:rsid w:val="00123D22"/>
    <w:rsid w:val="00124616"/>
    <w:rsid w:val="00125319"/>
    <w:rsid w:val="001270D8"/>
    <w:rsid w:val="00127B80"/>
    <w:rsid w:val="00130236"/>
    <w:rsid w:val="0013176F"/>
    <w:rsid w:val="00131961"/>
    <w:rsid w:val="00131FEA"/>
    <w:rsid w:val="0013267D"/>
    <w:rsid w:val="00132958"/>
    <w:rsid w:val="001329CD"/>
    <w:rsid w:val="0013418C"/>
    <w:rsid w:val="00134E66"/>
    <w:rsid w:val="00135D17"/>
    <w:rsid w:val="00135E46"/>
    <w:rsid w:val="00136F72"/>
    <w:rsid w:val="001406B0"/>
    <w:rsid w:val="00140F26"/>
    <w:rsid w:val="001423BA"/>
    <w:rsid w:val="001428F4"/>
    <w:rsid w:val="00143B54"/>
    <w:rsid w:val="00143BE7"/>
    <w:rsid w:val="0014436C"/>
    <w:rsid w:val="00144766"/>
    <w:rsid w:val="00144BA8"/>
    <w:rsid w:val="0014507F"/>
    <w:rsid w:val="001450B0"/>
    <w:rsid w:val="001453AE"/>
    <w:rsid w:val="00145BF3"/>
    <w:rsid w:val="001460E5"/>
    <w:rsid w:val="001466C3"/>
    <w:rsid w:val="00146A35"/>
    <w:rsid w:val="00147246"/>
    <w:rsid w:val="001472D9"/>
    <w:rsid w:val="001502BD"/>
    <w:rsid w:val="001504A4"/>
    <w:rsid w:val="00150AD2"/>
    <w:rsid w:val="00151132"/>
    <w:rsid w:val="00151827"/>
    <w:rsid w:val="00152079"/>
    <w:rsid w:val="00152154"/>
    <w:rsid w:val="00152815"/>
    <w:rsid w:val="00152CCD"/>
    <w:rsid w:val="00152FD5"/>
    <w:rsid w:val="001539A2"/>
    <w:rsid w:val="001541A7"/>
    <w:rsid w:val="001546BF"/>
    <w:rsid w:val="00154746"/>
    <w:rsid w:val="00154BD4"/>
    <w:rsid w:val="00155F3D"/>
    <w:rsid w:val="001563C0"/>
    <w:rsid w:val="00161444"/>
    <w:rsid w:val="0016238D"/>
    <w:rsid w:val="001624A2"/>
    <w:rsid w:val="0016268A"/>
    <w:rsid w:val="0016298B"/>
    <w:rsid w:val="00163663"/>
    <w:rsid w:val="00163C4E"/>
    <w:rsid w:val="001640EA"/>
    <w:rsid w:val="00164D28"/>
    <w:rsid w:val="00164F87"/>
    <w:rsid w:val="00165B69"/>
    <w:rsid w:val="00166084"/>
    <w:rsid w:val="00166289"/>
    <w:rsid w:val="001662B0"/>
    <w:rsid w:val="00166B9D"/>
    <w:rsid w:val="00166EBA"/>
    <w:rsid w:val="001677E0"/>
    <w:rsid w:val="001701EA"/>
    <w:rsid w:val="001719C0"/>
    <w:rsid w:val="00171ECB"/>
    <w:rsid w:val="001728C4"/>
    <w:rsid w:val="00173A73"/>
    <w:rsid w:val="00174282"/>
    <w:rsid w:val="00175378"/>
    <w:rsid w:val="001755A8"/>
    <w:rsid w:val="00176821"/>
    <w:rsid w:val="00177390"/>
    <w:rsid w:val="00177BDE"/>
    <w:rsid w:val="0018040D"/>
    <w:rsid w:val="00180B2F"/>
    <w:rsid w:val="00180FC0"/>
    <w:rsid w:val="00180FE8"/>
    <w:rsid w:val="00181808"/>
    <w:rsid w:val="00183FD6"/>
    <w:rsid w:val="00184913"/>
    <w:rsid w:val="00184B94"/>
    <w:rsid w:val="001853F5"/>
    <w:rsid w:val="001855BE"/>
    <w:rsid w:val="00185749"/>
    <w:rsid w:val="00186935"/>
    <w:rsid w:val="00186BDB"/>
    <w:rsid w:val="00186DE6"/>
    <w:rsid w:val="00186E9C"/>
    <w:rsid w:val="001877A3"/>
    <w:rsid w:val="00187B25"/>
    <w:rsid w:val="00187F71"/>
    <w:rsid w:val="00190610"/>
    <w:rsid w:val="0019063F"/>
    <w:rsid w:val="00190686"/>
    <w:rsid w:val="00190832"/>
    <w:rsid w:val="00191163"/>
    <w:rsid w:val="00191218"/>
    <w:rsid w:val="00191A93"/>
    <w:rsid w:val="00192218"/>
    <w:rsid w:val="00193046"/>
    <w:rsid w:val="00193426"/>
    <w:rsid w:val="00194484"/>
    <w:rsid w:val="0019467C"/>
    <w:rsid w:val="00196824"/>
    <w:rsid w:val="00196908"/>
    <w:rsid w:val="00197A21"/>
    <w:rsid w:val="001A0094"/>
    <w:rsid w:val="001A1070"/>
    <w:rsid w:val="001A1159"/>
    <w:rsid w:val="001A18E2"/>
    <w:rsid w:val="001A1CFC"/>
    <w:rsid w:val="001A1E8E"/>
    <w:rsid w:val="001A20B4"/>
    <w:rsid w:val="001A2AE7"/>
    <w:rsid w:val="001A3237"/>
    <w:rsid w:val="001A336D"/>
    <w:rsid w:val="001A3527"/>
    <w:rsid w:val="001A404D"/>
    <w:rsid w:val="001A48B1"/>
    <w:rsid w:val="001A4C5E"/>
    <w:rsid w:val="001A52C9"/>
    <w:rsid w:val="001A54A2"/>
    <w:rsid w:val="001A5A53"/>
    <w:rsid w:val="001A5CEE"/>
    <w:rsid w:val="001A5D72"/>
    <w:rsid w:val="001A61B1"/>
    <w:rsid w:val="001A62DB"/>
    <w:rsid w:val="001A686F"/>
    <w:rsid w:val="001A68C8"/>
    <w:rsid w:val="001A6E13"/>
    <w:rsid w:val="001A7913"/>
    <w:rsid w:val="001A7ECB"/>
    <w:rsid w:val="001B086F"/>
    <w:rsid w:val="001B0D8F"/>
    <w:rsid w:val="001B2807"/>
    <w:rsid w:val="001B34E2"/>
    <w:rsid w:val="001B3571"/>
    <w:rsid w:val="001B3574"/>
    <w:rsid w:val="001B48CC"/>
    <w:rsid w:val="001B4D9E"/>
    <w:rsid w:val="001B512A"/>
    <w:rsid w:val="001B5990"/>
    <w:rsid w:val="001B6475"/>
    <w:rsid w:val="001B6FF3"/>
    <w:rsid w:val="001B730B"/>
    <w:rsid w:val="001C0AC6"/>
    <w:rsid w:val="001C139A"/>
    <w:rsid w:val="001C1613"/>
    <w:rsid w:val="001C17A3"/>
    <w:rsid w:val="001C217B"/>
    <w:rsid w:val="001C237E"/>
    <w:rsid w:val="001C26EF"/>
    <w:rsid w:val="001C2C25"/>
    <w:rsid w:val="001C313F"/>
    <w:rsid w:val="001C3488"/>
    <w:rsid w:val="001C4A92"/>
    <w:rsid w:val="001C54E7"/>
    <w:rsid w:val="001C5818"/>
    <w:rsid w:val="001C5BB6"/>
    <w:rsid w:val="001C5BBB"/>
    <w:rsid w:val="001C5D5C"/>
    <w:rsid w:val="001C5E36"/>
    <w:rsid w:val="001C6A0D"/>
    <w:rsid w:val="001C71E3"/>
    <w:rsid w:val="001C74D9"/>
    <w:rsid w:val="001C77CE"/>
    <w:rsid w:val="001D005E"/>
    <w:rsid w:val="001D0604"/>
    <w:rsid w:val="001D09BC"/>
    <w:rsid w:val="001D0F9B"/>
    <w:rsid w:val="001D1ADB"/>
    <w:rsid w:val="001D243C"/>
    <w:rsid w:val="001D2922"/>
    <w:rsid w:val="001D3568"/>
    <w:rsid w:val="001D4217"/>
    <w:rsid w:val="001D4A0A"/>
    <w:rsid w:val="001D6113"/>
    <w:rsid w:val="001D6505"/>
    <w:rsid w:val="001D6BC9"/>
    <w:rsid w:val="001D75C1"/>
    <w:rsid w:val="001D7BBA"/>
    <w:rsid w:val="001D7F9B"/>
    <w:rsid w:val="001E0031"/>
    <w:rsid w:val="001E00D3"/>
    <w:rsid w:val="001E02C4"/>
    <w:rsid w:val="001E0670"/>
    <w:rsid w:val="001E0B01"/>
    <w:rsid w:val="001E1429"/>
    <w:rsid w:val="001E1B1A"/>
    <w:rsid w:val="001E1BD8"/>
    <w:rsid w:val="001E2405"/>
    <w:rsid w:val="001E3E20"/>
    <w:rsid w:val="001E3E35"/>
    <w:rsid w:val="001E4958"/>
    <w:rsid w:val="001E5173"/>
    <w:rsid w:val="001E6DB2"/>
    <w:rsid w:val="001E751A"/>
    <w:rsid w:val="001E7A0A"/>
    <w:rsid w:val="001E7E23"/>
    <w:rsid w:val="001F027A"/>
    <w:rsid w:val="001F169D"/>
    <w:rsid w:val="001F18FC"/>
    <w:rsid w:val="001F1C2E"/>
    <w:rsid w:val="001F20CE"/>
    <w:rsid w:val="001F2C0B"/>
    <w:rsid w:val="001F2D8A"/>
    <w:rsid w:val="001F3006"/>
    <w:rsid w:val="001F37A3"/>
    <w:rsid w:val="001F390F"/>
    <w:rsid w:val="001F4C6A"/>
    <w:rsid w:val="001F5A2C"/>
    <w:rsid w:val="001F5AEB"/>
    <w:rsid w:val="001F6C13"/>
    <w:rsid w:val="001F6DB4"/>
    <w:rsid w:val="001F6F4B"/>
    <w:rsid w:val="001F7231"/>
    <w:rsid w:val="001F75CB"/>
    <w:rsid w:val="001F7FC3"/>
    <w:rsid w:val="002002D3"/>
    <w:rsid w:val="002008B3"/>
    <w:rsid w:val="00200B82"/>
    <w:rsid w:val="002018F1"/>
    <w:rsid w:val="0020254F"/>
    <w:rsid w:val="00202AE4"/>
    <w:rsid w:val="00202CE2"/>
    <w:rsid w:val="00202F86"/>
    <w:rsid w:val="00203936"/>
    <w:rsid w:val="00204158"/>
    <w:rsid w:val="00204A79"/>
    <w:rsid w:val="00204E98"/>
    <w:rsid w:val="00205829"/>
    <w:rsid w:val="00205F9E"/>
    <w:rsid w:val="00206066"/>
    <w:rsid w:val="0020744B"/>
    <w:rsid w:val="002074E4"/>
    <w:rsid w:val="00207D0D"/>
    <w:rsid w:val="00207F04"/>
    <w:rsid w:val="00210185"/>
    <w:rsid w:val="002106C9"/>
    <w:rsid w:val="0021146C"/>
    <w:rsid w:val="00211E11"/>
    <w:rsid w:val="0021230A"/>
    <w:rsid w:val="00212679"/>
    <w:rsid w:val="00212F24"/>
    <w:rsid w:val="002135B3"/>
    <w:rsid w:val="00213648"/>
    <w:rsid w:val="00213E34"/>
    <w:rsid w:val="00214D32"/>
    <w:rsid w:val="00214EFF"/>
    <w:rsid w:val="002156DF"/>
    <w:rsid w:val="00215AC5"/>
    <w:rsid w:val="00215DF5"/>
    <w:rsid w:val="00216028"/>
    <w:rsid w:val="00216EA0"/>
    <w:rsid w:val="00217B51"/>
    <w:rsid w:val="00217BD2"/>
    <w:rsid w:val="00220692"/>
    <w:rsid w:val="00221CA6"/>
    <w:rsid w:val="002220AF"/>
    <w:rsid w:val="00222955"/>
    <w:rsid w:val="00222A1B"/>
    <w:rsid w:val="002246EF"/>
    <w:rsid w:val="00225092"/>
    <w:rsid w:val="00225F94"/>
    <w:rsid w:val="00226210"/>
    <w:rsid w:val="00226B06"/>
    <w:rsid w:val="00226D38"/>
    <w:rsid w:val="00226F71"/>
    <w:rsid w:val="002302F3"/>
    <w:rsid w:val="00230ADA"/>
    <w:rsid w:val="00230DB9"/>
    <w:rsid w:val="00230DDF"/>
    <w:rsid w:val="002315BF"/>
    <w:rsid w:val="00231AC8"/>
    <w:rsid w:val="00231C91"/>
    <w:rsid w:val="00232DAF"/>
    <w:rsid w:val="00233056"/>
    <w:rsid w:val="00233789"/>
    <w:rsid w:val="00233FB7"/>
    <w:rsid w:val="00234CE3"/>
    <w:rsid w:val="0023594F"/>
    <w:rsid w:val="00235C3A"/>
    <w:rsid w:val="00235D9D"/>
    <w:rsid w:val="00236B39"/>
    <w:rsid w:val="00236CFC"/>
    <w:rsid w:val="00236CFE"/>
    <w:rsid w:val="00236F51"/>
    <w:rsid w:val="002375D3"/>
    <w:rsid w:val="002376DD"/>
    <w:rsid w:val="00240066"/>
    <w:rsid w:val="00240251"/>
    <w:rsid w:val="0024025B"/>
    <w:rsid w:val="00243784"/>
    <w:rsid w:val="002440C1"/>
    <w:rsid w:val="00244219"/>
    <w:rsid w:val="00244E62"/>
    <w:rsid w:val="00246073"/>
    <w:rsid w:val="0024668B"/>
    <w:rsid w:val="0024674C"/>
    <w:rsid w:val="00247E5E"/>
    <w:rsid w:val="002508CA"/>
    <w:rsid w:val="00250C90"/>
    <w:rsid w:val="002511A5"/>
    <w:rsid w:val="00251576"/>
    <w:rsid w:val="00251A37"/>
    <w:rsid w:val="00251E98"/>
    <w:rsid w:val="00252A93"/>
    <w:rsid w:val="00252E6F"/>
    <w:rsid w:val="0025396A"/>
    <w:rsid w:val="00253BD8"/>
    <w:rsid w:val="00253ED2"/>
    <w:rsid w:val="002546D4"/>
    <w:rsid w:val="002553AC"/>
    <w:rsid w:val="0025691F"/>
    <w:rsid w:val="002569FE"/>
    <w:rsid w:val="00256E85"/>
    <w:rsid w:val="00257C38"/>
    <w:rsid w:val="00257E52"/>
    <w:rsid w:val="002603E3"/>
    <w:rsid w:val="00260DB1"/>
    <w:rsid w:val="00261308"/>
    <w:rsid w:val="00261946"/>
    <w:rsid w:val="00262168"/>
    <w:rsid w:val="00262251"/>
    <w:rsid w:val="0026243F"/>
    <w:rsid w:val="00262CA3"/>
    <w:rsid w:val="00262F85"/>
    <w:rsid w:val="0026352C"/>
    <w:rsid w:val="00263962"/>
    <w:rsid w:val="00263B0D"/>
    <w:rsid w:val="0026424F"/>
    <w:rsid w:val="00264564"/>
    <w:rsid w:val="00265359"/>
    <w:rsid w:val="002656DF"/>
    <w:rsid w:val="00266276"/>
    <w:rsid w:val="0026640C"/>
    <w:rsid w:val="00266808"/>
    <w:rsid w:val="002668CD"/>
    <w:rsid w:val="00267529"/>
    <w:rsid w:val="0026774F"/>
    <w:rsid w:val="0027056A"/>
    <w:rsid w:val="002707D2"/>
    <w:rsid w:val="00270858"/>
    <w:rsid w:val="00272DF1"/>
    <w:rsid w:val="00273420"/>
    <w:rsid w:val="0027386D"/>
    <w:rsid w:val="00273AE8"/>
    <w:rsid w:val="00273D00"/>
    <w:rsid w:val="002747B3"/>
    <w:rsid w:val="00274BCB"/>
    <w:rsid w:val="00275287"/>
    <w:rsid w:val="00275319"/>
    <w:rsid w:val="002756B8"/>
    <w:rsid w:val="0027628E"/>
    <w:rsid w:val="00276FF0"/>
    <w:rsid w:val="00277458"/>
    <w:rsid w:val="00277881"/>
    <w:rsid w:val="00277D1A"/>
    <w:rsid w:val="002805E2"/>
    <w:rsid w:val="00280B4B"/>
    <w:rsid w:val="00280C6D"/>
    <w:rsid w:val="00281095"/>
    <w:rsid w:val="00281978"/>
    <w:rsid w:val="00281B3C"/>
    <w:rsid w:val="00281D5E"/>
    <w:rsid w:val="00282D15"/>
    <w:rsid w:val="00283996"/>
    <w:rsid w:val="00283B64"/>
    <w:rsid w:val="002844D0"/>
    <w:rsid w:val="0028473A"/>
    <w:rsid w:val="00285231"/>
    <w:rsid w:val="0028559D"/>
    <w:rsid w:val="002857B4"/>
    <w:rsid w:val="00286331"/>
    <w:rsid w:val="0028697E"/>
    <w:rsid w:val="00286D97"/>
    <w:rsid w:val="00287278"/>
    <w:rsid w:val="002873CF"/>
    <w:rsid w:val="00287D99"/>
    <w:rsid w:val="00290CDA"/>
    <w:rsid w:val="002910FA"/>
    <w:rsid w:val="00291254"/>
    <w:rsid w:val="0029152E"/>
    <w:rsid w:val="002916F6"/>
    <w:rsid w:val="00291752"/>
    <w:rsid w:val="0029287D"/>
    <w:rsid w:val="00292C42"/>
    <w:rsid w:val="00292DE4"/>
    <w:rsid w:val="002931BC"/>
    <w:rsid w:val="00293F45"/>
    <w:rsid w:val="00294E28"/>
    <w:rsid w:val="00296723"/>
    <w:rsid w:val="0029694E"/>
    <w:rsid w:val="00296A7A"/>
    <w:rsid w:val="00297122"/>
    <w:rsid w:val="0029743D"/>
    <w:rsid w:val="00297CE1"/>
    <w:rsid w:val="002A1274"/>
    <w:rsid w:val="002A1421"/>
    <w:rsid w:val="002A15B5"/>
    <w:rsid w:val="002A1B83"/>
    <w:rsid w:val="002A2B97"/>
    <w:rsid w:val="002A3661"/>
    <w:rsid w:val="002A4576"/>
    <w:rsid w:val="002A481A"/>
    <w:rsid w:val="002A48BB"/>
    <w:rsid w:val="002A4F39"/>
    <w:rsid w:val="002A5520"/>
    <w:rsid w:val="002A692E"/>
    <w:rsid w:val="002A6B96"/>
    <w:rsid w:val="002A6FF9"/>
    <w:rsid w:val="002A76CA"/>
    <w:rsid w:val="002A7722"/>
    <w:rsid w:val="002A786C"/>
    <w:rsid w:val="002A79F7"/>
    <w:rsid w:val="002B0C7A"/>
    <w:rsid w:val="002B2621"/>
    <w:rsid w:val="002B2641"/>
    <w:rsid w:val="002B2991"/>
    <w:rsid w:val="002B62A9"/>
    <w:rsid w:val="002B6FAF"/>
    <w:rsid w:val="002B75D7"/>
    <w:rsid w:val="002B77F8"/>
    <w:rsid w:val="002B7936"/>
    <w:rsid w:val="002C1603"/>
    <w:rsid w:val="002C1977"/>
    <w:rsid w:val="002C1FC6"/>
    <w:rsid w:val="002C293F"/>
    <w:rsid w:val="002C2BC3"/>
    <w:rsid w:val="002C3700"/>
    <w:rsid w:val="002C3B05"/>
    <w:rsid w:val="002C4082"/>
    <w:rsid w:val="002C4EF3"/>
    <w:rsid w:val="002C5382"/>
    <w:rsid w:val="002C5795"/>
    <w:rsid w:val="002C59B5"/>
    <w:rsid w:val="002C643A"/>
    <w:rsid w:val="002C7C30"/>
    <w:rsid w:val="002D00BA"/>
    <w:rsid w:val="002D0171"/>
    <w:rsid w:val="002D01D7"/>
    <w:rsid w:val="002D042D"/>
    <w:rsid w:val="002D145D"/>
    <w:rsid w:val="002D14FC"/>
    <w:rsid w:val="002D1906"/>
    <w:rsid w:val="002D3678"/>
    <w:rsid w:val="002D3C91"/>
    <w:rsid w:val="002D3E94"/>
    <w:rsid w:val="002D443A"/>
    <w:rsid w:val="002D52AE"/>
    <w:rsid w:val="002D66E9"/>
    <w:rsid w:val="002D6AD0"/>
    <w:rsid w:val="002D769B"/>
    <w:rsid w:val="002D7AE0"/>
    <w:rsid w:val="002D7D08"/>
    <w:rsid w:val="002E14CC"/>
    <w:rsid w:val="002E1E26"/>
    <w:rsid w:val="002E1F47"/>
    <w:rsid w:val="002E4290"/>
    <w:rsid w:val="002E4D15"/>
    <w:rsid w:val="002E529F"/>
    <w:rsid w:val="002E52F2"/>
    <w:rsid w:val="002E5999"/>
    <w:rsid w:val="002E680A"/>
    <w:rsid w:val="002E6C23"/>
    <w:rsid w:val="002E7177"/>
    <w:rsid w:val="002E7602"/>
    <w:rsid w:val="002E770C"/>
    <w:rsid w:val="002F022F"/>
    <w:rsid w:val="002F0372"/>
    <w:rsid w:val="002F079D"/>
    <w:rsid w:val="002F0876"/>
    <w:rsid w:val="002F2492"/>
    <w:rsid w:val="002F254D"/>
    <w:rsid w:val="002F2D0A"/>
    <w:rsid w:val="002F3254"/>
    <w:rsid w:val="002F358A"/>
    <w:rsid w:val="002F35FE"/>
    <w:rsid w:val="002F366B"/>
    <w:rsid w:val="002F38AC"/>
    <w:rsid w:val="002F40BB"/>
    <w:rsid w:val="002F50A2"/>
    <w:rsid w:val="002F50B4"/>
    <w:rsid w:val="002F54A3"/>
    <w:rsid w:val="002F6463"/>
    <w:rsid w:val="002F74A9"/>
    <w:rsid w:val="002F79E7"/>
    <w:rsid w:val="002F7A47"/>
    <w:rsid w:val="00300584"/>
    <w:rsid w:val="00300652"/>
    <w:rsid w:val="00300E64"/>
    <w:rsid w:val="00301152"/>
    <w:rsid w:val="00301427"/>
    <w:rsid w:val="00301E0A"/>
    <w:rsid w:val="00302266"/>
    <w:rsid w:val="003022AA"/>
    <w:rsid w:val="003023C7"/>
    <w:rsid w:val="00303164"/>
    <w:rsid w:val="00303191"/>
    <w:rsid w:val="00303483"/>
    <w:rsid w:val="003039E1"/>
    <w:rsid w:val="00303D6D"/>
    <w:rsid w:val="00304021"/>
    <w:rsid w:val="003042AD"/>
    <w:rsid w:val="00304B46"/>
    <w:rsid w:val="00304B80"/>
    <w:rsid w:val="0030571D"/>
    <w:rsid w:val="0030589B"/>
    <w:rsid w:val="003071E6"/>
    <w:rsid w:val="0030750E"/>
    <w:rsid w:val="0030798D"/>
    <w:rsid w:val="003100E0"/>
    <w:rsid w:val="00310CEB"/>
    <w:rsid w:val="003118C2"/>
    <w:rsid w:val="0031291F"/>
    <w:rsid w:val="00312E09"/>
    <w:rsid w:val="003130AE"/>
    <w:rsid w:val="00313138"/>
    <w:rsid w:val="003134C2"/>
    <w:rsid w:val="0031395B"/>
    <w:rsid w:val="00313C13"/>
    <w:rsid w:val="00313C3C"/>
    <w:rsid w:val="00313F7B"/>
    <w:rsid w:val="00313F92"/>
    <w:rsid w:val="003140D7"/>
    <w:rsid w:val="003149ED"/>
    <w:rsid w:val="00316636"/>
    <w:rsid w:val="00317B3E"/>
    <w:rsid w:val="00320128"/>
    <w:rsid w:val="0032020F"/>
    <w:rsid w:val="0032049A"/>
    <w:rsid w:val="00320784"/>
    <w:rsid w:val="00321174"/>
    <w:rsid w:val="003214FE"/>
    <w:rsid w:val="003217ED"/>
    <w:rsid w:val="003221A0"/>
    <w:rsid w:val="00322AB9"/>
    <w:rsid w:val="003235A0"/>
    <w:rsid w:val="00324548"/>
    <w:rsid w:val="00324C23"/>
    <w:rsid w:val="003252AC"/>
    <w:rsid w:val="00325A38"/>
    <w:rsid w:val="00326081"/>
    <w:rsid w:val="00326AC4"/>
    <w:rsid w:val="003275AB"/>
    <w:rsid w:val="003275D5"/>
    <w:rsid w:val="003303B3"/>
    <w:rsid w:val="003305F8"/>
    <w:rsid w:val="00330C07"/>
    <w:rsid w:val="00330C99"/>
    <w:rsid w:val="00330EC9"/>
    <w:rsid w:val="003313AE"/>
    <w:rsid w:val="00331B7F"/>
    <w:rsid w:val="0033262C"/>
    <w:rsid w:val="00332ADF"/>
    <w:rsid w:val="00333BCC"/>
    <w:rsid w:val="00333C22"/>
    <w:rsid w:val="0033428F"/>
    <w:rsid w:val="00334630"/>
    <w:rsid w:val="00334EAF"/>
    <w:rsid w:val="003350BC"/>
    <w:rsid w:val="003350E1"/>
    <w:rsid w:val="003350FA"/>
    <w:rsid w:val="00335529"/>
    <w:rsid w:val="0033571D"/>
    <w:rsid w:val="00336F25"/>
    <w:rsid w:val="00336F2A"/>
    <w:rsid w:val="00337261"/>
    <w:rsid w:val="00341891"/>
    <w:rsid w:val="00342E0A"/>
    <w:rsid w:val="00343292"/>
    <w:rsid w:val="003433B3"/>
    <w:rsid w:val="00343CF4"/>
    <w:rsid w:val="00343DBC"/>
    <w:rsid w:val="003440F0"/>
    <w:rsid w:val="00345F77"/>
    <w:rsid w:val="003463E9"/>
    <w:rsid w:val="00346452"/>
    <w:rsid w:val="003475A9"/>
    <w:rsid w:val="0035033F"/>
    <w:rsid w:val="003503F8"/>
    <w:rsid w:val="003513A6"/>
    <w:rsid w:val="00351E02"/>
    <w:rsid w:val="0035221F"/>
    <w:rsid w:val="00352263"/>
    <w:rsid w:val="00352B99"/>
    <w:rsid w:val="00353419"/>
    <w:rsid w:val="00353465"/>
    <w:rsid w:val="00353BB0"/>
    <w:rsid w:val="0035446A"/>
    <w:rsid w:val="0035495F"/>
    <w:rsid w:val="00354F70"/>
    <w:rsid w:val="00355B3C"/>
    <w:rsid w:val="00355C71"/>
    <w:rsid w:val="003563D3"/>
    <w:rsid w:val="00356443"/>
    <w:rsid w:val="00356462"/>
    <w:rsid w:val="00356853"/>
    <w:rsid w:val="00356AD8"/>
    <w:rsid w:val="00356B6E"/>
    <w:rsid w:val="00356DE0"/>
    <w:rsid w:val="0035771A"/>
    <w:rsid w:val="00357758"/>
    <w:rsid w:val="00357F55"/>
    <w:rsid w:val="00357F58"/>
    <w:rsid w:val="00357F98"/>
    <w:rsid w:val="003613D7"/>
    <w:rsid w:val="003614AD"/>
    <w:rsid w:val="003618AE"/>
    <w:rsid w:val="00361B00"/>
    <w:rsid w:val="00361C22"/>
    <w:rsid w:val="00362A3B"/>
    <w:rsid w:val="00362DC9"/>
    <w:rsid w:val="0036392D"/>
    <w:rsid w:val="0036439C"/>
    <w:rsid w:val="003648D3"/>
    <w:rsid w:val="00364AD7"/>
    <w:rsid w:val="00364C93"/>
    <w:rsid w:val="003658D8"/>
    <w:rsid w:val="003666F1"/>
    <w:rsid w:val="00366AE8"/>
    <w:rsid w:val="0036781B"/>
    <w:rsid w:val="003703AA"/>
    <w:rsid w:val="00370C15"/>
    <w:rsid w:val="00371869"/>
    <w:rsid w:val="0037302C"/>
    <w:rsid w:val="003734FE"/>
    <w:rsid w:val="00373F75"/>
    <w:rsid w:val="003757DB"/>
    <w:rsid w:val="00375BB9"/>
    <w:rsid w:val="00376F10"/>
    <w:rsid w:val="003776EB"/>
    <w:rsid w:val="003778E1"/>
    <w:rsid w:val="00377EBE"/>
    <w:rsid w:val="00380088"/>
    <w:rsid w:val="0038080D"/>
    <w:rsid w:val="00380E3C"/>
    <w:rsid w:val="00380E5E"/>
    <w:rsid w:val="00380FD1"/>
    <w:rsid w:val="003811CB"/>
    <w:rsid w:val="00381F65"/>
    <w:rsid w:val="00382564"/>
    <w:rsid w:val="00383428"/>
    <w:rsid w:val="00384E58"/>
    <w:rsid w:val="00385533"/>
    <w:rsid w:val="003858E5"/>
    <w:rsid w:val="00385D88"/>
    <w:rsid w:val="00386125"/>
    <w:rsid w:val="0038655A"/>
    <w:rsid w:val="00386774"/>
    <w:rsid w:val="00386BAB"/>
    <w:rsid w:val="00386ED9"/>
    <w:rsid w:val="003873B9"/>
    <w:rsid w:val="00387B47"/>
    <w:rsid w:val="00390776"/>
    <w:rsid w:val="00391191"/>
    <w:rsid w:val="003912BE"/>
    <w:rsid w:val="00391488"/>
    <w:rsid w:val="00392165"/>
    <w:rsid w:val="00392923"/>
    <w:rsid w:val="00392C89"/>
    <w:rsid w:val="00393410"/>
    <w:rsid w:val="00394190"/>
    <w:rsid w:val="00395734"/>
    <w:rsid w:val="00395E13"/>
    <w:rsid w:val="00396D3C"/>
    <w:rsid w:val="00396ED6"/>
    <w:rsid w:val="003974EE"/>
    <w:rsid w:val="00397A66"/>
    <w:rsid w:val="00397B29"/>
    <w:rsid w:val="003A0003"/>
    <w:rsid w:val="003A07B6"/>
    <w:rsid w:val="003A0F1D"/>
    <w:rsid w:val="003A1149"/>
    <w:rsid w:val="003A1584"/>
    <w:rsid w:val="003A1969"/>
    <w:rsid w:val="003A1A81"/>
    <w:rsid w:val="003A1C3D"/>
    <w:rsid w:val="003A2497"/>
    <w:rsid w:val="003A31C1"/>
    <w:rsid w:val="003A3A1A"/>
    <w:rsid w:val="003A3D31"/>
    <w:rsid w:val="003A45DD"/>
    <w:rsid w:val="003A472E"/>
    <w:rsid w:val="003A4AD3"/>
    <w:rsid w:val="003A4C5A"/>
    <w:rsid w:val="003A4FF8"/>
    <w:rsid w:val="003A50F6"/>
    <w:rsid w:val="003A6F6C"/>
    <w:rsid w:val="003A7663"/>
    <w:rsid w:val="003B0028"/>
    <w:rsid w:val="003B0BF6"/>
    <w:rsid w:val="003B0F48"/>
    <w:rsid w:val="003B16FB"/>
    <w:rsid w:val="003B27BA"/>
    <w:rsid w:val="003B2D50"/>
    <w:rsid w:val="003B347F"/>
    <w:rsid w:val="003B3B22"/>
    <w:rsid w:val="003B526C"/>
    <w:rsid w:val="003B5497"/>
    <w:rsid w:val="003B5F86"/>
    <w:rsid w:val="003B66F0"/>
    <w:rsid w:val="003B708B"/>
    <w:rsid w:val="003B7287"/>
    <w:rsid w:val="003B7479"/>
    <w:rsid w:val="003B7E61"/>
    <w:rsid w:val="003C0ABB"/>
    <w:rsid w:val="003C0FEB"/>
    <w:rsid w:val="003C122D"/>
    <w:rsid w:val="003C2B50"/>
    <w:rsid w:val="003C2DC7"/>
    <w:rsid w:val="003C2F1E"/>
    <w:rsid w:val="003C31DA"/>
    <w:rsid w:val="003C3300"/>
    <w:rsid w:val="003C3A94"/>
    <w:rsid w:val="003C41E5"/>
    <w:rsid w:val="003C42F3"/>
    <w:rsid w:val="003C4C22"/>
    <w:rsid w:val="003C4C8B"/>
    <w:rsid w:val="003C51FF"/>
    <w:rsid w:val="003C584A"/>
    <w:rsid w:val="003C5EBA"/>
    <w:rsid w:val="003C5F46"/>
    <w:rsid w:val="003C64CC"/>
    <w:rsid w:val="003C6CD0"/>
    <w:rsid w:val="003C7676"/>
    <w:rsid w:val="003D0455"/>
    <w:rsid w:val="003D0C02"/>
    <w:rsid w:val="003D0CA4"/>
    <w:rsid w:val="003D0F04"/>
    <w:rsid w:val="003D1F09"/>
    <w:rsid w:val="003D254D"/>
    <w:rsid w:val="003D2B12"/>
    <w:rsid w:val="003D4F31"/>
    <w:rsid w:val="003D53A1"/>
    <w:rsid w:val="003D6C8B"/>
    <w:rsid w:val="003E03F3"/>
    <w:rsid w:val="003E0C56"/>
    <w:rsid w:val="003E0C77"/>
    <w:rsid w:val="003E1005"/>
    <w:rsid w:val="003E312C"/>
    <w:rsid w:val="003E3244"/>
    <w:rsid w:val="003E36DD"/>
    <w:rsid w:val="003E3936"/>
    <w:rsid w:val="003E4C26"/>
    <w:rsid w:val="003E5C1C"/>
    <w:rsid w:val="003E63EC"/>
    <w:rsid w:val="003E65DC"/>
    <w:rsid w:val="003E791B"/>
    <w:rsid w:val="003E7BB7"/>
    <w:rsid w:val="003F0247"/>
    <w:rsid w:val="003F1848"/>
    <w:rsid w:val="003F340D"/>
    <w:rsid w:val="003F4E16"/>
    <w:rsid w:val="003F5104"/>
    <w:rsid w:val="003F5164"/>
    <w:rsid w:val="003F590E"/>
    <w:rsid w:val="003F5B23"/>
    <w:rsid w:val="003F60B5"/>
    <w:rsid w:val="003F630F"/>
    <w:rsid w:val="003F665A"/>
    <w:rsid w:val="003F6D00"/>
    <w:rsid w:val="003F6EDE"/>
    <w:rsid w:val="003F71B8"/>
    <w:rsid w:val="003F7BA5"/>
    <w:rsid w:val="004019D8"/>
    <w:rsid w:val="00402955"/>
    <w:rsid w:val="004029B2"/>
    <w:rsid w:val="00402A68"/>
    <w:rsid w:val="00402DEF"/>
    <w:rsid w:val="0040358F"/>
    <w:rsid w:val="004049B1"/>
    <w:rsid w:val="00405877"/>
    <w:rsid w:val="00405AE3"/>
    <w:rsid w:val="004069FE"/>
    <w:rsid w:val="00407398"/>
    <w:rsid w:val="00407A36"/>
    <w:rsid w:val="00407A41"/>
    <w:rsid w:val="00412CFB"/>
    <w:rsid w:val="0041396B"/>
    <w:rsid w:val="00413E9F"/>
    <w:rsid w:val="00413F00"/>
    <w:rsid w:val="0041426B"/>
    <w:rsid w:val="004143B9"/>
    <w:rsid w:val="004144A9"/>
    <w:rsid w:val="00414B2A"/>
    <w:rsid w:val="00415ACA"/>
    <w:rsid w:val="00415DCE"/>
    <w:rsid w:val="004169A7"/>
    <w:rsid w:val="0041785E"/>
    <w:rsid w:val="00420C8C"/>
    <w:rsid w:val="004210A2"/>
    <w:rsid w:val="004213B0"/>
    <w:rsid w:val="00421593"/>
    <w:rsid w:val="0042167A"/>
    <w:rsid w:val="0042206C"/>
    <w:rsid w:val="00422126"/>
    <w:rsid w:val="004225B1"/>
    <w:rsid w:val="0042335E"/>
    <w:rsid w:val="004241FA"/>
    <w:rsid w:val="004251E8"/>
    <w:rsid w:val="00426C7D"/>
    <w:rsid w:val="00426D49"/>
    <w:rsid w:val="004270AE"/>
    <w:rsid w:val="00427B5E"/>
    <w:rsid w:val="0043004E"/>
    <w:rsid w:val="004315C8"/>
    <w:rsid w:val="004317DF"/>
    <w:rsid w:val="00431941"/>
    <w:rsid w:val="00431961"/>
    <w:rsid w:val="00431A5C"/>
    <w:rsid w:val="0043213D"/>
    <w:rsid w:val="00433D77"/>
    <w:rsid w:val="00433E3B"/>
    <w:rsid w:val="0043427F"/>
    <w:rsid w:val="00434D2F"/>
    <w:rsid w:val="00435317"/>
    <w:rsid w:val="004362DE"/>
    <w:rsid w:val="00436371"/>
    <w:rsid w:val="0043799F"/>
    <w:rsid w:val="00440B1E"/>
    <w:rsid w:val="00441323"/>
    <w:rsid w:val="00441480"/>
    <w:rsid w:val="00442714"/>
    <w:rsid w:val="004433DE"/>
    <w:rsid w:val="00443BD6"/>
    <w:rsid w:val="00443FEA"/>
    <w:rsid w:val="004457FF"/>
    <w:rsid w:val="00445EB1"/>
    <w:rsid w:val="0044611E"/>
    <w:rsid w:val="00446186"/>
    <w:rsid w:val="004461C9"/>
    <w:rsid w:val="00446712"/>
    <w:rsid w:val="00446748"/>
    <w:rsid w:val="004505C6"/>
    <w:rsid w:val="00450EEF"/>
    <w:rsid w:val="00450F40"/>
    <w:rsid w:val="00451389"/>
    <w:rsid w:val="00451C1A"/>
    <w:rsid w:val="00452E50"/>
    <w:rsid w:val="0045387D"/>
    <w:rsid w:val="00454ADC"/>
    <w:rsid w:val="00454FCA"/>
    <w:rsid w:val="004552BA"/>
    <w:rsid w:val="00455AD6"/>
    <w:rsid w:val="0045661F"/>
    <w:rsid w:val="00456D54"/>
    <w:rsid w:val="00456E16"/>
    <w:rsid w:val="00457555"/>
    <w:rsid w:val="00457775"/>
    <w:rsid w:val="004600B6"/>
    <w:rsid w:val="004607F3"/>
    <w:rsid w:val="00460BBE"/>
    <w:rsid w:val="00460E5B"/>
    <w:rsid w:val="0046225D"/>
    <w:rsid w:val="00463BDE"/>
    <w:rsid w:val="00465607"/>
    <w:rsid w:val="00466E96"/>
    <w:rsid w:val="00467075"/>
    <w:rsid w:val="004675D3"/>
    <w:rsid w:val="004679A5"/>
    <w:rsid w:val="00467F01"/>
    <w:rsid w:val="0047169A"/>
    <w:rsid w:val="00472275"/>
    <w:rsid w:val="004723F1"/>
    <w:rsid w:val="0047263F"/>
    <w:rsid w:val="00472748"/>
    <w:rsid w:val="00472C68"/>
    <w:rsid w:val="0047300C"/>
    <w:rsid w:val="00474CF6"/>
    <w:rsid w:val="00475D7D"/>
    <w:rsid w:val="004766DE"/>
    <w:rsid w:val="004771A4"/>
    <w:rsid w:val="0048112F"/>
    <w:rsid w:val="00481418"/>
    <w:rsid w:val="00481723"/>
    <w:rsid w:val="00482278"/>
    <w:rsid w:val="00482321"/>
    <w:rsid w:val="00482845"/>
    <w:rsid w:val="00482F43"/>
    <w:rsid w:val="00483403"/>
    <w:rsid w:val="00483DD0"/>
    <w:rsid w:val="004851A4"/>
    <w:rsid w:val="00485802"/>
    <w:rsid w:val="00485A72"/>
    <w:rsid w:val="004865AD"/>
    <w:rsid w:val="00486A61"/>
    <w:rsid w:val="004872A8"/>
    <w:rsid w:val="0048738F"/>
    <w:rsid w:val="004879B3"/>
    <w:rsid w:val="004900D1"/>
    <w:rsid w:val="0049031D"/>
    <w:rsid w:val="00490A1C"/>
    <w:rsid w:val="00490BAB"/>
    <w:rsid w:val="00493582"/>
    <w:rsid w:val="004936FF"/>
    <w:rsid w:val="00493FC7"/>
    <w:rsid w:val="004943A1"/>
    <w:rsid w:val="00494BF5"/>
    <w:rsid w:val="00494D43"/>
    <w:rsid w:val="0049588C"/>
    <w:rsid w:val="004964EC"/>
    <w:rsid w:val="00496C51"/>
    <w:rsid w:val="00497101"/>
    <w:rsid w:val="004977B0"/>
    <w:rsid w:val="00497F68"/>
    <w:rsid w:val="004A0AC8"/>
    <w:rsid w:val="004A1066"/>
    <w:rsid w:val="004A10FC"/>
    <w:rsid w:val="004A1671"/>
    <w:rsid w:val="004A2591"/>
    <w:rsid w:val="004A337F"/>
    <w:rsid w:val="004A3715"/>
    <w:rsid w:val="004A3930"/>
    <w:rsid w:val="004A3DF7"/>
    <w:rsid w:val="004A47A8"/>
    <w:rsid w:val="004A55C1"/>
    <w:rsid w:val="004A5669"/>
    <w:rsid w:val="004A572F"/>
    <w:rsid w:val="004A5930"/>
    <w:rsid w:val="004A6FB2"/>
    <w:rsid w:val="004A71D2"/>
    <w:rsid w:val="004A7574"/>
    <w:rsid w:val="004A7815"/>
    <w:rsid w:val="004A7B18"/>
    <w:rsid w:val="004A7C7E"/>
    <w:rsid w:val="004B050D"/>
    <w:rsid w:val="004B066C"/>
    <w:rsid w:val="004B0870"/>
    <w:rsid w:val="004B0BBD"/>
    <w:rsid w:val="004B1903"/>
    <w:rsid w:val="004B42DF"/>
    <w:rsid w:val="004B4360"/>
    <w:rsid w:val="004B4903"/>
    <w:rsid w:val="004B4F19"/>
    <w:rsid w:val="004B5314"/>
    <w:rsid w:val="004B5A3D"/>
    <w:rsid w:val="004B62C2"/>
    <w:rsid w:val="004B7031"/>
    <w:rsid w:val="004B76F6"/>
    <w:rsid w:val="004B7964"/>
    <w:rsid w:val="004C0DF9"/>
    <w:rsid w:val="004C1100"/>
    <w:rsid w:val="004C1813"/>
    <w:rsid w:val="004C1884"/>
    <w:rsid w:val="004C2162"/>
    <w:rsid w:val="004C3647"/>
    <w:rsid w:val="004C368C"/>
    <w:rsid w:val="004C45AB"/>
    <w:rsid w:val="004C54E0"/>
    <w:rsid w:val="004C634B"/>
    <w:rsid w:val="004C7554"/>
    <w:rsid w:val="004D0BFD"/>
    <w:rsid w:val="004D0E7B"/>
    <w:rsid w:val="004D0F08"/>
    <w:rsid w:val="004D1AD8"/>
    <w:rsid w:val="004D229C"/>
    <w:rsid w:val="004D2677"/>
    <w:rsid w:val="004D2700"/>
    <w:rsid w:val="004D2B8B"/>
    <w:rsid w:val="004D2BB2"/>
    <w:rsid w:val="004D3D34"/>
    <w:rsid w:val="004D3DFA"/>
    <w:rsid w:val="004D50F9"/>
    <w:rsid w:val="004D52A8"/>
    <w:rsid w:val="004D5608"/>
    <w:rsid w:val="004D56A2"/>
    <w:rsid w:val="004D5978"/>
    <w:rsid w:val="004D5EEE"/>
    <w:rsid w:val="004D643E"/>
    <w:rsid w:val="004D65F6"/>
    <w:rsid w:val="004D6F4E"/>
    <w:rsid w:val="004D76A8"/>
    <w:rsid w:val="004E02D2"/>
    <w:rsid w:val="004E0970"/>
    <w:rsid w:val="004E0B60"/>
    <w:rsid w:val="004E119C"/>
    <w:rsid w:val="004E12B9"/>
    <w:rsid w:val="004E17E9"/>
    <w:rsid w:val="004E1EEC"/>
    <w:rsid w:val="004E1FC9"/>
    <w:rsid w:val="004E25D3"/>
    <w:rsid w:val="004E32AC"/>
    <w:rsid w:val="004E3350"/>
    <w:rsid w:val="004E3918"/>
    <w:rsid w:val="004E3A97"/>
    <w:rsid w:val="004E3CCD"/>
    <w:rsid w:val="004E50F6"/>
    <w:rsid w:val="004E5287"/>
    <w:rsid w:val="004E58DA"/>
    <w:rsid w:val="004E59A9"/>
    <w:rsid w:val="004E601B"/>
    <w:rsid w:val="004E6553"/>
    <w:rsid w:val="004E65BD"/>
    <w:rsid w:val="004E68AE"/>
    <w:rsid w:val="004F0CBA"/>
    <w:rsid w:val="004F1E02"/>
    <w:rsid w:val="004F21A6"/>
    <w:rsid w:val="004F2477"/>
    <w:rsid w:val="004F33C8"/>
    <w:rsid w:val="004F3CC8"/>
    <w:rsid w:val="004F3D48"/>
    <w:rsid w:val="004F4DA0"/>
    <w:rsid w:val="004F4EC9"/>
    <w:rsid w:val="004F531F"/>
    <w:rsid w:val="004F5C78"/>
    <w:rsid w:val="004F5DED"/>
    <w:rsid w:val="004F67BE"/>
    <w:rsid w:val="004F6A8B"/>
    <w:rsid w:val="004F7792"/>
    <w:rsid w:val="004F7B5C"/>
    <w:rsid w:val="004F7EE1"/>
    <w:rsid w:val="005001FB"/>
    <w:rsid w:val="00500AD9"/>
    <w:rsid w:val="00501E6D"/>
    <w:rsid w:val="00502A03"/>
    <w:rsid w:val="0050351E"/>
    <w:rsid w:val="00504844"/>
    <w:rsid w:val="00505095"/>
    <w:rsid w:val="00505887"/>
    <w:rsid w:val="0050600A"/>
    <w:rsid w:val="0050749F"/>
    <w:rsid w:val="005077A6"/>
    <w:rsid w:val="0050788E"/>
    <w:rsid w:val="005100E6"/>
    <w:rsid w:val="00510866"/>
    <w:rsid w:val="00512C22"/>
    <w:rsid w:val="00512F51"/>
    <w:rsid w:val="0051304E"/>
    <w:rsid w:val="00513183"/>
    <w:rsid w:val="005131EC"/>
    <w:rsid w:val="00514B11"/>
    <w:rsid w:val="00514C3B"/>
    <w:rsid w:val="00516148"/>
    <w:rsid w:val="00516E72"/>
    <w:rsid w:val="00517375"/>
    <w:rsid w:val="00517AF0"/>
    <w:rsid w:val="00517B35"/>
    <w:rsid w:val="00517C29"/>
    <w:rsid w:val="00517F6D"/>
    <w:rsid w:val="00523332"/>
    <w:rsid w:val="00523460"/>
    <w:rsid w:val="0052383E"/>
    <w:rsid w:val="00523856"/>
    <w:rsid w:val="0052391F"/>
    <w:rsid w:val="005247E1"/>
    <w:rsid w:val="00524B5E"/>
    <w:rsid w:val="00524B7E"/>
    <w:rsid w:val="00524C8F"/>
    <w:rsid w:val="00525254"/>
    <w:rsid w:val="005263BC"/>
    <w:rsid w:val="005266EE"/>
    <w:rsid w:val="00526792"/>
    <w:rsid w:val="00526F00"/>
    <w:rsid w:val="00527ED8"/>
    <w:rsid w:val="00532806"/>
    <w:rsid w:val="00533281"/>
    <w:rsid w:val="005334B1"/>
    <w:rsid w:val="0053381C"/>
    <w:rsid w:val="00533EFA"/>
    <w:rsid w:val="005351A1"/>
    <w:rsid w:val="005357F2"/>
    <w:rsid w:val="0053623F"/>
    <w:rsid w:val="00536884"/>
    <w:rsid w:val="00537409"/>
    <w:rsid w:val="0053745E"/>
    <w:rsid w:val="00540065"/>
    <w:rsid w:val="00540AF1"/>
    <w:rsid w:val="00541217"/>
    <w:rsid w:val="0054140A"/>
    <w:rsid w:val="005427A7"/>
    <w:rsid w:val="00542EDF"/>
    <w:rsid w:val="00542F37"/>
    <w:rsid w:val="005432E8"/>
    <w:rsid w:val="005436CA"/>
    <w:rsid w:val="005439F5"/>
    <w:rsid w:val="00544D81"/>
    <w:rsid w:val="00545756"/>
    <w:rsid w:val="00546010"/>
    <w:rsid w:val="00546567"/>
    <w:rsid w:val="00546996"/>
    <w:rsid w:val="00546CD3"/>
    <w:rsid w:val="00547318"/>
    <w:rsid w:val="0055025A"/>
    <w:rsid w:val="005516EB"/>
    <w:rsid w:val="005516F1"/>
    <w:rsid w:val="00551936"/>
    <w:rsid w:val="00551A2B"/>
    <w:rsid w:val="00551FF1"/>
    <w:rsid w:val="005523FE"/>
    <w:rsid w:val="005536A0"/>
    <w:rsid w:val="00553AA2"/>
    <w:rsid w:val="00553B6D"/>
    <w:rsid w:val="00554400"/>
    <w:rsid w:val="00554A45"/>
    <w:rsid w:val="00554D11"/>
    <w:rsid w:val="00555185"/>
    <w:rsid w:val="00555578"/>
    <w:rsid w:val="00555CF1"/>
    <w:rsid w:val="00555CF6"/>
    <w:rsid w:val="00556842"/>
    <w:rsid w:val="005569C4"/>
    <w:rsid w:val="00556EBF"/>
    <w:rsid w:val="005575BA"/>
    <w:rsid w:val="00560506"/>
    <w:rsid w:val="00560BD3"/>
    <w:rsid w:val="005611EC"/>
    <w:rsid w:val="0056140C"/>
    <w:rsid w:val="005620C3"/>
    <w:rsid w:val="0056269C"/>
    <w:rsid w:val="00562CA5"/>
    <w:rsid w:val="0056310E"/>
    <w:rsid w:val="0056362A"/>
    <w:rsid w:val="00564B0E"/>
    <w:rsid w:val="005653E3"/>
    <w:rsid w:val="00565C2A"/>
    <w:rsid w:val="00565F73"/>
    <w:rsid w:val="005662D9"/>
    <w:rsid w:val="00566E13"/>
    <w:rsid w:val="00570910"/>
    <w:rsid w:val="00570AE1"/>
    <w:rsid w:val="005716B3"/>
    <w:rsid w:val="0057252E"/>
    <w:rsid w:val="00572737"/>
    <w:rsid w:val="00572819"/>
    <w:rsid w:val="0057509C"/>
    <w:rsid w:val="005756C0"/>
    <w:rsid w:val="005768D1"/>
    <w:rsid w:val="0057694D"/>
    <w:rsid w:val="00576AD5"/>
    <w:rsid w:val="00576E2A"/>
    <w:rsid w:val="00576F39"/>
    <w:rsid w:val="005777CA"/>
    <w:rsid w:val="00577A1F"/>
    <w:rsid w:val="00577AED"/>
    <w:rsid w:val="0058046C"/>
    <w:rsid w:val="005807CF"/>
    <w:rsid w:val="005807D9"/>
    <w:rsid w:val="00580FB6"/>
    <w:rsid w:val="005810C2"/>
    <w:rsid w:val="00581741"/>
    <w:rsid w:val="005824B8"/>
    <w:rsid w:val="005832ED"/>
    <w:rsid w:val="0058505D"/>
    <w:rsid w:val="005853DD"/>
    <w:rsid w:val="005857C5"/>
    <w:rsid w:val="00586886"/>
    <w:rsid w:val="00587397"/>
    <w:rsid w:val="005876EE"/>
    <w:rsid w:val="00591BFC"/>
    <w:rsid w:val="00591F4C"/>
    <w:rsid w:val="005935DA"/>
    <w:rsid w:val="005938D2"/>
    <w:rsid w:val="0059403E"/>
    <w:rsid w:val="0059423B"/>
    <w:rsid w:val="0059428A"/>
    <w:rsid w:val="0059458E"/>
    <w:rsid w:val="00594A2D"/>
    <w:rsid w:val="005955A1"/>
    <w:rsid w:val="00595EDE"/>
    <w:rsid w:val="00596761"/>
    <w:rsid w:val="00596EF1"/>
    <w:rsid w:val="00597BE5"/>
    <w:rsid w:val="005A08CC"/>
    <w:rsid w:val="005A0C5E"/>
    <w:rsid w:val="005A0DC4"/>
    <w:rsid w:val="005A143C"/>
    <w:rsid w:val="005A230E"/>
    <w:rsid w:val="005A2623"/>
    <w:rsid w:val="005A3522"/>
    <w:rsid w:val="005A3527"/>
    <w:rsid w:val="005A3A48"/>
    <w:rsid w:val="005A3CBB"/>
    <w:rsid w:val="005A465F"/>
    <w:rsid w:val="005A4B70"/>
    <w:rsid w:val="005A4BB1"/>
    <w:rsid w:val="005A51AC"/>
    <w:rsid w:val="005A59B7"/>
    <w:rsid w:val="005A6121"/>
    <w:rsid w:val="005A61DD"/>
    <w:rsid w:val="005A77EE"/>
    <w:rsid w:val="005A7BB7"/>
    <w:rsid w:val="005B0629"/>
    <w:rsid w:val="005B2B2F"/>
    <w:rsid w:val="005B3272"/>
    <w:rsid w:val="005B4AD4"/>
    <w:rsid w:val="005B4DB5"/>
    <w:rsid w:val="005B4DB9"/>
    <w:rsid w:val="005B5261"/>
    <w:rsid w:val="005B68BF"/>
    <w:rsid w:val="005B77DB"/>
    <w:rsid w:val="005B7C65"/>
    <w:rsid w:val="005C09AD"/>
    <w:rsid w:val="005C14B9"/>
    <w:rsid w:val="005C1E3B"/>
    <w:rsid w:val="005C201D"/>
    <w:rsid w:val="005C29E1"/>
    <w:rsid w:val="005C2D9C"/>
    <w:rsid w:val="005C403F"/>
    <w:rsid w:val="005C4158"/>
    <w:rsid w:val="005C4346"/>
    <w:rsid w:val="005C49EF"/>
    <w:rsid w:val="005C4BB2"/>
    <w:rsid w:val="005C4D56"/>
    <w:rsid w:val="005C5EC8"/>
    <w:rsid w:val="005C6483"/>
    <w:rsid w:val="005C6A1E"/>
    <w:rsid w:val="005C6D1F"/>
    <w:rsid w:val="005C7358"/>
    <w:rsid w:val="005C7E93"/>
    <w:rsid w:val="005D0188"/>
    <w:rsid w:val="005D158B"/>
    <w:rsid w:val="005D15CB"/>
    <w:rsid w:val="005D1619"/>
    <w:rsid w:val="005D1BE9"/>
    <w:rsid w:val="005D2271"/>
    <w:rsid w:val="005D2941"/>
    <w:rsid w:val="005D2F00"/>
    <w:rsid w:val="005D2F31"/>
    <w:rsid w:val="005D30D1"/>
    <w:rsid w:val="005D36C6"/>
    <w:rsid w:val="005D3D4B"/>
    <w:rsid w:val="005D4213"/>
    <w:rsid w:val="005D5C22"/>
    <w:rsid w:val="005D6F3B"/>
    <w:rsid w:val="005D78FF"/>
    <w:rsid w:val="005D7AC5"/>
    <w:rsid w:val="005E0267"/>
    <w:rsid w:val="005E08AC"/>
    <w:rsid w:val="005E10B5"/>
    <w:rsid w:val="005E16B4"/>
    <w:rsid w:val="005E1A64"/>
    <w:rsid w:val="005E1AA5"/>
    <w:rsid w:val="005E20CC"/>
    <w:rsid w:val="005E2E9B"/>
    <w:rsid w:val="005E36AA"/>
    <w:rsid w:val="005E4F56"/>
    <w:rsid w:val="005E50F5"/>
    <w:rsid w:val="005E60AA"/>
    <w:rsid w:val="005E65B4"/>
    <w:rsid w:val="005E6E8F"/>
    <w:rsid w:val="005F0253"/>
    <w:rsid w:val="005F05B7"/>
    <w:rsid w:val="005F05E9"/>
    <w:rsid w:val="005F1530"/>
    <w:rsid w:val="005F1C1E"/>
    <w:rsid w:val="005F25F1"/>
    <w:rsid w:val="005F29EC"/>
    <w:rsid w:val="005F2B1F"/>
    <w:rsid w:val="005F4247"/>
    <w:rsid w:val="005F4A68"/>
    <w:rsid w:val="005F4BA7"/>
    <w:rsid w:val="005F4D76"/>
    <w:rsid w:val="005F4FF0"/>
    <w:rsid w:val="005F5361"/>
    <w:rsid w:val="005F6418"/>
    <w:rsid w:val="005F6826"/>
    <w:rsid w:val="005F6E52"/>
    <w:rsid w:val="005F6E94"/>
    <w:rsid w:val="005F7E04"/>
    <w:rsid w:val="00600563"/>
    <w:rsid w:val="00600A18"/>
    <w:rsid w:val="00600F9A"/>
    <w:rsid w:val="00601671"/>
    <w:rsid w:val="006018B5"/>
    <w:rsid w:val="00601C6C"/>
    <w:rsid w:val="00601E7B"/>
    <w:rsid w:val="00601F21"/>
    <w:rsid w:val="00601F48"/>
    <w:rsid w:val="006030F3"/>
    <w:rsid w:val="0060326C"/>
    <w:rsid w:val="006032A1"/>
    <w:rsid w:val="00603FB4"/>
    <w:rsid w:val="00605186"/>
    <w:rsid w:val="006054BC"/>
    <w:rsid w:val="00605D43"/>
    <w:rsid w:val="00605E08"/>
    <w:rsid w:val="00605E7B"/>
    <w:rsid w:val="0060658C"/>
    <w:rsid w:val="00606A09"/>
    <w:rsid w:val="00607097"/>
    <w:rsid w:val="00607B80"/>
    <w:rsid w:val="00610133"/>
    <w:rsid w:val="006102DB"/>
    <w:rsid w:val="006102EE"/>
    <w:rsid w:val="00610A2C"/>
    <w:rsid w:val="006111EA"/>
    <w:rsid w:val="00612F79"/>
    <w:rsid w:val="00613D85"/>
    <w:rsid w:val="00613E77"/>
    <w:rsid w:val="00613F9E"/>
    <w:rsid w:val="00614276"/>
    <w:rsid w:val="00614B06"/>
    <w:rsid w:val="00614C93"/>
    <w:rsid w:val="00616909"/>
    <w:rsid w:val="00616940"/>
    <w:rsid w:val="00616F3B"/>
    <w:rsid w:val="00617427"/>
    <w:rsid w:val="006208BD"/>
    <w:rsid w:val="0062124A"/>
    <w:rsid w:val="006212B9"/>
    <w:rsid w:val="0062184F"/>
    <w:rsid w:val="00621A5F"/>
    <w:rsid w:val="00622A55"/>
    <w:rsid w:val="00623603"/>
    <w:rsid w:val="00623876"/>
    <w:rsid w:val="00623890"/>
    <w:rsid w:val="006238CB"/>
    <w:rsid w:val="00624E5F"/>
    <w:rsid w:val="00625732"/>
    <w:rsid w:val="00625882"/>
    <w:rsid w:val="00625D6F"/>
    <w:rsid w:val="00625D81"/>
    <w:rsid w:val="0062625A"/>
    <w:rsid w:val="006267F2"/>
    <w:rsid w:val="00626AC6"/>
    <w:rsid w:val="006279F1"/>
    <w:rsid w:val="00627AF0"/>
    <w:rsid w:val="00630445"/>
    <w:rsid w:val="00630F9E"/>
    <w:rsid w:val="00631744"/>
    <w:rsid w:val="00631D60"/>
    <w:rsid w:val="00632E05"/>
    <w:rsid w:val="006330EA"/>
    <w:rsid w:val="006339B3"/>
    <w:rsid w:val="00633BDB"/>
    <w:rsid w:val="00633C84"/>
    <w:rsid w:val="00634200"/>
    <w:rsid w:val="00634A61"/>
    <w:rsid w:val="006352EC"/>
    <w:rsid w:val="00635B1A"/>
    <w:rsid w:val="00636B2E"/>
    <w:rsid w:val="00636C6F"/>
    <w:rsid w:val="00636F26"/>
    <w:rsid w:val="00637E33"/>
    <w:rsid w:val="00637F33"/>
    <w:rsid w:val="00640844"/>
    <w:rsid w:val="006423DA"/>
    <w:rsid w:val="006424DA"/>
    <w:rsid w:val="00642EE3"/>
    <w:rsid w:val="0064330B"/>
    <w:rsid w:val="0064364F"/>
    <w:rsid w:val="00644D9D"/>
    <w:rsid w:val="00644DFB"/>
    <w:rsid w:val="00644F32"/>
    <w:rsid w:val="00646653"/>
    <w:rsid w:val="00646780"/>
    <w:rsid w:val="00646808"/>
    <w:rsid w:val="006476D3"/>
    <w:rsid w:val="00647D93"/>
    <w:rsid w:val="0065224A"/>
    <w:rsid w:val="006523FA"/>
    <w:rsid w:val="00652EA4"/>
    <w:rsid w:val="006531BB"/>
    <w:rsid w:val="006533C8"/>
    <w:rsid w:val="00653519"/>
    <w:rsid w:val="00654059"/>
    <w:rsid w:val="00655DAE"/>
    <w:rsid w:val="006560A1"/>
    <w:rsid w:val="006562F3"/>
    <w:rsid w:val="006564CA"/>
    <w:rsid w:val="006568AC"/>
    <w:rsid w:val="00656F9C"/>
    <w:rsid w:val="0065715A"/>
    <w:rsid w:val="006575F9"/>
    <w:rsid w:val="006603F0"/>
    <w:rsid w:val="006605E9"/>
    <w:rsid w:val="00661213"/>
    <w:rsid w:val="0066292A"/>
    <w:rsid w:val="0066314B"/>
    <w:rsid w:val="006635C1"/>
    <w:rsid w:val="006636AB"/>
    <w:rsid w:val="00663EF2"/>
    <w:rsid w:val="00664566"/>
    <w:rsid w:val="006648A7"/>
    <w:rsid w:val="0066511C"/>
    <w:rsid w:val="0066585E"/>
    <w:rsid w:val="00665D17"/>
    <w:rsid w:val="00666626"/>
    <w:rsid w:val="00666A07"/>
    <w:rsid w:val="00666DB2"/>
    <w:rsid w:val="00667579"/>
    <w:rsid w:val="00670BC9"/>
    <w:rsid w:val="00670D5C"/>
    <w:rsid w:val="00671851"/>
    <w:rsid w:val="00671B08"/>
    <w:rsid w:val="00673EEA"/>
    <w:rsid w:val="006750A1"/>
    <w:rsid w:val="00675A6C"/>
    <w:rsid w:val="006762E9"/>
    <w:rsid w:val="00676722"/>
    <w:rsid w:val="00677493"/>
    <w:rsid w:val="00677583"/>
    <w:rsid w:val="00677B17"/>
    <w:rsid w:val="0068007E"/>
    <w:rsid w:val="00680B5A"/>
    <w:rsid w:val="00680F83"/>
    <w:rsid w:val="00681D14"/>
    <w:rsid w:val="00682A9E"/>
    <w:rsid w:val="006835E1"/>
    <w:rsid w:val="0068394F"/>
    <w:rsid w:val="00685417"/>
    <w:rsid w:val="006858BB"/>
    <w:rsid w:val="00685A43"/>
    <w:rsid w:val="006862B5"/>
    <w:rsid w:val="00686BC4"/>
    <w:rsid w:val="00686C24"/>
    <w:rsid w:val="00686DC3"/>
    <w:rsid w:val="00687A11"/>
    <w:rsid w:val="00690E7B"/>
    <w:rsid w:val="006927CD"/>
    <w:rsid w:val="006928EF"/>
    <w:rsid w:val="006939B3"/>
    <w:rsid w:val="00693FB3"/>
    <w:rsid w:val="006950DD"/>
    <w:rsid w:val="0069594B"/>
    <w:rsid w:val="00695BA1"/>
    <w:rsid w:val="006960C5"/>
    <w:rsid w:val="00696594"/>
    <w:rsid w:val="006965EB"/>
    <w:rsid w:val="006966BB"/>
    <w:rsid w:val="00696702"/>
    <w:rsid w:val="00696A37"/>
    <w:rsid w:val="00697ACC"/>
    <w:rsid w:val="00697C72"/>
    <w:rsid w:val="00697E97"/>
    <w:rsid w:val="006A00A5"/>
    <w:rsid w:val="006A0444"/>
    <w:rsid w:val="006A07A9"/>
    <w:rsid w:val="006A11B3"/>
    <w:rsid w:val="006A19DC"/>
    <w:rsid w:val="006A1A21"/>
    <w:rsid w:val="006A3645"/>
    <w:rsid w:val="006A49BA"/>
    <w:rsid w:val="006A5099"/>
    <w:rsid w:val="006A58FC"/>
    <w:rsid w:val="006A6A6D"/>
    <w:rsid w:val="006A6CDD"/>
    <w:rsid w:val="006A714D"/>
    <w:rsid w:val="006A7FA0"/>
    <w:rsid w:val="006B0B30"/>
    <w:rsid w:val="006B0EF8"/>
    <w:rsid w:val="006B1268"/>
    <w:rsid w:val="006B19A6"/>
    <w:rsid w:val="006B1DC1"/>
    <w:rsid w:val="006B2437"/>
    <w:rsid w:val="006B328D"/>
    <w:rsid w:val="006B3FAD"/>
    <w:rsid w:val="006B4108"/>
    <w:rsid w:val="006B42E4"/>
    <w:rsid w:val="006B4E54"/>
    <w:rsid w:val="006B5645"/>
    <w:rsid w:val="006B5725"/>
    <w:rsid w:val="006B5876"/>
    <w:rsid w:val="006B5A0D"/>
    <w:rsid w:val="006B63D4"/>
    <w:rsid w:val="006B792D"/>
    <w:rsid w:val="006B79C4"/>
    <w:rsid w:val="006B7EEB"/>
    <w:rsid w:val="006B7FD9"/>
    <w:rsid w:val="006C03A8"/>
    <w:rsid w:val="006C073F"/>
    <w:rsid w:val="006C1639"/>
    <w:rsid w:val="006C1A62"/>
    <w:rsid w:val="006C1BBB"/>
    <w:rsid w:val="006C1D10"/>
    <w:rsid w:val="006C3C6E"/>
    <w:rsid w:val="006C5760"/>
    <w:rsid w:val="006C6709"/>
    <w:rsid w:val="006C6A0F"/>
    <w:rsid w:val="006C6B55"/>
    <w:rsid w:val="006C70B3"/>
    <w:rsid w:val="006D01DB"/>
    <w:rsid w:val="006D07F2"/>
    <w:rsid w:val="006D18A3"/>
    <w:rsid w:val="006D22A3"/>
    <w:rsid w:val="006D26B7"/>
    <w:rsid w:val="006D27BE"/>
    <w:rsid w:val="006D2F35"/>
    <w:rsid w:val="006D419E"/>
    <w:rsid w:val="006D48CD"/>
    <w:rsid w:val="006D4C2F"/>
    <w:rsid w:val="006D5154"/>
    <w:rsid w:val="006D572F"/>
    <w:rsid w:val="006D59CD"/>
    <w:rsid w:val="006D5C71"/>
    <w:rsid w:val="006D5CCF"/>
    <w:rsid w:val="006D6544"/>
    <w:rsid w:val="006D6DD5"/>
    <w:rsid w:val="006D783F"/>
    <w:rsid w:val="006D785C"/>
    <w:rsid w:val="006D7D7B"/>
    <w:rsid w:val="006D7EA9"/>
    <w:rsid w:val="006E1532"/>
    <w:rsid w:val="006E1C67"/>
    <w:rsid w:val="006E210D"/>
    <w:rsid w:val="006E234E"/>
    <w:rsid w:val="006E2754"/>
    <w:rsid w:val="006E28A5"/>
    <w:rsid w:val="006E2C11"/>
    <w:rsid w:val="006E2DFA"/>
    <w:rsid w:val="006E32F4"/>
    <w:rsid w:val="006E3320"/>
    <w:rsid w:val="006E3456"/>
    <w:rsid w:val="006E3FCC"/>
    <w:rsid w:val="006E4FAB"/>
    <w:rsid w:val="006E4FB2"/>
    <w:rsid w:val="006E589D"/>
    <w:rsid w:val="006E6419"/>
    <w:rsid w:val="006E7374"/>
    <w:rsid w:val="006E7807"/>
    <w:rsid w:val="006E7825"/>
    <w:rsid w:val="006E78BF"/>
    <w:rsid w:val="006E794D"/>
    <w:rsid w:val="006E7B84"/>
    <w:rsid w:val="006E7F9C"/>
    <w:rsid w:val="006E7FA3"/>
    <w:rsid w:val="006F1C7B"/>
    <w:rsid w:val="006F1F5C"/>
    <w:rsid w:val="006F2DC1"/>
    <w:rsid w:val="006F3629"/>
    <w:rsid w:val="006F3BC7"/>
    <w:rsid w:val="006F46FC"/>
    <w:rsid w:val="006F4AC0"/>
    <w:rsid w:val="006F4F1F"/>
    <w:rsid w:val="006F5784"/>
    <w:rsid w:val="006F5A63"/>
    <w:rsid w:val="006F6327"/>
    <w:rsid w:val="006F6C56"/>
    <w:rsid w:val="0070054C"/>
    <w:rsid w:val="007010C1"/>
    <w:rsid w:val="00701567"/>
    <w:rsid w:val="007015A6"/>
    <w:rsid w:val="00702715"/>
    <w:rsid w:val="00702A0B"/>
    <w:rsid w:val="00702C86"/>
    <w:rsid w:val="0070351A"/>
    <w:rsid w:val="007035D2"/>
    <w:rsid w:val="00704BE4"/>
    <w:rsid w:val="00705824"/>
    <w:rsid w:val="00705D31"/>
    <w:rsid w:val="00706F67"/>
    <w:rsid w:val="00707245"/>
    <w:rsid w:val="00707F34"/>
    <w:rsid w:val="00710297"/>
    <w:rsid w:val="00711079"/>
    <w:rsid w:val="00711245"/>
    <w:rsid w:val="007113CC"/>
    <w:rsid w:val="00711B60"/>
    <w:rsid w:val="007125E6"/>
    <w:rsid w:val="0071283E"/>
    <w:rsid w:val="00712AF9"/>
    <w:rsid w:val="00712ED2"/>
    <w:rsid w:val="0071329C"/>
    <w:rsid w:val="007139EF"/>
    <w:rsid w:val="00714BA6"/>
    <w:rsid w:val="0071566B"/>
    <w:rsid w:val="00715A8C"/>
    <w:rsid w:val="00716285"/>
    <w:rsid w:val="00716B89"/>
    <w:rsid w:val="00716FB9"/>
    <w:rsid w:val="00717555"/>
    <w:rsid w:val="00717D96"/>
    <w:rsid w:val="00717F98"/>
    <w:rsid w:val="00721239"/>
    <w:rsid w:val="007215A8"/>
    <w:rsid w:val="00723A08"/>
    <w:rsid w:val="00723A39"/>
    <w:rsid w:val="00723E9C"/>
    <w:rsid w:val="0072573A"/>
    <w:rsid w:val="00725B3A"/>
    <w:rsid w:val="007263E0"/>
    <w:rsid w:val="00726AB4"/>
    <w:rsid w:val="00726BFE"/>
    <w:rsid w:val="00726DA5"/>
    <w:rsid w:val="00727E10"/>
    <w:rsid w:val="00727E6E"/>
    <w:rsid w:val="00730074"/>
    <w:rsid w:val="00730119"/>
    <w:rsid w:val="00730373"/>
    <w:rsid w:val="00731823"/>
    <w:rsid w:val="00731857"/>
    <w:rsid w:val="00731A9B"/>
    <w:rsid w:val="007328FB"/>
    <w:rsid w:val="007330C6"/>
    <w:rsid w:val="00733132"/>
    <w:rsid w:val="00733D9E"/>
    <w:rsid w:val="0073492E"/>
    <w:rsid w:val="00735052"/>
    <w:rsid w:val="00736218"/>
    <w:rsid w:val="007367C6"/>
    <w:rsid w:val="00736FCE"/>
    <w:rsid w:val="00737BC5"/>
    <w:rsid w:val="0074107C"/>
    <w:rsid w:val="007412AA"/>
    <w:rsid w:val="00741606"/>
    <w:rsid w:val="00741B08"/>
    <w:rsid w:val="00741EB0"/>
    <w:rsid w:val="00742591"/>
    <w:rsid w:val="007428E0"/>
    <w:rsid w:val="00742AC2"/>
    <w:rsid w:val="00742BF7"/>
    <w:rsid w:val="00742DD8"/>
    <w:rsid w:val="00744470"/>
    <w:rsid w:val="00745182"/>
    <w:rsid w:val="0074521C"/>
    <w:rsid w:val="00745DCF"/>
    <w:rsid w:val="00750123"/>
    <w:rsid w:val="007501C2"/>
    <w:rsid w:val="0075020B"/>
    <w:rsid w:val="00751359"/>
    <w:rsid w:val="007513DA"/>
    <w:rsid w:val="0075146B"/>
    <w:rsid w:val="00752495"/>
    <w:rsid w:val="00752961"/>
    <w:rsid w:val="00752A3B"/>
    <w:rsid w:val="00753451"/>
    <w:rsid w:val="007545D4"/>
    <w:rsid w:val="00755061"/>
    <w:rsid w:val="00756AE9"/>
    <w:rsid w:val="007603EA"/>
    <w:rsid w:val="00760515"/>
    <w:rsid w:val="007605A6"/>
    <w:rsid w:val="007612C7"/>
    <w:rsid w:val="007614DF"/>
    <w:rsid w:val="0076215F"/>
    <w:rsid w:val="00762589"/>
    <w:rsid w:val="00762BDB"/>
    <w:rsid w:val="0076339F"/>
    <w:rsid w:val="0076352E"/>
    <w:rsid w:val="00763706"/>
    <w:rsid w:val="00763AB9"/>
    <w:rsid w:val="00763B15"/>
    <w:rsid w:val="00764692"/>
    <w:rsid w:val="00765527"/>
    <w:rsid w:val="0076598B"/>
    <w:rsid w:val="00765C10"/>
    <w:rsid w:val="00765D80"/>
    <w:rsid w:val="00766734"/>
    <w:rsid w:val="007670F3"/>
    <w:rsid w:val="007672A3"/>
    <w:rsid w:val="007703ED"/>
    <w:rsid w:val="0077163D"/>
    <w:rsid w:val="007718B8"/>
    <w:rsid w:val="00774C74"/>
    <w:rsid w:val="00775174"/>
    <w:rsid w:val="00775342"/>
    <w:rsid w:val="0077549A"/>
    <w:rsid w:val="00775EF5"/>
    <w:rsid w:val="00776B18"/>
    <w:rsid w:val="0077717F"/>
    <w:rsid w:val="00780190"/>
    <w:rsid w:val="007806A2"/>
    <w:rsid w:val="0078082A"/>
    <w:rsid w:val="00780B6B"/>
    <w:rsid w:val="007810A9"/>
    <w:rsid w:val="00781296"/>
    <w:rsid w:val="00781978"/>
    <w:rsid w:val="00781C4B"/>
    <w:rsid w:val="00782720"/>
    <w:rsid w:val="00782894"/>
    <w:rsid w:val="007838CA"/>
    <w:rsid w:val="007838D2"/>
    <w:rsid w:val="00783D93"/>
    <w:rsid w:val="00784525"/>
    <w:rsid w:val="00784577"/>
    <w:rsid w:val="00784819"/>
    <w:rsid w:val="00784C65"/>
    <w:rsid w:val="00785674"/>
    <w:rsid w:val="00785791"/>
    <w:rsid w:val="00787784"/>
    <w:rsid w:val="00787D6D"/>
    <w:rsid w:val="00790070"/>
    <w:rsid w:val="00790C15"/>
    <w:rsid w:val="00791EE9"/>
    <w:rsid w:val="00792274"/>
    <w:rsid w:val="00792A87"/>
    <w:rsid w:val="0079302B"/>
    <w:rsid w:val="007932B2"/>
    <w:rsid w:val="0079351C"/>
    <w:rsid w:val="00794FF9"/>
    <w:rsid w:val="00795C65"/>
    <w:rsid w:val="00796226"/>
    <w:rsid w:val="00796811"/>
    <w:rsid w:val="00796B59"/>
    <w:rsid w:val="007974D5"/>
    <w:rsid w:val="007975C0"/>
    <w:rsid w:val="00797B13"/>
    <w:rsid w:val="007A0A29"/>
    <w:rsid w:val="007A1087"/>
    <w:rsid w:val="007A14AF"/>
    <w:rsid w:val="007A14F8"/>
    <w:rsid w:val="007A1516"/>
    <w:rsid w:val="007A17A4"/>
    <w:rsid w:val="007A18A9"/>
    <w:rsid w:val="007A1DAA"/>
    <w:rsid w:val="007A251D"/>
    <w:rsid w:val="007A2835"/>
    <w:rsid w:val="007A3871"/>
    <w:rsid w:val="007A4033"/>
    <w:rsid w:val="007A4AAE"/>
    <w:rsid w:val="007A750F"/>
    <w:rsid w:val="007A7D8A"/>
    <w:rsid w:val="007B01B7"/>
    <w:rsid w:val="007B0468"/>
    <w:rsid w:val="007B06D8"/>
    <w:rsid w:val="007B1E90"/>
    <w:rsid w:val="007B36BA"/>
    <w:rsid w:val="007B3D9E"/>
    <w:rsid w:val="007B43A2"/>
    <w:rsid w:val="007B4E34"/>
    <w:rsid w:val="007B4F42"/>
    <w:rsid w:val="007B5528"/>
    <w:rsid w:val="007B5E4C"/>
    <w:rsid w:val="007B7D36"/>
    <w:rsid w:val="007C07A4"/>
    <w:rsid w:val="007C0C74"/>
    <w:rsid w:val="007C0CCE"/>
    <w:rsid w:val="007C18EA"/>
    <w:rsid w:val="007C2157"/>
    <w:rsid w:val="007C2818"/>
    <w:rsid w:val="007C2F36"/>
    <w:rsid w:val="007C350D"/>
    <w:rsid w:val="007C54ED"/>
    <w:rsid w:val="007C57EA"/>
    <w:rsid w:val="007C5C5D"/>
    <w:rsid w:val="007C6A74"/>
    <w:rsid w:val="007C7A56"/>
    <w:rsid w:val="007D1088"/>
    <w:rsid w:val="007D2627"/>
    <w:rsid w:val="007D4370"/>
    <w:rsid w:val="007D4408"/>
    <w:rsid w:val="007D4E84"/>
    <w:rsid w:val="007D5651"/>
    <w:rsid w:val="007D5798"/>
    <w:rsid w:val="007D74A8"/>
    <w:rsid w:val="007D7B70"/>
    <w:rsid w:val="007D7DB0"/>
    <w:rsid w:val="007E0534"/>
    <w:rsid w:val="007E07A9"/>
    <w:rsid w:val="007E085B"/>
    <w:rsid w:val="007E0C7E"/>
    <w:rsid w:val="007E1CC1"/>
    <w:rsid w:val="007E219D"/>
    <w:rsid w:val="007E26D4"/>
    <w:rsid w:val="007E2BCC"/>
    <w:rsid w:val="007E2C7C"/>
    <w:rsid w:val="007E3047"/>
    <w:rsid w:val="007E4A87"/>
    <w:rsid w:val="007E5582"/>
    <w:rsid w:val="007E6185"/>
    <w:rsid w:val="007E6B41"/>
    <w:rsid w:val="007E6DF1"/>
    <w:rsid w:val="007E6EC4"/>
    <w:rsid w:val="007E7582"/>
    <w:rsid w:val="007E784B"/>
    <w:rsid w:val="007E792E"/>
    <w:rsid w:val="007F026A"/>
    <w:rsid w:val="007F0708"/>
    <w:rsid w:val="007F10F0"/>
    <w:rsid w:val="007F29CF"/>
    <w:rsid w:val="007F33F8"/>
    <w:rsid w:val="007F455A"/>
    <w:rsid w:val="007F4575"/>
    <w:rsid w:val="007F5C2D"/>
    <w:rsid w:val="007F67F8"/>
    <w:rsid w:val="007F6E76"/>
    <w:rsid w:val="007F6E99"/>
    <w:rsid w:val="007F7D5C"/>
    <w:rsid w:val="00800A7E"/>
    <w:rsid w:val="00800DA5"/>
    <w:rsid w:val="00801329"/>
    <w:rsid w:val="00801581"/>
    <w:rsid w:val="008017E9"/>
    <w:rsid w:val="008024B9"/>
    <w:rsid w:val="00802671"/>
    <w:rsid w:val="00802CFC"/>
    <w:rsid w:val="00803EAA"/>
    <w:rsid w:val="00803F8E"/>
    <w:rsid w:val="0080418D"/>
    <w:rsid w:val="0080473D"/>
    <w:rsid w:val="008050EC"/>
    <w:rsid w:val="00805D07"/>
    <w:rsid w:val="00806D46"/>
    <w:rsid w:val="0081084D"/>
    <w:rsid w:val="008117B5"/>
    <w:rsid w:val="00812029"/>
    <w:rsid w:val="008121A5"/>
    <w:rsid w:val="00812CE6"/>
    <w:rsid w:val="00813856"/>
    <w:rsid w:val="008138DD"/>
    <w:rsid w:val="00814337"/>
    <w:rsid w:val="00815178"/>
    <w:rsid w:val="0081549D"/>
    <w:rsid w:val="00815770"/>
    <w:rsid w:val="008157CF"/>
    <w:rsid w:val="00815882"/>
    <w:rsid w:val="008161C6"/>
    <w:rsid w:val="008162AB"/>
    <w:rsid w:val="00816775"/>
    <w:rsid w:val="008170BD"/>
    <w:rsid w:val="00817632"/>
    <w:rsid w:val="00817C09"/>
    <w:rsid w:val="00817F76"/>
    <w:rsid w:val="008218E9"/>
    <w:rsid w:val="00823440"/>
    <w:rsid w:val="00823749"/>
    <w:rsid w:val="00823EA1"/>
    <w:rsid w:val="0082429F"/>
    <w:rsid w:val="008264A2"/>
    <w:rsid w:val="0082732E"/>
    <w:rsid w:val="008279F3"/>
    <w:rsid w:val="00830113"/>
    <w:rsid w:val="008307B7"/>
    <w:rsid w:val="00830BEB"/>
    <w:rsid w:val="00830FDD"/>
    <w:rsid w:val="008313F3"/>
    <w:rsid w:val="00831AD7"/>
    <w:rsid w:val="00831DE1"/>
    <w:rsid w:val="00831EB5"/>
    <w:rsid w:val="00832487"/>
    <w:rsid w:val="00832534"/>
    <w:rsid w:val="0083328C"/>
    <w:rsid w:val="0083383A"/>
    <w:rsid w:val="008339DD"/>
    <w:rsid w:val="00833AE0"/>
    <w:rsid w:val="00834158"/>
    <w:rsid w:val="00834CCC"/>
    <w:rsid w:val="00834ED4"/>
    <w:rsid w:val="00835A5E"/>
    <w:rsid w:val="00836195"/>
    <w:rsid w:val="00836CA6"/>
    <w:rsid w:val="00836E24"/>
    <w:rsid w:val="00836FEC"/>
    <w:rsid w:val="00837A2E"/>
    <w:rsid w:val="00840AFA"/>
    <w:rsid w:val="008412E0"/>
    <w:rsid w:val="00841F97"/>
    <w:rsid w:val="00842690"/>
    <w:rsid w:val="008432EA"/>
    <w:rsid w:val="008434CB"/>
    <w:rsid w:val="008437B4"/>
    <w:rsid w:val="008442A3"/>
    <w:rsid w:val="00844606"/>
    <w:rsid w:val="00844BBD"/>
    <w:rsid w:val="00844BF4"/>
    <w:rsid w:val="008450E7"/>
    <w:rsid w:val="0084516C"/>
    <w:rsid w:val="00845469"/>
    <w:rsid w:val="008474D2"/>
    <w:rsid w:val="008479DE"/>
    <w:rsid w:val="00847EB1"/>
    <w:rsid w:val="00850565"/>
    <w:rsid w:val="0085073E"/>
    <w:rsid w:val="00852557"/>
    <w:rsid w:val="0085347B"/>
    <w:rsid w:val="00853FFC"/>
    <w:rsid w:val="00854869"/>
    <w:rsid w:val="00854F8C"/>
    <w:rsid w:val="008553A2"/>
    <w:rsid w:val="008553BA"/>
    <w:rsid w:val="00855B3B"/>
    <w:rsid w:val="00856067"/>
    <w:rsid w:val="00856121"/>
    <w:rsid w:val="008561FF"/>
    <w:rsid w:val="008568B5"/>
    <w:rsid w:val="008569F2"/>
    <w:rsid w:val="008573F2"/>
    <w:rsid w:val="00857F15"/>
    <w:rsid w:val="00860B55"/>
    <w:rsid w:val="008611B2"/>
    <w:rsid w:val="008619D2"/>
    <w:rsid w:val="00861ED1"/>
    <w:rsid w:val="008628E2"/>
    <w:rsid w:val="008631E7"/>
    <w:rsid w:val="00864064"/>
    <w:rsid w:val="0086482B"/>
    <w:rsid w:val="0086496A"/>
    <w:rsid w:val="00864DC9"/>
    <w:rsid w:val="008657BF"/>
    <w:rsid w:val="00865A2B"/>
    <w:rsid w:val="0086638E"/>
    <w:rsid w:val="008707E2"/>
    <w:rsid w:val="00871553"/>
    <w:rsid w:val="00872517"/>
    <w:rsid w:val="00872686"/>
    <w:rsid w:val="008727E8"/>
    <w:rsid w:val="0087298B"/>
    <w:rsid w:val="00872B14"/>
    <w:rsid w:val="00872B23"/>
    <w:rsid w:val="00872BC9"/>
    <w:rsid w:val="00872CE5"/>
    <w:rsid w:val="00872E53"/>
    <w:rsid w:val="00872E56"/>
    <w:rsid w:val="008739EB"/>
    <w:rsid w:val="00874244"/>
    <w:rsid w:val="00874D82"/>
    <w:rsid w:val="0087529D"/>
    <w:rsid w:val="00875A74"/>
    <w:rsid w:val="00876AC7"/>
    <w:rsid w:val="00877450"/>
    <w:rsid w:val="008775F0"/>
    <w:rsid w:val="008776B4"/>
    <w:rsid w:val="008803E8"/>
    <w:rsid w:val="00880972"/>
    <w:rsid w:val="008812B4"/>
    <w:rsid w:val="0088196E"/>
    <w:rsid w:val="00881ADD"/>
    <w:rsid w:val="00881D98"/>
    <w:rsid w:val="008823F6"/>
    <w:rsid w:val="00882491"/>
    <w:rsid w:val="00882B1A"/>
    <w:rsid w:val="00882F9A"/>
    <w:rsid w:val="0088301F"/>
    <w:rsid w:val="00883694"/>
    <w:rsid w:val="008839EE"/>
    <w:rsid w:val="00883DAC"/>
    <w:rsid w:val="0088436C"/>
    <w:rsid w:val="00885696"/>
    <w:rsid w:val="00885805"/>
    <w:rsid w:val="008860A3"/>
    <w:rsid w:val="0088645D"/>
    <w:rsid w:val="008867B7"/>
    <w:rsid w:val="008869A8"/>
    <w:rsid w:val="008870DE"/>
    <w:rsid w:val="008902DC"/>
    <w:rsid w:val="00890349"/>
    <w:rsid w:val="008903D9"/>
    <w:rsid w:val="008903F9"/>
    <w:rsid w:val="0089054B"/>
    <w:rsid w:val="00891BB7"/>
    <w:rsid w:val="00892010"/>
    <w:rsid w:val="00893403"/>
    <w:rsid w:val="00894A6C"/>
    <w:rsid w:val="008954CE"/>
    <w:rsid w:val="0089604E"/>
    <w:rsid w:val="00896750"/>
    <w:rsid w:val="00896950"/>
    <w:rsid w:val="00896FAA"/>
    <w:rsid w:val="00897516"/>
    <w:rsid w:val="008A000F"/>
    <w:rsid w:val="008A0A97"/>
    <w:rsid w:val="008A1171"/>
    <w:rsid w:val="008A18E9"/>
    <w:rsid w:val="008A1C0F"/>
    <w:rsid w:val="008A1CBE"/>
    <w:rsid w:val="008A2BA0"/>
    <w:rsid w:val="008A2F86"/>
    <w:rsid w:val="008A328A"/>
    <w:rsid w:val="008A3608"/>
    <w:rsid w:val="008A41CE"/>
    <w:rsid w:val="008A5A67"/>
    <w:rsid w:val="008A5E80"/>
    <w:rsid w:val="008A5F73"/>
    <w:rsid w:val="008A64F3"/>
    <w:rsid w:val="008A6D16"/>
    <w:rsid w:val="008A6D69"/>
    <w:rsid w:val="008A6F07"/>
    <w:rsid w:val="008A7CA3"/>
    <w:rsid w:val="008A7D49"/>
    <w:rsid w:val="008B0600"/>
    <w:rsid w:val="008B0C03"/>
    <w:rsid w:val="008B1398"/>
    <w:rsid w:val="008B1535"/>
    <w:rsid w:val="008B34D0"/>
    <w:rsid w:val="008B3D0D"/>
    <w:rsid w:val="008B42C8"/>
    <w:rsid w:val="008B4B12"/>
    <w:rsid w:val="008B5164"/>
    <w:rsid w:val="008B68CE"/>
    <w:rsid w:val="008B79A5"/>
    <w:rsid w:val="008C02CB"/>
    <w:rsid w:val="008C0FB1"/>
    <w:rsid w:val="008C1028"/>
    <w:rsid w:val="008C1186"/>
    <w:rsid w:val="008C127E"/>
    <w:rsid w:val="008C1333"/>
    <w:rsid w:val="008C1621"/>
    <w:rsid w:val="008C2201"/>
    <w:rsid w:val="008C2478"/>
    <w:rsid w:val="008C33D5"/>
    <w:rsid w:val="008C3DCE"/>
    <w:rsid w:val="008C3E3D"/>
    <w:rsid w:val="008C482E"/>
    <w:rsid w:val="008C5D5D"/>
    <w:rsid w:val="008C5EC9"/>
    <w:rsid w:val="008C6437"/>
    <w:rsid w:val="008C673C"/>
    <w:rsid w:val="008C71FB"/>
    <w:rsid w:val="008C7A3E"/>
    <w:rsid w:val="008D0D97"/>
    <w:rsid w:val="008D36C5"/>
    <w:rsid w:val="008D3743"/>
    <w:rsid w:val="008D44B9"/>
    <w:rsid w:val="008D4B89"/>
    <w:rsid w:val="008D5364"/>
    <w:rsid w:val="008D57C0"/>
    <w:rsid w:val="008D5826"/>
    <w:rsid w:val="008D5D02"/>
    <w:rsid w:val="008D63DD"/>
    <w:rsid w:val="008D65B0"/>
    <w:rsid w:val="008D65C3"/>
    <w:rsid w:val="008D6DF8"/>
    <w:rsid w:val="008E2285"/>
    <w:rsid w:val="008E31CE"/>
    <w:rsid w:val="008E39E0"/>
    <w:rsid w:val="008E41EF"/>
    <w:rsid w:val="008E42AC"/>
    <w:rsid w:val="008E47D4"/>
    <w:rsid w:val="008E5D41"/>
    <w:rsid w:val="008E6920"/>
    <w:rsid w:val="008E73BF"/>
    <w:rsid w:val="008E7C7A"/>
    <w:rsid w:val="008F052F"/>
    <w:rsid w:val="008F0AA9"/>
    <w:rsid w:val="008F1063"/>
    <w:rsid w:val="008F138B"/>
    <w:rsid w:val="008F2946"/>
    <w:rsid w:val="008F2FC2"/>
    <w:rsid w:val="008F35CE"/>
    <w:rsid w:val="008F3848"/>
    <w:rsid w:val="008F5034"/>
    <w:rsid w:val="008F52DA"/>
    <w:rsid w:val="008F5ADE"/>
    <w:rsid w:val="008F5B19"/>
    <w:rsid w:val="008F604C"/>
    <w:rsid w:val="008F670A"/>
    <w:rsid w:val="008F6D37"/>
    <w:rsid w:val="008F7061"/>
    <w:rsid w:val="008F74CD"/>
    <w:rsid w:val="008F7730"/>
    <w:rsid w:val="008F7CF6"/>
    <w:rsid w:val="0090082B"/>
    <w:rsid w:val="009008B5"/>
    <w:rsid w:val="0090101D"/>
    <w:rsid w:val="00901279"/>
    <w:rsid w:val="009015CA"/>
    <w:rsid w:val="0090189F"/>
    <w:rsid w:val="00901B84"/>
    <w:rsid w:val="00901F52"/>
    <w:rsid w:val="009021A6"/>
    <w:rsid w:val="009021AB"/>
    <w:rsid w:val="0090232A"/>
    <w:rsid w:val="009023ED"/>
    <w:rsid w:val="0090470D"/>
    <w:rsid w:val="009052C9"/>
    <w:rsid w:val="009052E8"/>
    <w:rsid w:val="00905C5E"/>
    <w:rsid w:val="0090622D"/>
    <w:rsid w:val="009067B3"/>
    <w:rsid w:val="00906866"/>
    <w:rsid w:val="00907272"/>
    <w:rsid w:val="0090737C"/>
    <w:rsid w:val="00907646"/>
    <w:rsid w:val="00907891"/>
    <w:rsid w:val="00907B30"/>
    <w:rsid w:val="009101C5"/>
    <w:rsid w:val="00910DFE"/>
    <w:rsid w:val="00910F25"/>
    <w:rsid w:val="00911207"/>
    <w:rsid w:val="00911681"/>
    <w:rsid w:val="00911A38"/>
    <w:rsid w:val="0091237B"/>
    <w:rsid w:val="009141C2"/>
    <w:rsid w:val="009141E5"/>
    <w:rsid w:val="00914661"/>
    <w:rsid w:val="00915763"/>
    <w:rsid w:val="00915B55"/>
    <w:rsid w:val="0091612A"/>
    <w:rsid w:val="0091653C"/>
    <w:rsid w:val="00916D6C"/>
    <w:rsid w:val="00917BE6"/>
    <w:rsid w:val="009200C4"/>
    <w:rsid w:val="00920164"/>
    <w:rsid w:val="00920719"/>
    <w:rsid w:val="00920BAD"/>
    <w:rsid w:val="00920E0C"/>
    <w:rsid w:val="00921379"/>
    <w:rsid w:val="00921F88"/>
    <w:rsid w:val="0092446A"/>
    <w:rsid w:val="009247A3"/>
    <w:rsid w:val="009252E4"/>
    <w:rsid w:val="00925BD0"/>
    <w:rsid w:val="00926267"/>
    <w:rsid w:val="00926365"/>
    <w:rsid w:val="00926557"/>
    <w:rsid w:val="0092662A"/>
    <w:rsid w:val="00926ED2"/>
    <w:rsid w:val="0092725C"/>
    <w:rsid w:val="00927746"/>
    <w:rsid w:val="009277A8"/>
    <w:rsid w:val="0092786B"/>
    <w:rsid w:val="0093011B"/>
    <w:rsid w:val="0093055C"/>
    <w:rsid w:val="00930BBB"/>
    <w:rsid w:val="00930D23"/>
    <w:rsid w:val="00930E3D"/>
    <w:rsid w:val="00931284"/>
    <w:rsid w:val="009317BC"/>
    <w:rsid w:val="00932A6C"/>
    <w:rsid w:val="00934562"/>
    <w:rsid w:val="00935790"/>
    <w:rsid w:val="00935C8C"/>
    <w:rsid w:val="00936855"/>
    <w:rsid w:val="0093710E"/>
    <w:rsid w:val="00937DCD"/>
    <w:rsid w:val="009402B2"/>
    <w:rsid w:val="00940A3B"/>
    <w:rsid w:val="00940C83"/>
    <w:rsid w:val="00941551"/>
    <w:rsid w:val="009422D0"/>
    <w:rsid w:val="00942CCE"/>
    <w:rsid w:val="00943212"/>
    <w:rsid w:val="00943309"/>
    <w:rsid w:val="009435AD"/>
    <w:rsid w:val="009441B9"/>
    <w:rsid w:val="0094431D"/>
    <w:rsid w:val="00944947"/>
    <w:rsid w:val="00944A60"/>
    <w:rsid w:val="009450ED"/>
    <w:rsid w:val="00945131"/>
    <w:rsid w:val="00945173"/>
    <w:rsid w:val="009454DB"/>
    <w:rsid w:val="009456AB"/>
    <w:rsid w:val="0094573F"/>
    <w:rsid w:val="00945D7E"/>
    <w:rsid w:val="00946622"/>
    <w:rsid w:val="00946E27"/>
    <w:rsid w:val="009477D3"/>
    <w:rsid w:val="00947823"/>
    <w:rsid w:val="00947F3A"/>
    <w:rsid w:val="00950E9A"/>
    <w:rsid w:val="0095149F"/>
    <w:rsid w:val="00952915"/>
    <w:rsid w:val="00954215"/>
    <w:rsid w:val="00954452"/>
    <w:rsid w:val="00954EC1"/>
    <w:rsid w:val="0095509B"/>
    <w:rsid w:val="009558F3"/>
    <w:rsid w:val="00955C77"/>
    <w:rsid w:val="009564AB"/>
    <w:rsid w:val="009569D4"/>
    <w:rsid w:val="00956F84"/>
    <w:rsid w:val="009570BA"/>
    <w:rsid w:val="00957C21"/>
    <w:rsid w:val="0096048C"/>
    <w:rsid w:val="00961767"/>
    <w:rsid w:val="0096189E"/>
    <w:rsid w:val="00962150"/>
    <w:rsid w:val="00962434"/>
    <w:rsid w:val="009624B5"/>
    <w:rsid w:val="00962841"/>
    <w:rsid w:val="00962BDF"/>
    <w:rsid w:val="00963883"/>
    <w:rsid w:val="0096442B"/>
    <w:rsid w:val="00964571"/>
    <w:rsid w:val="00964B47"/>
    <w:rsid w:val="0096651A"/>
    <w:rsid w:val="00966F75"/>
    <w:rsid w:val="0096709A"/>
    <w:rsid w:val="0097018B"/>
    <w:rsid w:val="009706BE"/>
    <w:rsid w:val="009718B7"/>
    <w:rsid w:val="00971AA7"/>
    <w:rsid w:val="00972029"/>
    <w:rsid w:val="009722A4"/>
    <w:rsid w:val="00972AAC"/>
    <w:rsid w:val="00972D41"/>
    <w:rsid w:val="009731C3"/>
    <w:rsid w:val="0097498F"/>
    <w:rsid w:val="00975795"/>
    <w:rsid w:val="009766EB"/>
    <w:rsid w:val="00976FD7"/>
    <w:rsid w:val="00977349"/>
    <w:rsid w:val="009807BA"/>
    <w:rsid w:val="00980E0C"/>
    <w:rsid w:val="00980F93"/>
    <w:rsid w:val="00981C96"/>
    <w:rsid w:val="00982075"/>
    <w:rsid w:val="009824A3"/>
    <w:rsid w:val="00983534"/>
    <w:rsid w:val="00983590"/>
    <w:rsid w:val="00985C9D"/>
    <w:rsid w:val="00986419"/>
    <w:rsid w:val="00986D9A"/>
    <w:rsid w:val="00986DBC"/>
    <w:rsid w:val="009902BF"/>
    <w:rsid w:val="009903F9"/>
    <w:rsid w:val="00990697"/>
    <w:rsid w:val="00990B1F"/>
    <w:rsid w:val="00990BC6"/>
    <w:rsid w:val="00990DEA"/>
    <w:rsid w:val="0099212F"/>
    <w:rsid w:val="009926BB"/>
    <w:rsid w:val="009929C0"/>
    <w:rsid w:val="00993FAB"/>
    <w:rsid w:val="00995B5B"/>
    <w:rsid w:val="00996DCB"/>
    <w:rsid w:val="009972CD"/>
    <w:rsid w:val="009975B8"/>
    <w:rsid w:val="00997B1B"/>
    <w:rsid w:val="00997E62"/>
    <w:rsid w:val="009A1917"/>
    <w:rsid w:val="009A23AC"/>
    <w:rsid w:val="009A2444"/>
    <w:rsid w:val="009A3E81"/>
    <w:rsid w:val="009A4690"/>
    <w:rsid w:val="009A52A9"/>
    <w:rsid w:val="009A53A9"/>
    <w:rsid w:val="009A56CC"/>
    <w:rsid w:val="009A7538"/>
    <w:rsid w:val="009B0598"/>
    <w:rsid w:val="009B0E7F"/>
    <w:rsid w:val="009B12E7"/>
    <w:rsid w:val="009B16B0"/>
    <w:rsid w:val="009B1DD0"/>
    <w:rsid w:val="009B2691"/>
    <w:rsid w:val="009B2B46"/>
    <w:rsid w:val="009B2CDC"/>
    <w:rsid w:val="009B2EBB"/>
    <w:rsid w:val="009B33F7"/>
    <w:rsid w:val="009B35AB"/>
    <w:rsid w:val="009B4B7D"/>
    <w:rsid w:val="009B5392"/>
    <w:rsid w:val="009B61B2"/>
    <w:rsid w:val="009B653A"/>
    <w:rsid w:val="009B6DE6"/>
    <w:rsid w:val="009B7AE7"/>
    <w:rsid w:val="009B7D12"/>
    <w:rsid w:val="009C01C6"/>
    <w:rsid w:val="009C0243"/>
    <w:rsid w:val="009C02CE"/>
    <w:rsid w:val="009C0BFC"/>
    <w:rsid w:val="009C1096"/>
    <w:rsid w:val="009C1EC8"/>
    <w:rsid w:val="009C2BAA"/>
    <w:rsid w:val="009C2E2C"/>
    <w:rsid w:val="009C4428"/>
    <w:rsid w:val="009C46D3"/>
    <w:rsid w:val="009C4A06"/>
    <w:rsid w:val="009C6487"/>
    <w:rsid w:val="009C649B"/>
    <w:rsid w:val="009C6694"/>
    <w:rsid w:val="009D02E8"/>
    <w:rsid w:val="009D135D"/>
    <w:rsid w:val="009D1881"/>
    <w:rsid w:val="009D1B44"/>
    <w:rsid w:val="009D2127"/>
    <w:rsid w:val="009D386B"/>
    <w:rsid w:val="009D3F46"/>
    <w:rsid w:val="009D4698"/>
    <w:rsid w:val="009D4747"/>
    <w:rsid w:val="009D4778"/>
    <w:rsid w:val="009D4A22"/>
    <w:rsid w:val="009D4D45"/>
    <w:rsid w:val="009D7873"/>
    <w:rsid w:val="009D7B33"/>
    <w:rsid w:val="009D7BA8"/>
    <w:rsid w:val="009E0472"/>
    <w:rsid w:val="009E0C1E"/>
    <w:rsid w:val="009E10F2"/>
    <w:rsid w:val="009E255D"/>
    <w:rsid w:val="009E264C"/>
    <w:rsid w:val="009E2810"/>
    <w:rsid w:val="009E2D6C"/>
    <w:rsid w:val="009E2F27"/>
    <w:rsid w:val="009E2FE3"/>
    <w:rsid w:val="009E364A"/>
    <w:rsid w:val="009E42EF"/>
    <w:rsid w:val="009E434D"/>
    <w:rsid w:val="009E4B35"/>
    <w:rsid w:val="009E522E"/>
    <w:rsid w:val="009E5735"/>
    <w:rsid w:val="009E5B87"/>
    <w:rsid w:val="009E5C90"/>
    <w:rsid w:val="009E5ED2"/>
    <w:rsid w:val="009E7CB7"/>
    <w:rsid w:val="009F0005"/>
    <w:rsid w:val="009F002D"/>
    <w:rsid w:val="009F0601"/>
    <w:rsid w:val="009F0869"/>
    <w:rsid w:val="009F285E"/>
    <w:rsid w:val="009F5D6C"/>
    <w:rsid w:val="009F5DEE"/>
    <w:rsid w:val="009F6C98"/>
    <w:rsid w:val="009F6F90"/>
    <w:rsid w:val="009F6F9C"/>
    <w:rsid w:val="009F76B8"/>
    <w:rsid w:val="009F7A8E"/>
    <w:rsid w:val="00A01B38"/>
    <w:rsid w:val="00A02297"/>
    <w:rsid w:val="00A024CD"/>
    <w:rsid w:val="00A027C0"/>
    <w:rsid w:val="00A02E88"/>
    <w:rsid w:val="00A03E48"/>
    <w:rsid w:val="00A03F8B"/>
    <w:rsid w:val="00A04975"/>
    <w:rsid w:val="00A04F2B"/>
    <w:rsid w:val="00A05199"/>
    <w:rsid w:val="00A1021A"/>
    <w:rsid w:val="00A11A0D"/>
    <w:rsid w:val="00A11A34"/>
    <w:rsid w:val="00A12095"/>
    <w:rsid w:val="00A123E5"/>
    <w:rsid w:val="00A12B7D"/>
    <w:rsid w:val="00A13419"/>
    <w:rsid w:val="00A149CE"/>
    <w:rsid w:val="00A152AE"/>
    <w:rsid w:val="00A1607E"/>
    <w:rsid w:val="00A162FE"/>
    <w:rsid w:val="00A17740"/>
    <w:rsid w:val="00A1784E"/>
    <w:rsid w:val="00A21594"/>
    <w:rsid w:val="00A21A1E"/>
    <w:rsid w:val="00A21E79"/>
    <w:rsid w:val="00A224DD"/>
    <w:rsid w:val="00A2266E"/>
    <w:rsid w:val="00A22CA3"/>
    <w:rsid w:val="00A22D32"/>
    <w:rsid w:val="00A22D40"/>
    <w:rsid w:val="00A22D4B"/>
    <w:rsid w:val="00A235D7"/>
    <w:rsid w:val="00A236C8"/>
    <w:rsid w:val="00A2517A"/>
    <w:rsid w:val="00A256A4"/>
    <w:rsid w:val="00A25EB8"/>
    <w:rsid w:val="00A2698F"/>
    <w:rsid w:val="00A26D4B"/>
    <w:rsid w:val="00A271A6"/>
    <w:rsid w:val="00A27786"/>
    <w:rsid w:val="00A2783A"/>
    <w:rsid w:val="00A3016F"/>
    <w:rsid w:val="00A30B24"/>
    <w:rsid w:val="00A30BCA"/>
    <w:rsid w:val="00A32351"/>
    <w:rsid w:val="00A324F9"/>
    <w:rsid w:val="00A32891"/>
    <w:rsid w:val="00A32D60"/>
    <w:rsid w:val="00A331FC"/>
    <w:rsid w:val="00A34F1E"/>
    <w:rsid w:val="00A350BE"/>
    <w:rsid w:val="00A35644"/>
    <w:rsid w:val="00A36085"/>
    <w:rsid w:val="00A368CF"/>
    <w:rsid w:val="00A3754B"/>
    <w:rsid w:val="00A37F19"/>
    <w:rsid w:val="00A4040C"/>
    <w:rsid w:val="00A40BDD"/>
    <w:rsid w:val="00A40C40"/>
    <w:rsid w:val="00A412A8"/>
    <w:rsid w:val="00A414AF"/>
    <w:rsid w:val="00A426E1"/>
    <w:rsid w:val="00A43424"/>
    <w:rsid w:val="00A43A8A"/>
    <w:rsid w:val="00A44627"/>
    <w:rsid w:val="00A44DDA"/>
    <w:rsid w:val="00A45077"/>
    <w:rsid w:val="00A46449"/>
    <w:rsid w:val="00A464A4"/>
    <w:rsid w:val="00A470E9"/>
    <w:rsid w:val="00A4713A"/>
    <w:rsid w:val="00A473A7"/>
    <w:rsid w:val="00A47643"/>
    <w:rsid w:val="00A502D8"/>
    <w:rsid w:val="00A508EA"/>
    <w:rsid w:val="00A509AD"/>
    <w:rsid w:val="00A509EF"/>
    <w:rsid w:val="00A5132E"/>
    <w:rsid w:val="00A51AA5"/>
    <w:rsid w:val="00A523CC"/>
    <w:rsid w:val="00A5275D"/>
    <w:rsid w:val="00A5479F"/>
    <w:rsid w:val="00A54FE6"/>
    <w:rsid w:val="00A558BD"/>
    <w:rsid w:val="00A5700D"/>
    <w:rsid w:val="00A571F5"/>
    <w:rsid w:val="00A60344"/>
    <w:rsid w:val="00A603D5"/>
    <w:rsid w:val="00A6047B"/>
    <w:rsid w:val="00A60979"/>
    <w:rsid w:val="00A60B91"/>
    <w:rsid w:val="00A61156"/>
    <w:rsid w:val="00A640F0"/>
    <w:rsid w:val="00A645D3"/>
    <w:rsid w:val="00A658D8"/>
    <w:rsid w:val="00A65B26"/>
    <w:rsid w:val="00A66EA9"/>
    <w:rsid w:val="00A71D0B"/>
    <w:rsid w:val="00A71E96"/>
    <w:rsid w:val="00A722CB"/>
    <w:rsid w:val="00A73245"/>
    <w:rsid w:val="00A7352B"/>
    <w:rsid w:val="00A735F0"/>
    <w:rsid w:val="00A737EB"/>
    <w:rsid w:val="00A73B66"/>
    <w:rsid w:val="00A74468"/>
    <w:rsid w:val="00A7447E"/>
    <w:rsid w:val="00A744E4"/>
    <w:rsid w:val="00A75428"/>
    <w:rsid w:val="00A75A54"/>
    <w:rsid w:val="00A75B85"/>
    <w:rsid w:val="00A76899"/>
    <w:rsid w:val="00A7775F"/>
    <w:rsid w:val="00A77FBF"/>
    <w:rsid w:val="00A80728"/>
    <w:rsid w:val="00A8113C"/>
    <w:rsid w:val="00A81A04"/>
    <w:rsid w:val="00A81C8F"/>
    <w:rsid w:val="00A823E3"/>
    <w:rsid w:val="00A829EF"/>
    <w:rsid w:val="00A82BE6"/>
    <w:rsid w:val="00A82C9F"/>
    <w:rsid w:val="00A83215"/>
    <w:rsid w:val="00A832CC"/>
    <w:rsid w:val="00A8339D"/>
    <w:rsid w:val="00A834F3"/>
    <w:rsid w:val="00A83606"/>
    <w:rsid w:val="00A83704"/>
    <w:rsid w:val="00A83CFB"/>
    <w:rsid w:val="00A841A4"/>
    <w:rsid w:val="00A8437E"/>
    <w:rsid w:val="00A84E51"/>
    <w:rsid w:val="00A854A5"/>
    <w:rsid w:val="00A8599F"/>
    <w:rsid w:val="00A85A7E"/>
    <w:rsid w:val="00A85BF2"/>
    <w:rsid w:val="00A86A4B"/>
    <w:rsid w:val="00A86C58"/>
    <w:rsid w:val="00A86D52"/>
    <w:rsid w:val="00A90798"/>
    <w:rsid w:val="00A9132C"/>
    <w:rsid w:val="00A915EF"/>
    <w:rsid w:val="00A92580"/>
    <w:rsid w:val="00A92886"/>
    <w:rsid w:val="00A92A5B"/>
    <w:rsid w:val="00A92D99"/>
    <w:rsid w:val="00A92ED6"/>
    <w:rsid w:val="00A93794"/>
    <w:rsid w:val="00A93BFC"/>
    <w:rsid w:val="00A93EB7"/>
    <w:rsid w:val="00A9439F"/>
    <w:rsid w:val="00A943E0"/>
    <w:rsid w:val="00A944E3"/>
    <w:rsid w:val="00A94852"/>
    <w:rsid w:val="00A94935"/>
    <w:rsid w:val="00A94C8B"/>
    <w:rsid w:val="00A94C9A"/>
    <w:rsid w:val="00A94E3B"/>
    <w:rsid w:val="00A94EE7"/>
    <w:rsid w:val="00A954C9"/>
    <w:rsid w:val="00A95771"/>
    <w:rsid w:val="00A95C81"/>
    <w:rsid w:val="00A976C4"/>
    <w:rsid w:val="00A977D7"/>
    <w:rsid w:val="00A97A06"/>
    <w:rsid w:val="00AA075C"/>
    <w:rsid w:val="00AA0969"/>
    <w:rsid w:val="00AA0F0E"/>
    <w:rsid w:val="00AA1E83"/>
    <w:rsid w:val="00AA2BCE"/>
    <w:rsid w:val="00AA4DF9"/>
    <w:rsid w:val="00AA5101"/>
    <w:rsid w:val="00AA5553"/>
    <w:rsid w:val="00AA5E50"/>
    <w:rsid w:val="00AB1572"/>
    <w:rsid w:val="00AB1851"/>
    <w:rsid w:val="00AB20C3"/>
    <w:rsid w:val="00AB21C7"/>
    <w:rsid w:val="00AB2828"/>
    <w:rsid w:val="00AB481B"/>
    <w:rsid w:val="00AB5732"/>
    <w:rsid w:val="00AB5AE6"/>
    <w:rsid w:val="00AC0602"/>
    <w:rsid w:val="00AC060A"/>
    <w:rsid w:val="00AC0674"/>
    <w:rsid w:val="00AC0677"/>
    <w:rsid w:val="00AC0D83"/>
    <w:rsid w:val="00AC1654"/>
    <w:rsid w:val="00AC18CC"/>
    <w:rsid w:val="00AC3745"/>
    <w:rsid w:val="00AC3B67"/>
    <w:rsid w:val="00AC48C2"/>
    <w:rsid w:val="00AC49A3"/>
    <w:rsid w:val="00AC4D29"/>
    <w:rsid w:val="00AC52DD"/>
    <w:rsid w:val="00AC7469"/>
    <w:rsid w:val="00AC76CC"/>
    <w:rsid w:val="00AD0EF2"/>
    <w:rsid w:val="00AD2980"/>
    <w:rsid w:val="00AD302F"/>
    <w:rsid w:val="00AD3568"/>
    <w:rsid w:val="00AD3F3C"/>
    <w:rsid w:val="00AD3FFE"/>
    <w:rsid w:val="00AD5047"/>
    <w:rsid w:val="00AD60B9"/>
    <w:rsid w:val="00AD6270"/>
    <w:rsid w:val="00AD6FC3"/>
    <w:rsid w:val="00AE033D"/>
    <w:rsid w:val="00AE03D1"/>
    <w:rsid w:val="00AE12C7"/>
    <w:rsid w:val="00AE15D4"/>
    <w:rsid w:val="00AE217F"/>
    <w:rsid w:val="00AE24B6"/>
    <w:rsid w:val="00AE27F6"/>
    <w:rsid w:val="00AE3688"/>
    <w:rsid w:val="00AE40E1"/>
    <w:rsid w:val="00AE457D"/>
    <w:rsid w:val="00AE464E"/>
    <w:rsid w:val="00AE496C"/>
    <w:rsid w:val="00AE55C0"/>
    <w:rsid w:val="00AE5E86"/>
    <w:rsid w:val="00AE60A2"/>
    <w:rsid w:val="00AF0A6E"/>
    <w:rsid w:val="00AF20AD"/>
    <w:rsid w:val="00AF2A5A"/>
    <w:rsid w:val="00AF3F91"/>
    <w:rsid w:val="00AF4382"/>
    <w:rsid w:val="00AF5087"/>
    <w:rsid w:val="00AF5FB5"/>
    <w:rsid w:val="00AF61A8"/>
    <w:rsid w:val="00AF699F"/>
    <w:rsid w:val="00AF6AC1"/>
    <w:rsid w:val="00AF6DFA"/>
    <w:rsid w:val="00AF7159"/>
    <w:rsid w:val="00B004CB"/>
    <w:rsid w:val="00B008A2"/>
    <w:rsid w:val="00B01336"/>
    <w:rsid w:val="00B014DA"/>
    <w:rsid w:val="00B01CC0"/>
    <w:rsid w:val="00B01D3B"/>
    <w:rsid w:val="00B02096"/>
    <w:rsid w:val="00B02A81"/>
    <w:rsid w:val="00B03193"/>
    <w:rsid w:val="00B035CD"/>
    <w:rsid w:val="00B03A65"/>
    <w:rsid w:val="00B03FA2"/>
    <w:rsid w:val="00B043FB"/>
    <w:rsid w:val="00B04F35"/>
    <w:rsid w:val="00B05687"/>
    <w:rsid w:val="00B05956"/>
    <w:rsid w:val="00B06834"/>
    <w:rsid w:val="00B070B7"/>
    <w:rsid w:val="00B07194"/>
    <w:rsid w:val="00B072C8"/>
    <w:rsid w:val="00B0786C"/>
    <w:rsid w:val="00B100A8"/>
    <w:rsid w:val="00B11379"/>
    <w:rsid w:val="00B11430"/>
    <w:rsid w:val="00B118B7"/>
    <w:rsid w:val="00B1190A"/>
    <w:rsid w:val="00B13517"/>
    <w:rsid w:val="00B138C8"/>
    <w:rsid w:val="00B13972"/>
    <w:rsid w:val="00B13E21"/>
    <w:rsid w:val="00B14376"/>
    <w:rsid w:val="00B14684"/>
    <w:rsid w:val="00B1514B"/>
    <w:rsid w:val="00B15936"/>
    <w:rsid w:val="00B15BF0"/>
    <w:rsid w:val="00B16445"/>
    <w:rsid w:val="00B16839"/>
    <w:rsid w:val="00B16BCF"/>
    <w:rsid w:val="00B17C25"/>
    <w:rsid w:val="00B205DC"/>
    <w:rsid w:val="00B20987"/>
    <w:rsid w:val="00B20FDA"/>
    <w:rsid w:val="00B214B3"/>
    <w:rsid w:val="00B21AB6"/>
    <w:rsid w:val="00B22CB7"/>
    <w:rsid w:val="00B230BA"/>
    <w:rsid w:val="00B2343B"/>
    <w:rsid w:val="00B23928"/>
    <w:rsid w:val="00B23CC3"/>
    <w:rsid w:val="00B2426C"/>
    <w:rsid w:val="00B260B0"/>
    <w:rsid w:val="00B2633E"/>
    <w:rsid w:val="00B2721D"/>
    <w:rsid w:val="00B27FD6"/>
    <w:rsid w:val="00B30196"/>
    <w:rsid w:val="00B303C8"/>
    <w:rsid w:val="00B31347"/>
    <w:rsid w:val="00B31462"/>
    <w:rsid w:val="00B31B1F"/>
    <w:rsid w:val="00B32E52"/>
    <w:rsid w:val="00B33EA1"/>
    <w:rsid w:val="00B34187"/>
    <w:rsid w:val="00B34F31"/>
    <w:rsid w:val="00B34F9F"/>
    <w:rsid w:val="00B35114"/>
    <w:rsid w:val="00B35245"/>
    <w:rsid w:val="00B3544A"/>
    <w:rsid w:val="00B35B5F"/>
    <w:rsid w:val="00B4109F"/>
    <w:rsid w:val="00B415B0"/>
    <w:rsid w:val="00B41985"/>
    <w:rsid w:val="00B438A6"/>
    <w:rsid w:val="00B43EED"/>
    <w:rsid w:val="00B442A1"/>
    <w:rsid w:val="00B44BAF"/>
    <w:rsid w:val="00B45299"/>
    <w:rsid w:val="00B456E8"/>
    <w:rsid w:val="00B478F1"/>
    <w:rsid w:val="00B47977"/>
    <w:rsid w:val="00B502F4"/>
    <w:rsid w:val="00B511E2"/>
    <w:rsid w:val="00B513AF"/>
    <w:rsid w:val="00B51CB6"/>
    <w:rsid w:val="00B52919"/>
    <w:rsid w:val="00B52FE1"/>
    <w:rsid w:val="00B539D3"/>
    <w:rsid w:val="00B54E9E"/>
    <w:rsid w:val="00B54EFD"/>
    <w:rsid w:val="00B55003"/>
    <w:rsid w:val="00B55246"/>
    <w:rsid w:val="00B555D1"/>
    <w:rsid w:val="00B55F78"/>
    <w:rsid w:val="00B562AE"/>
    <w:rsid w:val="00B566FF"/>
    <w:rsid w:val="00B56FD8"/>
    <w:rsid w:val="00B60B35"/>
    <w:rsid w:val="00B60C5F"/>
    <w:rsid w:val="00B60F58"/>
    <w:rsid w:val="00B6102A"/>
    <w:rsid w:val="00B61431"/>
    <w:rsid w:val="00B614C4"/>
    <w:rsid w:val="00B61DED"/>
    <w:rsid w:val="00B61ED0"/>
    <w:rsid w:val="00B6225E"/>
    <w:rsid w:val="00B628F4"/>
    <w:rsid w:val="00B62B36"/>
    <w:rsid w:val="00B62EFD"/>
    <w:rsid w:val="00B6349B"/>
    <w:rsid w:val="00B63783"/>
    <w:rsid w:val="00B63C36"/>
    <w:rsid w:val="00B6475B"/>
    <w:rsid w:val="00B64DDC"/>
    <w:rsid w:val="00B64FC4"/>
    <w:rsid w:val="00B65069"/>
    <w:rsid w:val="00B650D0"/>
    <w:rsid w:val="00B652DE"/>
    <w:rsid w:val="00B65864"/>
    <w:rsid w:val="00B662E4"/>
    <w:rsid w:val="00B66C33"/>
    <w:rsid w:val="00B6786C"/>
    <w:rsid w:val="00B67A00"/>
    <w:rsid w:val="00B70979"/>
    <w:rsid w:val="00B70C77"/>
    <w:rsid w:val="00B70D48"/>
    <w:rsid w:val="00B7163B"/>
    <w:rsid w:val="00B71B0D"/>
    <w:rsid w:val="00B71F9C"/>
    <w:rsid w:val="00B727EC"/>
    <w:rsid w:val="00B72907"/>
    <w:rsid w:val="00B73485"/>
    <w:rsid w:val="00B73FBD"/>
    <w:rsid w:val="00B740FB"/>
    <w:rsid w:val="00B7470D"/>
    <w:rsid w:val="00B75349"/>
    <w:rsid w:val="00B75950"/>
    <w:rsid w:val="00B759BE"/>
    <w:rsid w:val="00B75CF7"/>
    <w:rsid w:val="00B763F1"/>
    <w:rsid w:val="00B80EAD"/>
    <w:rsid w:val="00B81192"/>
    <w:rsid w:val="00B81298"/>
    <w:rsid w:val="00B81927"/>
    <w:rsid w:val="00B82124"/>
    <w:rsid w:val="00B8269B"/>
    <w:rsid w:val="00B8298E"/>
    <w:rsid w:val="00B82AB1"/>
    <w:rsid w:val="00B84127"/>
    <w:rsid w:val="00B843CC"/>
    <w:rsid w:val="00B84C68"/>
    <w:rsid w:val="00B84D6D"/>
    <w:rsid w:val="00B853F0"/>
    <w:rsid w:val="00B860CA"/>
    <w:rsid w:val="00B87334"/>
    <w:rsid w:val="00B876CC"/>
    <w:rsid w:val="00B90074"/>
    <w:rsid w:val="00B90B86"/>
    <w:rsid w:val="00B9180D"/>
    <w:rsid w:val="00B9186B"/>
    <w:rsid w:val="00B91EA9"/>
    <w:rsid w:val="00B92369"/>
    <w:rsid w:val="00B923EE"/>
    <w:rsid w:val="00B9287F"/>
    <w:rsid w:val="00B92C8D"/>
    <w:rsid w:val="00B92DC6"/>
    <w:rsid w:val="00B932A9"/>
    <w:rsid w:val="00B93A1D"/>
    <w:rsid w:val="00B93DDD"/>
    <w:rsid w:val="00B94A1D"/>
    <w:rsid w:val="00B953BB"/>
    <w:rsid w:val="00B957A4"/>
    <w:rsid w:val="00B95E01"/>
    <w:rsid w:val="00B962D4"/>
    <w:rsid w:val="00B96AAF"/>
    <w:rsid w:val="00B96F42"/>
    <w:rsid w:val="00BA01D1"/>
    <w:rsid w:val="00BA03E5"/>
    <w:rsid w:val="00BA08AD"/>
    <w:rsid w:val="00BA1007"/>
    <w:rsid w:val="00BA1434"/>
    <w:rsid w:val="00BA23E3"/>
    <w:rsid w:val="00BA2507"/>
    <w:rsid w:val="00BA2AE8"/>
    <w:rsid w:val="00BA2DEF"/>
    <w:rsid w:val="00BA4CCA"/>
    <w:rsid w:val="00BA4D3C"/>
    <w:rsid w:val="00BA513A"/>
    <w:rsid w:val="00BA551D"/>
    <w:rsid w:val="00BA76DE"/>
    <w:rsid w:val="00BB07E0"/>
    <w:rsid w:val="00BB1823"/>
    <w:rsid w:val="00BB1E91"/>
    <w:rsid w:val="00BB2105"/>
    <w:rsid w:val="00BB2160"/>
    <w:rsid w:val="00BB2A4B"/>
    <w:rsid w:val="00BB2ADE"/>
    <w:rsid w:val="00BB5079"/>
    <w:rsid w:val="00BB53D3"/>
    <w:rsid w:val="00BB615F"/>
    <w:rsid w:val="00BB7506"/>
    <w:rsid w:val="00BB7AC9"/>
    <w:rsid w:val="00BC0A67"/>
    <w:rsid w:val="00BC1957"/>
    <w:rsid w:val="00BC28A7"/>
    <w:rsid w:val="00BC3D05"/>
    <w:rsid w:val="00BC3F0B"/>
    <w:rsid w:val="00BC4C1B"/>
    <w:rsid w:val="00BC53B9"/>
    <w:rsid w:val="00BC5656"/>
    <w:rsid w:val="00BC56F8"/>
    <w:rsid w:val="00BC5AC2"/>
    <w:rsid w:val="00BC63E0"/>
    <w:rsid w:val="00BC7641"/>
    <w:rsid w:val="00BC7AB8"/>
    <w:rsid w:val="00BC7B3A"/>
    <w:rsid w:val="00BD15E6"/>
    <w:rsid w:val="00BD1DCA"/>
    <w:rsid w:val="00BD2AAF"/>
    <w:rsid w:val="00BD2B7A"/>
    <w:rsid w:val="00BD3187"/>
    <w:rsid w:val="00BD3AB7"/>
    <w:rsid w:val="00BD3E8F"/>
    <w:rsid w:val="00BD52ED"/>
    <w:rsid w:val="00BD5684"/>
    <w:rsid w:val="00BD5784"/>
    <w:rsid w:val="00BD5998"/>
    <w:rsid w:val="00BD6329"/>
    <w:rsid w:val="00BD64F5"/>
    <w:rsid w:val="00BD6767"/>
    <w:rsid w:val="00BD7240"/>
    <w:rsid w:val="00BD74F5"/>
    <w:rsid w:val="00BD7B4E"/>
    <w:rsid w:val="00BD7D44"/>
    <w:rsid w:val="00BE02D2"/>
    <w:rsid w:val="00BE0FDE"/>
    <w:rsid w:val="00BE140B"/>
    <w:rsid w:val="00BE16DD"/>
    <w:rsid w:val="00BE1FD8"/>
    <w:rsid w:val="00BE2840"/>
    <w:rsid w:val="00BE29CF"/>
    <w:rsid w:val="00BE2AF1"/>
    <w:rsid w:val="00BE324E"/>
    <w:rsid w:val="00BE332B"/>
    <w:rsid w:val="00BE3FBB"/>
    <w:rsid w:val="00BE4002"/>
    <w:rsid w:val="00BE41D3"/>
    <w:rsid w:val="00BE4839"/>
    <w:rsid w:val="00BE53E4"/>
    <w:rsid w:val="00BE56EC"/>
    <w:rsid w:val="00BE572D"/>
    <w:rsid w:val="00BE5B5C"/>
    <w:rsid w:val="00BE676C"/>
    <w:rsid w:val="00BE6F37"/>
    <w:rsid w:val="00BF0129"/>
    <w:rsid w:val="00BF0327"/>
    <w:rsid w:val="00BF0731"/>
    <w:rsid w:val="00BF0751"/>
    <w:rsid w:val="00BF098B"/>
    <w:rsid w:val="00BF157A"/>
    <w:rsid w:val="00BF165B"/>
    <w:rsid w:val="00BF1885"/>
    <w:rsid w:val="00BF1B44"/>
    <w:rsid w:val="00BF2543"/>
    <w:rsid w:val="00BF25FE"/>
    <w:rsid w:val="00BF2FF8"/>
    <w:rsid w:val="00BF3138"/>
    <w:rsid w:val="00BF428F"/>
    <w:rsid w:val="00BF49A0"/>
    <w:rsid w:val="00BF4AEF"/>
    <w:rsid w:val="00BF5CC8"/>
    <w:rsid w:val="00BF5D66"/>
    <w:rsid w:val="00BF6241"/>
    <w:rsid w:val="00BF78C7"/>
    <w:rsid w:val="00C0003C"/>
    <w:rsid w:val="00C0026A"/>
    <w:rsid w:val="00C017C1"/>
    <w:rsid w:val="00C01AFD"/>
    <w:rsid w:val="00C01DA2"/>
    <w:rsid w:val="00C02FD4"/>
    <w:rsid w:val="00C0344B"/>
    <w:rsid w:val="00C041F8"/>
    <w:rsid w:val="00C04438"/>
    <w:rsid w:val="00C04B6E"/>
    <w:rsid w:val="00C04BFE"/>
    <w:rsid w:val="00C04E0C"/>
    <w:rsid w:val="00C06C1B"/>
    <w:rsid w:val="00C07340"/>
    <w:rsid w:val="00C07377"/>
    <w:rsid w:val="00C07DED"/>
    <w:rsid w:val="00C07E8D"/>
    <w:rsid w:val="00C10765"/>
    <w:rsid w:val="00C11040"/>
    <w:rsid w:val="00C116DE"/>
    <w:rsid w:val="00C11B80"/>
    <w:rsid w:val="00C11E7D"/>
    <w:rsid w:val="00C12078"/>
    <w:rsid w:val="00C12B4F"/>
    <w:rsid w:val="00C12D97"/>
    <w:rsid w:val="00C12EB0"/>
    <w:rsid w:val="00C13AFD"/>
    <w:rsid w:val="00C14299"/>
    <w:rsid w:val="00C145AF"/>
    <w:rsid w:val="00C1498D"/>
    <w:rsid w:val="00C15048"/>
    <w:rsid w:val="00C1525A"/>
    <w:rsid w:val="00C168A8"/>
    <w:rsid w:val="00C16B89"/>
    <w:rsid w:val="00C17AD3"/>
    <w:rsid w:val="00C2185C"/>
    <w:rsid w:val="00C23226"/>
    <w:rsid w:val="00C23C22"/>
    <w:rsid w:val="00C23EF6"/>
    <w:rsid w:val="00C24113"/>
    <w:rsid w:val="00C24BF7"/>
    <w:rsid w:val="00C25187"/>
    <w:rsid w:val="00C26DAF"/>
    <w:rsid w:val="00C2703F"/>
    <w:rsid w:val="00C271A7"/>
    <w:rsid w:val="00C2764C"/>
    <w:rsid w:val="00C30143"/>
    <w:rsid w:val="00C3015B"/>
    <w:rsid w:val="00C30A54"/>
    <w:rsid w:val="00C31433"/>
    <w:rsid w:val="00C315B9"/>
    <w:rsid w:val="00C31BFE"/>
    <w:rsid w:val="00C32340"/>
    <w:rsid w:val="00C3326F"/>
    <w:rsid w:val="00C3350A"/>
    <w:rsid w:val="00C34176"/>
    <w:rsid w:val="00C3432E"/>
    <w:rsid w:val="00C35417"/>
    <w:rsid w:val="00C355E8"/>
    <w:rsid w:val="00C3581F"/>
    <w:rsid w:val="00C36C05"/>
    <w:rsid w:val="00C37762"/>
    <w:rsid w:val="00C37A3C"/>
    <w:rsid w:val="00C41139"/>
    <w:rsid w:val="00C41524"/>
    <w:rsid w:val="00C4182A"/>
    <w:rsid w:val="00C41AA1"/>
    <w:rsid w:val="00C41C21"/>
    <w:rsid w:val="00C4209E"/>
    <w:rsid w:val="00C4261F"/>
    <w:rsid w:val="00C4283C"/>
    <w:rsid w:val="00C42987"/>
    <w:rsid w:val="00C42EB8"/>
    <w:rsid w:val="00C438C4"/>
    <w:rsid w:val="00C43E9E"/>
    <w:rsid w:val="00C43F08"/>
    <w:rsid w:val="00C44DBE"/>
    <w:rsid w:val="00C45360"/>
    <w:rsid w:val="00C45F8C"/>
    <w:rsid w:val="00C46B5F"/>
    <w:rsid w:val="00C4786D"/>
    <w:rsid w:val="00C47886"/>
    <w:rsid w:val="00C50A5B"/>
    <w:rsid w:val="00C50DEF"/>
    <w:rsid w:val="00C51254"/>
    <w:rsid w:val="00C5256F"/>
    <w:rsid w:val="00C52BA6"/>
    <w:rsid w:val="00C5310A"/>
    <w:rsid w:val="00C53700"/>
    <w:rsid w:val="00C539F1"/>
    <w:rsid w:val="00C53AC3"/>
    <w:rsid w:val="00C53E30"/>
    <w:rsid w:val="00C54098"/>
    <w:rsid w:val="00C540C9"/>
    <w:rsid w:val="00C541C1"/>
    <w:rsid w:val="00C5483C"/>
    <w:rsid w:val="00C558A9"/>
    <w:rsid w:val="00C56848"/>
    <w:rsid w:val="00C56DD6"/>
    <w:rsid w:val="00C5703A"/>
    <w:rsid w:val="00C60F34"/>
    <w:rsid w:val="00C61668"/>
    <w:rsid w:val="00C61CA8"/>
    <w:rsid w:val="00C62BD5"/>
    <w:rsid w:val="00C63D0E"/>
    <w:rsid w:val="00C63EAE"/>
    <w:rsid w:val="00C63F83"/>
    <w:rsid w:val="00C64927"/>
    <w:rsid w:val="00C64C98"/>
    <w:rsid w:val="00C650EF"/>
    <w:rsid w:val="00C65809"/>
    <w:rsid w:val="00C658BA"/>
    <w:rsid w:val="00C65D44"/>
    <w:rsid w:val="00C65E34"/>
    <w:rsid w:val="00C667C1"/>
    <w:rsid w:val="00C67E23"/>
    <w:rsid w:val="00C70499"/>
    <w:rsid w:val="00C706C6"/>
    <w:rsid w:val="00C70989"/>
    <w:rsid w:val="00C70AB3"/>
    <w:rsid w:val="00C70F3C"/>
    <w:rsid w:val="00C715C1"/>
    <w:rsid w:val="00C71817"/>
    <w:rsid w:val="00C71FDF"/>
    <w:rsid w:val="00C7399D"/>
    <w:rsid w:val="00C74C11"/>
    <w:rsid w:val="00C76841"/>
    <w:rsid w:val="00C7695A"/>
    <w:rsid w:val="00C7728C"/>
    <w:rsid w:val="00C773C2"/>
    <w:rsid w:val="00C77537"/>
    <w:rsid w:val="00C777A5"/>
    <w:rsid w:val="00C77CF0"/>
    <w:rsid w:val="00C8028A"/>
    <w:rsid w:val="00C802C1"/>
    <w:rsid w:val="00C80543"/>
    <w:rsid w:val="00C80934"/>
    <w:rsid w:val="00C8109D"/>
    <w:rsid w:val="00C8136F"/>
    <w:rsid w:val="00C8145A"/>
    <w:rsid w:val="00C81943"/>
    <w:rsid w:val="00C81D2B"/>
    <w:rsid w:val="00C822C2"/>
    <w:rsid w:val="00C82608"/>
    <w:rsid w:val="00C82677"/>
    <w:rsid w:val="00C82899"/>
    <w:rsid w:val="00C82A2D"/>
    <w:rsid w:val="00C83CE8"/>
    <w:rsid w:val="00C846F8"/>
    <w:rsid w:val="00C8532D"/>
    <w:rsid w:val="00C85CB0"/>
    <w:rsid w:val="00C86407"/>
    <w:rsid w:val="00C8682C"/>
    <w:rsid w:val="00C873C9"/>
    <w:rsid w:val="00C87458"/>
    <w:rsid w:val="00C901B7"/>
    <w:rsid w:val="00C910BF"/>
    <w:rsid w:val="00C91D86"/>
    <w:rsid w:val="00C92E58"/>
    <w:rsid w:val="00C948F4"/>
    <w:rsid w:val="00C949C0"/>
    <w:rsid w:val="00C959D3"/>
    <w:rsid w:val="00C95B26"/>
    <w:rsid w:val="00C95D59"/>
    <w:rsid w:val="00C966FA"/>
    <w:rsid w:val="00C96AD2"/>
    <w:rsid w:val="00C96DFB"/>
    <w:rsid w:val="00C97B57"/>
    <w:rsid w:val="00CA0426"/>
    <w:rsid w:val="00CA08B4"/>
    <w:rsid w:val="00CA0992"/>
    <w:rsid w:val="00CA0FCC"/>
    <w:rsid w:val="00CA130F"/>
    <w:rsid w:val="00CA199C"/>
    <w:rsid w:val="00CA1CA0"/>
    <w:rsid w:val="00CA2028"/>
    <w:rsid w:val="00CA2A55"/>
    <w:rsid w:val="00CA2B4E"/>
    <w:rsid w:val="00CA3192"/>
    <w:rsid w:val="00CA34D0"/>
    <w:rsid w:val="00CA387C"/>
    <w:rsid w:val="00CA3F96"/>
    <w:rsid w:val="00CA48EE"/>
    <w:rsid w:val="00CA4DFC"/>
    <w:rsid w:val="00CA5F29"/>
    <w:rsid w:val="00CA689F"/>
    <w:rsid w:val="00CB0C1A"/>
    <w:rsid w:val="00CB1209"/>
    <w:rsid w:val="00CB15BE"/>
    <w:rsid w:val="00CB1AB0"/>
    <w:rsid w:val="00CB25F8"/>
    <w:rsid w:val="00CB2F8A"/>
    <w:rsid w:val="00CB369A"/>
    <w:rsid w:val="00CB3BBD"/>
    <w:rsid w:val="00CB4166"/>
    <w:rsid w:val="00CB46D8"/>
    <w:rsid w:val="00CB4EA7"/>
    <w:rsid w:val="00CB57EA"/>
    <w:rsid w:val="00CB626D"/>
    <w:rsid w:val="00CB6461"/>
    <w:rsid w:val="00CB6472"/>
    <w:rsid w:val="00CB6D34"/>
    <w:rsid w:val="00CB6F09"/>
    <w:rsid w:val="00CB7979"/>
    <w:rsid w:val="00CB7980"/>
    <w:rsid w:val="00CB7A06"/>
    <w:rsid w:val="00CB7E9A"/>
    <w:rsid w:val="00CB7F9E"/>
    <w:rsid w:val="00CC04B5"/>
    <w:rsid w:val="00CC04CA"/>
    <w:rsid w:val="00CC0999"/>
    <w:rsid w:val="00CC0F5A"/>
    <w:rsid w:val="00CC1040"/>
    <w:rsid w:val="00CC1469"/>
    <w:rsid w:val="00CC19AA"/>
    <w:rsid w:val="00CC1C30"/>
    <w:rsid w:val="00CC2BB7"/>
    <w:rsid w:val="00CC2E2D"/>
    <w:rsid w:val="00CC322D"/>
    <w:rsid w:val="00CC3282"/>
    <w:rsid w:val="00CC3533"/>
    <w:rsid w:val="00CC3E4A"/>
    <w:rsid w:val="00CC4144"/>
    <w:rsid w:val="00CC44E3"/>
    <w:rsid w:val="00CC4AC9"/>
    <w:rsid w:val="00CC4E19"/>
    <w:rsid w:val="00CC5125"/>
    <w:rsid w:val="00CC65CF"/>
    <w:rsid w:val="00CC7238"/>
    <w:rsid w:val="00CC72CF"/>
    <w:rsid w:val="00CC74A0"/>
    <w:rsid w:val="00CC7A19"/>
    <w:rsid w:val="00CC7FB1"/>
    <w:rsid w:val="00CD009B"/>
    <w:rsid w:val="00CD0F32"/>
    <w:rsid w:val="00CD11EB"/>
    <w:rsid w:val="00CD1DF8"/>
    <w:rsid w:val="00CD25C5"/>
    <w:rsid w:val="00CD2982"/>
    <w:rsid w:val="00CD3713"/>
    <w:rsid w:val="00CD434D"/>
    <w:rsid w:val="00CD51E4"/>
    <w:rsid w:val="00CD52BB"/>
    <w:rsid w:val="00CD53BF"/>
    <w:rsid w:val="00CD55F3"/>
    <w:rsid w:val="00CD577E"/>
    <w:rsid w:val="00CD588F"/>
    <w:rsid w:val="00CD6841"/>
    <w:rsid w:val="00CD71A3"/>
    <w:rsid w:val="00CD792F"/>
    <w:rsid w:val="00CE0BFD"/>
    <w:rsid w:val="00CE10A2"/>
    <w:rsid w:val="00CE1B3F"/>
    <w:rsid w:val="00CE3460"/>
    <w:rsid w:val="00CE354A"/>
    <w:rsid w:val="00CE4DE3"/>
    <w:rsid w:val="00CE5A75"/>
    <w:rsid w:val="00CE5CA8"/>
    <w:rsid w:val="00CE69B5"/>
    <w:rsid w:val="00CE72C5"/>
    <w:rsid w:val="00CE7AB0"/>
    <w:rsid w:val="00CF15D4"/>
    <w:rsid w:val="00CF1B4A"/>
    <w:rsid w:val="00CF237D"/>
    <w:rsid w:val="00CF29AA"/>
    <w:rsid w:val="00CF4E32"/>
    <w:rsid w:val="00CF4EC9"/>
    <w:rsid w:val="00CF4FC9"/>
    <w:rsid w:val="00CF579E"/>
    <w:rsid w:val="00CF679E"/>
    <w:rsid w:val="00CF6A3B"/>
    <w:rsid w:val="00CF6C76"/>
    <w:rsid w:val="00CF7124"/>
    <w:rsid w:val="00CF7A18"/>
    <w:rsid w:val="00D00130"/>
    <w:rsid w:val="00D00F19"/>
    <w:rsid w:val="00D00F8F"/>
    <w:rsid w:val="00D011F4"/>
    <w:rsid w:val="00D014BC"/>
    <w:rsid w:val="00D02169"/>
    <w:rsid w:val="00D026CF"/>
    <w:rsid w:val="00D02FB9"/>
    <w:rsid w:val="00D0350F"/>
    <w:rsid w:val="00D035B9"/>
    <w:rsid w:val="00D0361F"/>
    <w:rsid w:val="00D03747"/>
    <w:rsid w:val="00D03EA5"/>
    <w:rsid w:val="00D04863"/>
    <w:rsid w:val="00D05D17"/>
    <w:rsid w:val="00D07469"/>
    <w:rsid w:val="00D1013A"/>
    <w:rsid w:val="00D1062D"/>
    <w:rsid w:val="00D1205B"/>
    <w:rsid w:val="00D13576"/>
    <w:rsid w:val="00D13E55"/>
    <w:rsid w:val="00D13EE0"/>
    <w:rsid w:val="00D1493C"/>
    <w:rsid w:val="00D14B49"/>
    <w:rsid w:val="00D14F73"/>
    <w:rsid w:val="00D16882"/>
    <w:rsid w:val="00D17618"/>
    <w:rsid w:val="00D17C3F"/>
    <w:rsid w:val="00D207D6"/>
    <w:rsid w:val="00D20B2F"/>
    <w:rsid w:val="00D20C6C"/>
    <w:rsid w:val="00D21466"/>
    <w:rsid w:val="00D22068"/>
    <w:rsid w:val="00D23621"/>
    <w:rsid w:val="00D238BB"/>
    <w:rsid w:val="00D23A39"/>
    <w:rsid w:val="00D23CE5"/>
    <w:rsid w:val="00D2447A"/>
    <w:rsid w:val="00D24518"/>
    <w:rsid w:val="00D258EC"/>
    <w:rsid w:val="00D259F8"/>
    <w:rsid w:val="00D25C36"/>
    <w:rsid w:val="00D26CC9"/>
    <w:rsid w:val="00D26DDA"/>
    <w:rsid w:val="00D273E1"/>
    <w:rsid w:val="00D27403"/>
    <w:rsid w:val="00D305C0"/>
    <w:rsid w:val="00D30AE6"/>
    <w:rsid w:val="00D321E5"/>
    <w:rsid w:val="00D32374"/>
    <w:rsid w:val="00D3301D"/>
    <w:rsid w:val="00D33048"/>
    <w:rsid w:val="00D33E48"/>
    <w:rsid w:val="00D33F7F"/>
    <w:rsid w:val="00D343BE"/>
    <w:rsid w:val="00D347E3"/>
    <w:rsid w:val="00D34957"/>
    <w:rsid w:val="00D34CEC"/>
    <w:rsid w:val="00D351B6"/>
    <w:rsid w:val="00D35535"/>
    <w:rsid w:val="00D35817"/>
    <w:rsid w:val="00D35826"/>
    <w:rsid w:val="00D35EC0"/>
    <w:rsid w:val="00D35EEF"/>
    <w:rsid w:val="00D37592"/>
    <w:rsid w:val="00D405E9"/>
    <w:rsid w:val="00D41673"/>
    <w:rsid w:val="00D417EF"/>
    <w:rsid w:val="00D41BBE"/>
    <w:rsid w:val="00D41D73"/>
    <w:rsid w:val="00D42453"/>
    <w:rsid w:val="00D4263B"/>
    <w:rsid w:val="00D42991"/>
    <w:rsid w:val="00D4301D"/>
    <w:rsid w:val="00D439C6"/>
    <w:rsid w:val="00D43BC8"/>
    <w:rsid w:val="00D44264"/>
    <w:rsid w:val="00D44271"/>
    <w:rsid w:val="00D442F5"/>
    <w:rsid w:val="00D443D5"/>
    <w:rsid w:val="00D45482"/>
    <w:rsid w:val="00D45585"/>
    <w:rsid w:val="00D461BF"/>
    <w:rsid w:val="00D46FE5"/>
    <w:rsid w:val="00D473BF"/>
    <w:rsid w:val="00D474EE"/>
    <w:rsid w:val="00D508E8"/>
    <w:rsid w:val="00D5105B"/>
    <w:rsid w:val="00D5151F"/>
    <w:rsid w:val="00D516F5"/>
    <w:rsid w:val="00D521B5"/>
    <w:rsid w:val="00D52A7C"/>
    <w:rsid w:val="00D53023"/>
    <w:rsid w:val="00D5489C"/>
    <w:rsid w:val="00D55405"/>
    <w:rsid w:val="00D55433"/>
    <w:rsid w:val="00D55B21"/>
    <w:rsid w:val="00D55C01"/>
    <w:rsid w:val="00D566A9"/>
    <w:rsid w:val="00D568DA"/>
    <w:rsid w:val="00D5725A"/>
    <w:rsid w:val="00D57A77"/>
    <w:rsid w:val="00D60288"/>
    <w:rsid w:val="00D602B3"/>
    <w:rsid w:val="00D608E8"/>
    <w:rsid w:val="00D61094"/>
    <w:rsid w:val="00D62226"/>
    <w:rsid w:val="00D62420"/>
    <w:rsid w:val="00D626FA"/>
    <w:rsid w:val="00D627C9"/>
    <w:rsid w:val="00D62A56"/>
    <w:rsid w:val="00D63948"/>
    <w:rsid w:val="00D63DC9"/>
    <w:rsid w:val="00D648E3"/>
    <w:rsid w:val="00D665AA"/>
    <w:rsid w:val="00D668C4"/>
    <w:rsid w:val="00D672AC"/>
    <w:rsid w:val="00D6794A"/>
    <w:rsid w:val="00D67992"/>
    <w:rsid w:val="00D67F2F"/>
    <w:rsid w:val="00D67F91"/>
    <w:rsid w:val="00D703DE"/>
    <w:rsid w:val="00D71482"/>
    <w:rsid w:val="00D72838"/>
    <w:rsid w:val="00D729D5"/>
    <w:rsid w:val="00D72AED"/>
    <w:rsid w:val="00D73C37"/>
    <w:rsid w:val="00D73C44"/>
    <w:rsid w:val="00D743EE"/>
    <w:rsid w:val="00D74417"/>
    <w:rsid w:val="00D745AA"/>
    <w:rsid w:val="00D74DEE"/>
    <w:rsid w:val="00D75A82"/>
    <w:rsid w:val="00D75B95"/>
    <w:rsid w:val="00D75E0B"/>
    <w:rsid w:val="00D75F23"/>
    <w:rsid w:val="00D76206"/>
    <w:rsid w:val="00D76395"/>
    <w:rsid w:val="00D7743A"/>
    <w:rsid w:val="00D77A59"/>
    <w:rsid w:val="00D77CF2"/>
    <w:rsid w:val="00D80221"/>
    <w:rsid w:val="00D80768"/>
    <w:rsid w:val="00D80BF3"/>
    <w:rsid w:val="00D811FB"/>
    <w:rsid w:val="00D8140E"/>
    <w:rsid w:val="00D815B8"/>
    <w:rsid w:val="00D8162B"/>
    <w:rsid w:val="00D8214C"/>
    <w:rsid w:val="00D82F40"/>
    <w:rsid w:val="00D83890"/>
    <w:rsid w:val="00D839B8"/>
    <w:rsid w:val="00D84972"/>
    <w:rsid w:val="00D84C82"/>
    <w:rsid w:val="00D84F87"/>
    <w:rsid w:val="00D85370"/>
    <w:rsid w:val="00D853A2"/>
    <w:rsid w:val="00D85407"/>
    <w:rsid w:val="00D85CC8"/>
    <w:rsid w:val="00D86893"/>
    <w:rsid w:val="00D87445"/>
    <w:rsid w:val="00D87A17"/>
    <w:rsid w:val="00D87C27"/>
    <w:rsid w:val="00D87EED"/>
    <w:rsid w:val="00D901E6"/>
    <w:rsid w:val="00D904FF"/>
    <w:rsid w:val="00D911AE"/>
    <w:rsid w:val="00D91738"/>
    <w:rsid w:val="00D91FAE"/>
    <w:rsid w:val="00D925E6"/>
    <w:rsid w:val="00D9324A"/>
    <w:rsid w:val="00D937AB"/>
    <w:rsid w:val="00D9383C"/>
    <w:rsid w:val="00D938F5"/>
    <w:rsid w:val="00D93E04"/>
    <w:rsid w:val="00D94922"/>
    <w:rsid w:val="00D94C7D"/>
    <w:rsid w:val="00D94D65"/>
    <w:rsid w:val="00D959D6"/>
    <w:rsid w:val="00D960C3"/>
    <w:rsid w:val="00D9624B"/>
    <w:rsid w:val="00D96300"/>
    <w:rsid w:val="00D96663"/>
    <w:rsid w:val="00D97344"/>
    <w:rsid w:val="00D9763C"/>
    <w:rsid w:val="00D97AE7"/>
    <w:rsid w:val="00D97ED9"/>
    <w:rsid w:val="00DA0393"/>
    <w:rsid w:val="00DA04E5"/>
    <w:rsid w:val="00DA111C"/>
    <w:rsid w:val="00DA1B23"/>
    <w:rsid w:val="00DA1BF3"/>
    <w:rsid w:val="00DA1D1C"/>
    <w:rsid w:val="00DA2216"/>
    <w:rsid w:val="00DA23E0"/>
    <w:rsid w:val="00DA2D1B"/>
    <w:rsid w:val="00DA3D0B"/>
    <w:rsid w:val="00DA4353"/>
    <w:rsid w:val="00DA455A"/>
    <w:rsid w:val="00DA4D17"/>
    <w:rsid w:val="00DA5B13"/>
    <w:rsid w:val="00DA5D10"/>
    <w:rsid w:val="00DA6415"/>
    <w:rsid w:val="00DA64F5"/>
    <w:rsid w:val="00DA673C"/>
    <w:rsid w:val="00DA6760"/>
    <w:rsid w:val="00DA6B30"/>
    <w:rsid w:val="00DA6F60"/>
    <w:rsid w:val="00DA7A12"/>
    <w:rsid w:val="00DB0845"/>
    <w:rsid w:val="00DB2278"/>
    <w:rsid w:val="00DB2423"/>
    <w:rsid w:val="00DB2885"/>
    <w:rsid w:val="00DB2ABF"/>
    <w:rsid w:val="00DB2F62"/>
    <w:rsid w:val="00DB2FCB"/>
    <w:rsid w:val="00DB3338"/>
    <w:rsid w:val="00DB3543"/>
    <w:rsid w:val="00DB4710"/>
    <w:rsid w:val="00DB5D9F"/>
    <w:rsid w:val="00DB62E8"/>
    <w:rsid w:val="00DB63FB"/>
    <w:rsid w:val="00DB674A"/>
    <w:rsid w:val="00DB685F"/>
    <w:rsid w:val="00DB7789"/>
    <w:rsid w:val="00DC09D6"/>
    <w:rsid w:val="00DC133C"/>
    <w:rsid w:val="00DC14A6"/>
    <w:rsid w:val="00DC14C3"/>
    <w:rsid w:val="00DC1EE7"/>
    <w:rsid w:val="00DC2520"/>
    <w:rsid w:val="00DC28A5"/>
    <w:rsid w:val="00DC2CE0"/>
    <w:rsid w:val="00DC2CEC"/>
    <w:rsid w:val="00DC2ED9"/>
    <w:rsid w:val="00DC361F"/>
    <w:rsid w:val="00DC3EBC"/>
    <w:rsid w:val="00DC3F09"/>
    <w:rsid w:val="00DC3F41"/>
    <w:rsid w:val="00DC4467"/>
    <w:rsid w:val="00DC4CC5"/>
    <w:rsid w:val="00DC52E4"/>
    <w:rsid w:val="00DC5633"/>
    <w:rsid w:val="00DC5F8F"/>
    <w:rsid w:val="00DC6FAA"/>
    <w:rsid w:val="00DC7DEA"/>
    <w:rsid w:val="00DD00E0"/>
    <w:rsid w:val="00DD0406"/>
    <w:rsid w:val="00DD0673"/>
    <w:rsid w:val="00DD086D"/>
    <w:rsid w:val="00DD12EA"/>
    <w:rsid w:val="00DD14B2"/>
    <w:rsid w:val="00DD1AE3"/>
    <w:rsid w:val="00DD2C64"/>
    <w:rsid w:val="00DD3028"/>
    <w:rsid w:val="00DD377E"/>
    <w:rsid w:val="00DD38AF"/>
    <w:rsid w:val="00DD4E79"/>
    <w:rsid w:val="00DD5382"/>
    <w:rsid w:val="00DD5B6C"/>
    <w:rsid w:val="00DD5B77"/>
    <w:rsid w:val="00DD6F64"/>
    <w:rsid w:val="00DD70A4"/>
    <w:rsid w:val="00DD7707"/>
    <w:rsid w:val="00DE04E1"/>
    <w:rsid w:val="00DE05BC"/>
    <w:rsid w:val="00DE096A"/>
    <w:rsid w:val="00DE0986"/>
    <w:rsid w:val="00DE0B18"/>
    <w:rsid w:val="00DE0C80"/>
    <w:rsid w:val="00DE1436"/>
    <w:rsid w:val="00DE1A6F"/>
    <w:rsid w:val="00DE1EF0"/>
    <w:rsid w:val="00DE258E"/>
    <w:rsid w:val="00DE2AE5"/>
    <w:rsid w:val="00DE2B77"/>
    <w:rsid w:val="00DE3462"/>
    <w:rsid w:val="00DE3CE1"/>
    <w:rsid w:val="00DE3F45"/>
    <w:rsid w:val="00DE4921"/>
    <w:rsid w:val="00DE5342"/>
    <w:rsid w:val="00DE5682"/>
    <w:rsid w:val="00DE5E45"/>
    <w:rsid w:val="00DE6D67"/>
    <w:rsid w:val="00DE7BE0"/>
    <w:rsid w:val="00DF02AA"/>
    <w:rsid w:val="00DF04B5"/>
    <w:rsid w:val="00DF050A"/>
    <w:rsid w:val="00DF0B39"/>
    <w:rsid w:val="00DF0CB9"/>
    <w:rsid w:val="00DF0D72"/>
    <w:rsid w:val="00DF1371"/>
    <w:rsid w:val="00DF1802"/>
    <w:rsid w:val="00DF207A"/>
    <w:rsid w:val="00DF2D26"/>
    <w:rsid w:val="00DF34D9"/>
    <w:rsid w:val="00DF3CE5"/>
    <w:rsid w:val="00DF3D75"/>
    <w:rsid w:val="00DF4F50"/>
    <w:rsid w:val="00DF5D31"/>
    <w:rsid w:val="00DF600B"/>
    <w:rsid w:val="00DF63AC"/>
    <w:rsid w:val="00DF6AC2"/>
    <w:rsid w:val="00DF7C9D"/>
    <w:rsid w:val="00DF7DA3"/>
    <w:rsid w:val="00E00D72"/>
    <w:rsid w:val="00E01895"/>
    <w:rsid w:val="00E01A77"/>
    <w:rsid w:val="00E01C7F"/>
    <w:rsid w:val="00E02E63"/>
    <w:rsid w:val="00E03707"/>
    <w:rsid w:val="00E04326"/>
    <w:rsid w:val="00E0464F"/>
    <w:rsid w:val="00E04CFE"/>
    <w:rsid w:val="00E05B86"/>
    <w:rsid w:val="00E06747"/>
    <w:rsid w:val="00E07364"/>
    <w:rsid w:val="00E076CA"/>
    <w:rsid w:val="00E100FE"/>
    <w:rsid w:val="00E106AF"/>
    <w:rsid w:val="00E10D2F"/>
    <w:rsid w:val="00E10F2D"/>
    <w:rsid w:val="00E113C0"/>
    <w:rsid w:val="00E11561"/>
    <w:rsid w:val="00E11A91"/>
    <w:rsid w:val="00E11C8D"/>
    <w:rsid w:val="00E12977"/>
    <w:rsid w:val="00E12B26"/>
    <w:rsid w:val="00E12FEE"/>
    <w:rsid w:val="00E13232"/>
    <w:rsid w:val="00E13987"/>
    <w:rsid w:val="00E13E2A"/>
    <w:rsid w:val="00E14961"/>
    <w:rsid w:val="00E15006"/>
    <w:rsid w:val="00E15C56"/>
    <w:rsid w:val="00E162A6"/>
    <w:rsid w:val="00E1647E"/>
    <w:rsid w:val="00E166B6"/>
    <w:rsid w:val="00E16C31"/>
    <w:rsid w:val="00E16C66"/>
    <w:rsid w:val="00E17BC2"/>
    <w:rsid w:val="00E17D89"/>
    <w:rsid w:val="00E208D9"/>
    <w:rsid w:val="00E20A8E"/>
    <w:rsid w:val="00E20B75"/>
    <w:rsid w:val="00E213FC"/>
    <w:rsid w:val="00E2243C"/>
    <w:rsid w:val="00E22B9C"/>
    <w:rsid w:val="00E23463"/>
    <w:rsid w:val="00E23585"/>
    <w:rsid w:val="00E23959"/>
    <w:rsid w:val="00E23B07"/>
    <w:rsid w:val="00E243B4"/>
    <w:rsid w:val="00E24868"/>
    <w:rsid w:val="00E2571C"/>
    <w:rsid w:val="00E26072"/>
    <w:rsid w:val="00E26AB3"/>
    <w:rsid w:val="00E26EC8"/>
    <w:rsid w:val="00E278F4"/>
    <w:rsid w:val="00E3205B"/>
    <w:rsid w:val="00E32F3B"/>
    <w:rsid w:val="00E330E1"/>
    <w:rsid w:val="00E33834"/>
    <w:rsid w:val="00E34225"/>
    <w:rsid w:val="00E35BC8"/>
    <w:rsid w:val="00E375E7"/>
    <w:rsid w:val="00E378B9"/>
    <w:rsid w:val="00E40031"/>
    <w:rsid w:val="00E40216"/>
    <w:rsid w:val="00E4044E"/>
    <w:rsid w:val="00E405D4"/>
    <w:rsid w:val="00E407B6"/>
    <w:rsid w:val="00E40A4D"/>
    <w:rsid w:val="00E40FCD"/>
    <w:rsid w:val="00E413E3"/>
    <w:rsid w:val="00E4141B"/>
    <w:rsid w:val="00E42047"/>
    <w:rsid w:val="00E4419C"/>
    <w:rsid w:val="00E442C3"/>
    <w:rsid w:val="00E4496C"/>
    <w:rsid w:val="00E45647"/>
    <w:rsid w:val="00E45C00"/>
    <w:rsid w:val="00E46AB5"/>
    <w:rsid w:val="00E507A5"/>
    <w:rsid w:val="00E507C9"/>
    <w:rsid w:val="00E50EA1"/>
    <w:rsid w:val="00E5173A"/>
    <w:rsid w:val="00E51E27"/>
    <w:rsid w:val="00E522E1"/>
    <w:rsid w:val="00E524EF"/>
    <w:rsid w:val="00E52672"/>
    <w:rsid w:val="00E53F18"/>
    <w:rsid w:val="00E54A4F"/>
    <w:rsid w:val="00E55595"/>
    <w:rsid w:val="00E55EAF"/>
    <w:rsid w:val="00E575EE"/>
    <w:rsid w:val="00E57A9A"/>
    <w:rsid w:val="00E57C23"/>
    <w:rsid w:val="00E60783"/>
    <w:rsid w:val="00E60D22"/>
    <w:rsid w:val="00E60D47"/>
    <w:rsid w:val="00E62C52"/>
    <w:rsid w:val="00E63554"/>
    <w:rsid w:val="00E6432E"/>
    <w:rsid w:val="00E648D3"/>
    <w:rsid w:val="00E64973"/>
    <w:rsid w:val="00E649E4"/>
    <w:rsid w:val="00E666E3"/>
    <w:rsid w:val="00E66FE2"/>
    <w:rsid w:val="00E67061"/>
    <w:rsid w:val="00E7027F"/>
    <w:rsid w:val="00E7158E"/>
    <w:rsid w:val="00E71841"/>
    <w:rsid w:val="00E7190E"/>
    <w:rsid w:val="00E71C36"/>
    <w:rsid w:val="00E7222F"/>
    <w:rsid w:val="00E72B55"/>
    <w:rsid w:val="00E72DD8"/>
    <w:rsid w:val="00E72E7C"/>
    <w:rsid w:val="00E73301"/>
    <w:rsid w:val="00E76352"/>
    <w:rsid w:val="00E7715A"/>
    <w:rsid w:val="00E7774A"/>
    <w:rsid w:val="00E779BE"/>
    <w:rsid w:val="00E80508"/>
    <w:rsid w:val="00E8197A"/>
    <w:rsid w:val="00E82034"/>
    <w:rsid w:val="00E821F7"/>
    <w:rsid w:val="00E8231A"/>
    <w:rsid w:val="00E82572"/>
    <w:rsid w:val="00E827BE"/>
    <w:rsid w:val="00E82F04"/>
    <w:rsid w:val="00E83902"/>
    <w:rsid w:val="00E83D1D"/>
    <w:rsid w:val="00E83E2E"/>
    <w:rsid w:val="00E84045"/>
    <w:rsid w:val="00E841F9"/>
    <w:rsid w:val="00E8474B"/>
    <w:rsid w:val="00E85700"/>
    <w:rsid w:val="00E85BFC"/>
    <w:rsid w:val="00E86911"/>
    <w:rsid w:val="00E9151D"/>
    <w:rsid w:val="00E9182F"/>
    <w:rsid w:val="00E92751"/>
    <w:rsid w:val="00E92890"/>
    <w:rsid w:val="00E92FA3"/>
    <w:rsid w:val="00E93235"/>
    <w:rsid w:val="00E934A3"/>
    <w:rsid w:val="00E936F2"/>
    <w:rsid w:val="00E93B37"/>
    <w:rsid w:val="00E943A8"/>
    <w:rsid w:val="00E94501"/>
    <w:rsid w:val="00E9465F"/>
    <w:rsid w:val="00E94846"/>
    <w:rsid w:val="00E95251"/>
    <w:rsid w:val="00E95BA0"/>
    <w:rsid w:val="00E970A8"/>
    <w:rsid w:val="00E970F3"/>
    <w:rsid w:val="00E97418"/>
    <w:rsid w:val="00E9751F"/>
    <w:rsid w:val="00E9773F"/>
    <w:rsid w:val="00E978F9"/>
    <w:rsid w:val="00E97CBF"/>
    <w:rsid w:val="00EA088B"/>
    <w:rsid w:val="00EA0E76"/>
    <w:rsid w:val="00EA18AA"/>
    <w:rsid w:val="00EA25B9"/>
    <w:rsid w:val="00EA2D35"/>
    <w:rsid w:val="00EA2FD2"/>
    <w:rsid w:val="00EA3AB3"/>
    <w:rsid w:val="00EA3B0E"/>
    <w:rsid w:val="00EA59DA"/>
    <w:rsid w:val="00EA5B07"/>
    <w:rsid w:val="00EA5B15"/>
    <w:rsid w:val="00EA613B"/>
    <w:rsid w:val="00EA6A3D"/>
    <w:rsid w:val="00EA6F0E"/>
    <w:rsid w:val="00EB0352"/>
    <w:rsid w:val="00EB0858"/>
    <w:rsid w:val="00EB0907"/>
    <w:rsid w:val="00EB0B97"/>
    <w:rsid w:val="00EB0F7F"/>
    <w:rsid w:val="00EB10FA"/>
    <w:rsid w:val="00EB1402"/>
    <w:rsid w:val="00EB17FE"/>
    <w:rsid w:val="00EB22F2"/>
    <w:rsid w:val="00EB23BF"/>
    <w:rsid w:val="00EB279E"/>
    <w:rsid w:val="00EB2E2E"/>
    <w:rsid w:val="00EB2EC6"/>
    <w:rsid w:val="00EB341C"/>
    <w:rsid w:val="00EB34E7"/>
    <w:rsid w:val="00EB368C"/>
    <w:rsid w:val="00EB423E"/>
    <w:rsid w:val="00EB4989"/>
    <w:rsid w:val="00EB6325"/>
    <w:rsid w:val="00EB6D73"/>
    <w:rsid w:val="00EB6E53"/>
    <w:rsid w:val="00EB7254"/>
    <w:rsid w:val="00EB769F"/>
    <w:rsid w:val="00EB780C"/>
    <w:rsid w:val="00EC1121"/>
    <w:rsid w:val="00EC1277"/>
    <w:rsid w:val="00EC15E1"/>
    <w:rsid w:val="00EC190B"/>
    <w:rsid w:val="00EC19C4"/>
    <w:rsid w:val="00EC20E3"/>
    <w:rsid w:val="00EC216E"/>
    <w:rsid w:val="00EC21D7"/>
    <w:rsid w:val="00EC25EB"/>
    <w:rsid w:val="00EC417A"/>
    <w:rsid w:val="00EC4C87"/>
    <w:rsid w:val="00EC51C2"/>
    <w:rsid w:val="00EC53F9"/>
    <w:rsid w:val="00EC55FF"/>
    <w:rsid w:val="00EC5A0A"/>
    <w:rsid w:val="00EC619C"/>
    <w:rsid w:val="00EC6819"/>
    <w:rsid w:val="00EC6BC7"/>
    <w:rsid w:val="00EC6E3A"/>
    <w:rsid w:val="00ED02B5"/>
    <w:rsid w:val="00ED17C1"/>
    <w:rsid w:val="00ED28C2"/>
    <w:rsid w:val="00ED3128"/>
    <w:rsid w:val="00ED3CFE"/>
    <w:rsid w:val="00ED3F08"/>
    <w:rsid w:val="00ED5228"/>
    <w:rsid w:val="00ED54F2"/>
    <w:rsid w:val="00ED5BA9"/>
    <w:rsid w:val="00ED61CF"/>
    <w:rsid w:val="00ED6808"/>
    <w:rsid w:val="00ED7C7F"/>
    <w:rsid w:val="00ED7F42"/>
    <w:rsid w:val="00EE0DB6"/>
    <w:rsid w:val="00EE2063"/>
    <w:rsid w:val="00EE2538"/>
    <w:rsid w:val="00EE4191"/>
    <w:rsid w:val="00EE4898"/>
    <w:rsid w:val="00EE5F41"/>
    <w:rsid w:val="00EE6D77"/>
    <w:rsid w:val="00EE7B8D"/>
    <w:rsid w:val="00EE7C60"/>
    <w:rsid w:val="00EF0043"/>
    <w:rsid w:val="00EF01DE"/>
    <w:rsid w:val="00EF0780"/>
    <w:rsid w:val="00EF0AD1"/>
    <w:rsid w:val="00EF0B64"/>
    <w:rsid w:val="00EF0BEB"/>
    <w:rsid w:val="00EF0EFE"/>
    <w:rsid w:val="00EF1EDF"/>
    <w:rsid w:val="00EF28A3"/>
    <w:rsid w:val="00EF2E65"/>
    <w:rsid w:val="00EF3198"/>
    <w:rsid w:val="00EF34F7"/>
    <w:rsid w:val="00EF38D3"/>
    <w:rsid w:val="00EF3E71"/>
    <w:rsid w:val="00EF4E39"/>
    <w:rsid w:val="00EF5300"/>
    <w:rsid w:val="00EF5457"/>
    <w:rsid w:val="00EF615B"/>
    <w:rsid w:val="00EF6839"/>
    <w:rsid w:val="00EF6AB2"/>
    <w:rsid w:val="00EF6DFC"/>
    <w:rsid w:val="00EF713E"/>
    <w:rsid w:val="00EF7342"/>
    <w:rsid w:val="00EF79C1"/>
    <w:rsid w:val="00F00411"/>
    <w:rsid w:val="00F0136E"/>
    <w:rsid w:val="00F021A1"/>
    <w:rsid w:val="00F027CC"/>
    <w:rsid w:val="00F032D7"/>
    <w:rsid w:val="00F04319"/>
    <w:rsid w:val="00F05273"/>
    <w:rsid w:val="00F05552"/>
    <w:rsid w:val="00F056D6"/>
    <w:rsid w:val="00F06404"/>
    <w:rsid w:val="00F0693D"/>
    <w:rsid w:val="00F06A07"/>
    <w:rsid w:val="00F07D62"/>
    <w:rsid w:val="00F11FC1"/>
    <w:rsid w:val="00F120A8"/>
    <w:rsid w:val="00F1293F"/>
    <w:rsid w:val="00F12ADA"/>
    <w:rsid w:val="00F133F4"/>
    <w:rsid w:val="00F158AD"/>
    <w:rsid w:val="00F158C2"/>
    <w:rsid w:val="00F16038"/>
    <w:rsid w:val="00F17110"/>
    <w:rsid w:val="00F17778"/>
    <w:rsid w:val="00F178BE"/>
    <w:rsid w:val="00F17BD2"/>
    <w:rsid w:val="00F20575"/>
    <w:rsid w:val="00F20918"/>
    <w:rsid w:val="00F20C03"/>
    <w:rsid w:val="00F22200"/>
    <w:rsid w:val="00F22829"/>
    <w:rsid w:val="00F22ADE"/>
    <w:rsid w:val="00F230FB"/>
    <w:rsid w:val="00F2340D"/>
    <w:rsid w:val="00F23F5E"/>
    <w:rsid w:val="00F24647"/>
    <w:rsid w:val="00F24DBA"/>
    <w:rsid w:val="00F25366"/>
    <w:rsid w:val="00F25663"/>
    <w:rsid w:val="00F25A6D"/>
    <w:rsid w:val="00F25FA2"/>
    <w:rsid w:val="00F269FF"/>
    <w:rsid w:val="00F26C29"/>
    <w:rsid w:val="00F2748F"/>
    <w:rsid w:val="00F274CF"/>
    <w:rsid w:val="00F2787D"/>
    <w:rsid w:val="00F30273"/>
    <w:rsid w:val="00F30287"/>
    <w:rsid w:val="00F30ABB"/>
    <w:rsid w:val="00F30BE7"/>
    <w:rsid w:val="00F31058"/>
    <w:rsid w:val="00F31DE6"/>
    <w:rsid w:val="00F31FCA"/>
    <w:rsid w:val="00F3202F"/>
    <w:rsid w:val="00F32664"/>
    <w:rsid w:val="00F32CE8"/>
    <w:rsid w:val="00F331BD"/>
    <w:rsid w:val="00F33208"/>
    <w:rsid w:val="00F3392E"/>
    <w:rsid w:val="00F33A94"/>
    <w:rsid w:val="00F33E4E"/>
    <w:rsid w:val="00F34EAF"/>
    <w:rsid w:val="00F35624"/>
    <w:rsid w:val="00F362BB"/>
    <w:rsid w:val="00F371A2"/>
    <w:rsid w:val="00F377DC"/>
    <w:rsid w:val="00F378B8"/>
    <w:rsid w:val="00F37A4D"/>
    <w:rsid w:val="00F37B34"/>
    <w:rsid w:val="00F37F79"/>
    <w:rsid w:val="00F4048C"/>
    <w:rsid w:val="00F40870"/>
    <w:rsid w:val="00F42A36"/>
    <w:rsid w:val="00F44E0F"/>
    <w:rsid w:val="00F44F75"/>
    <w:rsid w:val="00F454CE"/>
    <w:rsid w:val="00F476DC"/>
    <w:rsid w:val="00F47A5D"/>
    <w:rsid w:val="00F500F4"/>
    <w:rsid w:val="00F507FC"/>
    <w:rsid w:val="00F522DA"/>
    <w:rsid w:val="00F53C55"/>
    <w:rsid w:val="00F53E02"/>
    <w:rsid w:val="00F54546"/>
    <w:rsid w:val="00F54A76"/>
    <w:rsid w:val="00F54BB1"/>
    <w:rsid w:val="00F54DE6"/>
    <w:rsid w:val="00F552D4"/>
    <w:rsid w:val="00F557CF"/>
    <w:rsid w:val="00F5585D"/>
    <w:rsid w:val="00F5592F"/>
    <w:rsid w:val="00F56A18"/>
    <w:rsid w:val="00F56ADF"/>
    <w:rsid w:val="00F56BFC"/>
    <w:rsid w:val="00F57E0E"/>
    <w:rsid w:val="00F60828"/>
    <w:rsid w:val="00F60E3B"/>
    <w:rsid w:val="00F610F0"/>
    <w:rsid w:val="00F61427"/>
    <w:rsid w:val="00F61BD2"/>
    <w:rsid w:val="00F6203F"/>
    <w:rsid w:val="00F632B7"/>
    <w:rsid w:val="00F63D24"/>
    <w:rsid w:val="00F65154"/>
    <w:rsid w:val="00F653D4"/>
    <w:rsid w:val="00F655A9"/>
    <w:rsid w:val="00F659BC"/>
    <w:rsid w:val="00F65A78"/>
    <w:rsid w:val="00F65B94"/>
    <w:rsid w:val="00F66999"/>
    <w:rsid w:val="00F67157"/>
    <w:rsid w:val="00F674CC"/>
    <w:rsid w:val="00F677AA"/>
    <w:rsid w:val="00F70867"/>
    <w:rsid w:val="00F720A0"/>
    <w:rsid w:val="00F72AF2"/>
    <w:rsid w:val="00F730B3"/>
    <w:rsid w:val="00F734FD"/>
    <w:rsid w:val="00F742DF"/>
    <w:rsid w:val="00F744B4"/>
    <w:rsid w:val="00F7461F"/>
    <w:rsid w:val="00F75C9C"/>
    <w:rsid w:val="00F76B45"/>
    <w:rsid w:val="00F76D83"/>
    <w:rsid w:val="00F77202"/>
    <w:rsid w:val="00F772F6"/>
    <w:rsid w:val="00F77F4F"/>
    <w:rsid w:val="00F800BB"/>
    <w:rsid w:val="00F81172"/>
    <w:rsid w:val="00F8123F"/>
    <w:rsid w:val="00F83B03"/>
    <w:rsid w:val="00F83DB5"/>
    <w:rsid w:val="00F83F19"/>
    <w:rsid w:val="00F850B1"/>
    <w:rsid w:val="00F852E0"/>
    <w:rsid w:val="00F854B1"/>
    <w:rsid w:val="00F856DA"/>
    <w:rsid w:val="00F86052"/>
    <w:rsid w:val="00F8606D"/>
    <w:rsid w:val="00F8722A"/>
    <w:rsid w:val="00F87413"/>
    <w:rsid w:val="00F87427"/>
    <w:rsid w:val="00F90126"/>
    <w:rsid w:val="00F9045A"/>
    <w:rsid w:val="00F90F34"/>
    <w:rsid w:val="00F9150F"/>
    <w:rsid w:val="00F916B0"/>
    <w:rsid w:val="00F91DC1"/>
    <w:rsid w:val="00F91EEB"/>
    <w:rsid w:val="00F92036"/>
    <w:rsid w:val="00F9208B"/>
    <w:rsid w:val="00F92B8E"/>
    <w:rsid w:val="00F93417"/>
    <w:rsid w:val="00F9349F"/>
    <w:rsid w:val="00F93753"/>
    <w:rsid w:val="00F94F31"/>
    <w:rsid w:val="00F950D1"/>
    <w:rsid w:val="00F95133"/>
    <w:rsid w:val="00F95625"/>
    <w:rsid w:val="00F960C4"/>
    <w:rsid w:val="00F96184"/>
    <w:rsid w:val="00F96BED"/>
    <w:rsid w:val="00F97367"/>
    <w:rsid w:val="00F97ACA"/>
    <w:rsid w:val="00FA0D34"/>
    <w:rsid w:val="00FA18E6"/>
    <w:rsid w:val="00FA1E1A"/>
    <w:rsid w:val="00FA2B02"/>
    <w:rsid w:val="00FA3139"/>
    <w:rsid w:val="00FA4CD1"/>
    <w:rsid w:val="00FA51D2"/>
    <w:rsid w:val="00FA54A2"/>
    <w:rsid w:val="00FA59C2"/>
    <w:rsid w:val="00FA5DDF"/>
    <w:rsid w:val="00FA69A4"/>
    <w:rsid w:val="00FA6CBA"/>
    <w:rsid w:val="00FA719C"/>
    <w:rsid w:val="00FB0847"/>
    <w:rsid w:val="00FB17EB"/>
    <w:rsid w:val="00FB2235"/>
    <w:rsid w:val="00FB27B2"/>
    <w:rsid w:val="00FB3C9B"/>
    <w:rsid w:val="00FB40DB"/>
    <w:rsid w:val="00FB44E5"/>
    <w:rsid w:val="00FB45AE"/>
    <w:rsid w:val="00FB46AF"/>
    <w:rsid w:val="00FB47F9"/>
    <w:rsid w:val="00FB5657"/>
    <w:rsid w:val="00FB5F4A"/>
    <w:rsid w:val="00FB629D"/>
    <w:rsid w:val="00FB6390"/>
    <w:rsid w:val="00FB685B"/>
    <w:rsid w:val="00FB6BF6"/>
    <w:rsid w:val="00FB6DDB"/>
    <w:rsid w:val="00FB781F"/>
    <w:rsid w:val="00FB7AB1"/>
    <w:rsid w:val="00FB7FD1"/>
    <w:rsid w:val="00FC0126"/>
    <w:rsid w:val="00FC0756"/>
    <w:rsid w:val="00FC08DB"/>
    <w:rsid w:val="00FC0A96"/>
    <w:rsid w:val="00FC22B2"/>
    <w:rsid w:val="00FC2C08"/>
    <w:rsid w:val="00FC4362"/>
    <w:rsid w:val="00FC474A"/>
    <w:rsid w:val="00FC54C5"/>
    <w:rsid w:val="00FC6C4F"/>
    <w:rsid w:val="00FC7BBA"/>
    <w:rsid w:val="00FD01DC"/>
    <w:rsid w:val="00FD0D6F"/>
    <w:rsid w:val="00FD1663"/>
    <w:rsid w:val="00FD1773"/>
    <w:rsid w:val="00FD1C90"/>
    <w:rsid w:val="00FD5109"/>
    <w:rsid w:val="00FD549C"/>
    <w:rsid w:val="00FD623B"/>
    <w:rsid w:val="00FD660B"/>
    <w:rsid w:val="00FD6DC4"/>
    <w:rsid w:val="00FE106F"/>
    <w:rsid w:val="00FE1158"/>
    <w:rsid w:val="00FE12FB"/>
    <w:rsid w:val="00FE1534"/>
    <w:rsid w:val="00FE19B6"/>
    <w:rsid w:val="00FE246A"/>
    <w:rsid w:val="00FE2487"/>
    <w:rsid w:val="00FE2507"/>
    <w:rsid w:val="00FE2CCD"/>
    <w:rsid w:val="00FE2EBA"/>
    <w:rsid w:val="00FE2F60"/>
    <w:rsid w:val="00FE483F"/>
    <w:rsid w:val="00FE5BC0"/>
    <w:rsid w:val="00FE5E53"/>
    <w:rsid w:val="00FE5F0B"/>
    <w:rsid w:val="00FE6475"/>
    <w:rsid w:val="00FE6C8C"/>
    <w:rsid w:val="00FE771A"/>
    <w:rsid w:val="00FE7E47"/>
    <w:rsid w:val="00FF00B0"/>
    <w:rsid w:val="00FF040B"/>
    <w:rsid w:val="00FF0DA0"/>
    <w:rsid w:val="00FF100D"/>
    <w:rsid w:val="00FF1A6F"/>
    <w:rsid w:val="00FF1BD4"/>
    <w:rsid w:val="00FF26A1"/>
    <w:rsid w:val="00FF2B88"/>
    <w:rsid w:val="00FF3034"/>
    <w:rsid w:val="00FF33B3"/>
    <w:rsid w:val="00FF4514"/>
    <w:rsid w:val="00FF4E47"/>
    <w:rsid w:val="00FF5D17"/>
    <w:rsid w:val="00FF5FAE"/>
    <w:rsid w:val="00FF62E4"/>
    <w:rsid w:val="00FF6C80"/>
    <w:rsid w:val="00FF7668"/>
    <w:rsid w:val="00FF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80D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header" w:uiPriority="99"/>
    <w:lsdException w:name="caption" w:qFormat="1"/>
    <w:lsdException w:name="footnote reference" w:qFormat="1"/>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2A4F39"/>
    <w:pPr>
      <w:keepNext/>
      <w:keepLines/>
      <w:widowControl/>
      <w:spacing w:after="260"/>
      <w:outlineLvl w:val="0"/>
    </w:pPr>
    <w:rPr>
      <w:b/>
      <w:bCs/>
      <w:kern w:val="32"/>
      <w:szCs w:val="32"/>
      <w:u w:val="single"/>
    </w:rPr>
  </w:style>
  <w:style w:type="paragraph" w:styleId="Heading2">
    <w:name w:val="heading 2"/>
    <w:basedOn w:val="Normal"/>
    <w:next w:val="FERCparanumber"/>
    <w:link w:val="Heading2Char"/>
    <w:qFormat/>
    <w:rsid w:val="002A4F39"/>
    <w:pPr>
      <w:keepNext/>
      <w:keepLines/>
      <w:widowControl/>
      <w:spacing w:after="260"/>
      <w:ind w:left="720"/>
      <w:outlineLvl w:val="1"/>
    </w:pPr>
    <w:rPr>
      <w:b/>
      <w:bCs/>
      <w:iCs/>
      <w:kern w:val="32"/>
      <w:szCs w:val="28"/>
      <w:u w:val="single"/>
    </w:rPr>
  </w:style>
  <w:style w:type="paragraph" w:styleId="Heading3">
    <w:name w:val="heading 3"/>
    <w:basedOn w:val="Normal"/>
    <w:next w:val="FERCparanumber"/>
    <w:link w:val="Heading3Char"/>
    <w:qFormat/>
    <w:rsid w:val="002A4F39"/>
    <w:pPr>
      <w:keepNext/>
      <w:keepLines/>
      <w:widowControl/>
      <w:spacing w:after="260"/>
      <w:ind w:left="1440"/>
      <w:outlineLvl w:val="2"/>
    </w:pPr>
    <w:rPr>
      <w:b/>
      <w:bCs/>
      <w:kern w:val="32"/>
      <w:szCs w:val="26"/>
      <w:u w:val="single"/>
    </w:rPr>
  </w:style>
  <w:style w:type="paragraph" w:styleId="Heading4">
    <w:name w:val="heading 4"/>
    <w:basedOn w:val="Normal"/>
    <w:next w:val="FERCparanumber"/>
    <w:link w:val="Heading4Char"/>
    <w:qFormat/>
    <w:rsid w:val="002A4F39"/>
    <w:pPr>
      <w:keepNext/>
      <w:keepLines/>
      <w:widowControl/>
      <w:spacing w:after="260"/>
      <w:ind w:left="2160"/>
      <w:outlineLvl w:val="3"/>
    </w:pPr>
    <w:rPr>
      <w:b/>
      <w:bCs/>
      <w:kern w:val="32"/>
      <w:szCs w:val="28"/>
      <w:u w:val="single"/>
    </w:rPr>
  </w:style>
  <w:style w:type="paragraph" w:styleId="Heading5">
    <w:name w:val="heading 5"/>
    <w:basedOn w:val="Normal"/>
    <w:next w:val="FERCparanumber"/>
    <w:link w:val="Heading5Char"/>
    <w:qFormat/>
    <w:rsid w:val="002A4F39"/>
    <w:pPr>
      <w:keepNext/>
      <w:keepLines/>
      <w:widowControl/>
      <w:spacing w:after="260"/>
      <w:ind w:left="2880"/>
      <w:outlineLvl w:val="4"/>
    </w:pPr>
    <w:rPr>
      <w:b/>
      <w:bCs/>
      <w:iCs/>
      <w:kern w:val="32"/>
      <w:szCs w:val="26"/>
      <w:u w:val="single"/>
    </w:rPr>
  </w:style>
  <w:style w:type="paragraph" w:styleId="Heading6">
    <w:name w:val="heading 6"/>
    <w:basedOn w:val="Normal"/>
    <w:next w:val="FERCparanumber"/>
    <w:link w:val="Heading6Char"/>
    <w:qFormat/>
    <w:rsid w:val="002A4F39"/>
    <w:pPr>
      <w:keepNext/>
      <w:keepLines/>
      <w:widowControl/>
      <w:spacing w:after="260"/>
      <w:ind w:left="3600"/>
      <w:outlineLvl w:val="5"/>
    </w:pPr>
    <w:rPr>
      <w:b/>
      <w:bCs/>
      <w:kern w:val="32"/>
      <w:szCs w:val="22"/>
      <w:u w:val="single"/>
    </w:rPr>
  </w:style>
  <w:style w:type="paragraph" w:styleId="Heading7">
    <w:name w:val="heading 7"/>
    <w:basedOn w:val="Normal"/>
    <w:next w:val="FERCparanumber"/>
    <w:link w:val="Heading7Char"/>
    <w:qFormat/>
    <w:rsid w:val="002A4F39"/>
    <w:pPr>
      <w:spacing w:after="260"/>
      <w:ind w:left="4320"/>
      <w:outlineLvl w:val="6"/>
    </w:pPr>
    <w:rPr>
      <w:b/>
      <w:kern w:val="32"/>
      <w:u w:val="single"/>
    </w:rPr>
  </w:style>
  <w:style w:type="paragraph" w:styleId="Heading8">
    <w:name w:val="heading 8"/>
    <w:basedOn w:val="Normal"/>
    <w:next w:val="FERCparanumber"/>
    <w:link w:val="Heading8Char"/>
    <w:qFormat/>
    <w:rsid w:val="002A4F39"/>
    <w:pPr>
      <w:keepNext/>
      <w:keepLines/>
      <w:widowControl/>
      <w:spacing w:after="260"/>
      <w:ind w:left="5040"/>
      <w:outlineLvl w:val="7"/>
    </w:pPr>
    <w:rPr>
      <w:b/>
      <w:iCs/>
      <w:kern w:val="32"/>
      <w:u w:val="single"/>
    </w:rPr>
  </w:style>
  <w:style w:type="paragraph" w:styleId="Heading9">
    <w:name w:val="heading 9"/>
    <w:basedOn w:val="Normal"/>
    <w:next w:val="FERCparanumber"/>
    <w:link w:val="Heading9Char"/>
    <w:qFormat/>
    <w:rsid w:val="002A4F39"/>
    <w:pPr>
      <w:keepNext/>
      <w:keepLines/>
      <w:widowControl/>
      <w:spacing w:after="260"/>
      <w:ind w:left="57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basedOn w:val="DefaultParagraphFont"/>
    <w:qFormat/>
    <w:rsid w:val="00301152"/>
    <w:rPr>
      <w:rFonts w:ascii="Times New Roman" w:hAnsi="Times New Roman" w:cs="Times New Roman"/>
      <w:b/>
      <w:dstrike w:val="0"/>
      <w:sz w:val="26"/>
      <w:szCs w:val="26"/>
      <w:vertAlign w:val="superscript"/>
    </w:rPr>
  </w:style>
  <w:style w:type="paragraph" w:styleId="Header">
    <w:name w:val="header"/>
    <w:basedOn w:val="Normal"/>
    <w:link w:val="HeaderChar"/>
    <w:uiPriority w:val="99"/>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qFormat/>
    <w:rsid w:val="002A4F39"/>
    <w:pPr>
      <w:spacing w:after="260"/>
      <w:ind w:firstLine="720"/>
    </w:pPr>
    <w:rPr>
      <w:szCs w:val="20"/>
    </w:rPr>
  </w:style>
  <w:style w:type="character" w:customStyle="1" w:styleId="1">
    <w:name w:val="1"/>
    <w:basedOn w:val="DefaultParagraphFont"/>
    <w:rsid w:val="00301152"/>
    <w:rPr>
      <w:sz w:val="26"/>
      <w:lang w:bidi="ar-SA"/>
    </w:rPr>
  </w:style>
  <w:style w:type="paragraph" w:customStyle="1" w:styleId="BodyFootnote">
    <w:name w:val="Body Footnote"/>
    <w:basedOn w:val="FootnoteText"/>
    <w:rsid w:val="002A4F39"/>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link w:val="FERCparanumberChar"/>
    <w:qFormat/>
    <w:rsid w:val="00554D11"/>
    <w:pPr>
      <w:widowControl/>
      <w:numPr>
        <w:numId w:val="5"/>
      </w:numPr>
      <w:spacing w:line="480" w:lineRule="auto"/>
    </w:pPr>
  </w:style>
  <w:style w:type="character" w:customStyle="1" w:styleId="Heading1Char">
    <w:name w:val="Heading 1 Char"/>
    <w:basedOn w:val="DefaultParagraphFont"/>
    <w:link w:val="Heading1"/>
    <w:rsid w:val="00301152"/>
    <w:rPr>
      <w:b/>
      <w:bCs/>
      <w:kern w:val="32"/>
      <w:sz w:val="26"/>
      <w:szCs w:val="32"/>
      <w:u w:val="single"/>
      <w:lang w:bidi="ar-SA"/>
    </w:rPr>
  </w:style>
  <w:style w:type="character" w:customStyle="1" w:styleId="Heading2Char">
    <w:name w:val="Heading 2 Char"/>
    <w:basedOn w:val="DefaultParagraphFont"/>
    <w:link w:val="Heading2"/>
    <w:rsid w:val="00301152"/>
    <w:rPr>
      <w:b/>
      <w:bCs/>
      <w:iCs/>
      <w:kern w:val="32"/>
      <w:sz w:val="26"/>
      <w:szCs w:val="28"/>
      <w:u w:val="single"/>
      <w:lang w:bidi="ar-SA"/>
    </w:rPr>
  </w:style>
  <w:style w:type="character" w:customStyle="1" w:styleId="Heading3Char">
    <w:name w:val="Heading 3 Char"/>
    <w:basedOn w:val="DefaultParagraphFont"/>
    <w:link w:val="Heading3"/>
    <w:rsid w:val="00301152"/>
    <w:rPr>
      <w:b/>
      <w:bCs/>
      <w:kern w:val="32"/>
      <w:sz w:val="26"/>
      <w:szCs w:val="26"/>
      <w:u w:val="single"/>
      <w:lang w:bidi="ar-SA"/>
    </w:rPr>
  </w:style>
  <w:style w:type="character" w:customStyle="1" w:styleId="Heading4Char">
    <w:name w:val="Heading 4 Char"/>
    <w:basedOn w:val="DefaultParagraphFont"/>
    <w:link w:val="Heading4"/>
    <w:rsid w:val="00301152"/>
    <w:rPr>
      <w:b/>
      <w:bCs/>
      <w:kern w:val="32"/>
      <w:sz w:val="26"/>
      <w:szCs w:val="28"/>
      <w:u w:val="single"/>
      <w:lang w:bidi="ar-SA"/>
    </w:rPr>
  </w:style>
  <w:style w:type="character" w:customStyle="1" w:styleId="Heading5Char">
    <w:name w:val="Heading 5 Char"/>
    <w:basedOn w:val="DefaultParagraphFont"/>
    <w:link w:val="Heading5"/>
    <w:rsid w:val="00301152"/>
    <w:rPr>
      <w:b/>
      <w:bCs/>
      <w:iCs/>
      <w:kern w:val="32"/>
      <w:sz w:val="26"/>
      <w:szCs w:val="26"/>
      <w:u w:val="single"/>
      <w:lang w:bidi="ar-SA"/>
    </w:rPr>
  </w:style>
  <w:style w:type="character" w:customStyle="1" w:styleId="Heading6Char">
    <w:name w:val="Heading 6 Char"/>
    <w:basedOn w:val="DefaultParagraphFont"/>
    <w:link w:val="Heading6"/>
    <w:rsid w:val="00301152"/>
    <w:rPr>
      <w:b/>
      <w:bCs/>
      <w:kern w:val="32"/>
      <w:sz w:val="26"/>
      <w:szCs w:val="22"/>
      <w:u w:val="single"/>
      <w:lang w:bidi="ar-SA"/>
    </w:rPr>
  </w:style>
  <w:style w:type="character" w:customStyle="1" w:styleId="Heading7Char">
    <w:name w:val="Heading 7 Char"/>
    <w:basedOn w:val="DefaultParagraphFont"/>
    <w:link w:val="Heading7"/>
    <w:rsid w:val="00301152"/>
    <w:rPr>
      <w:b/>
      <w:kern w:val="32"/>
      <w:sz w:val="26"/>
      <w:szCs w:val="24"/>
      <w:u w:val="single"/>
      <w:lang w:bidi="ar-SA"/>
    </w:rPr>
  </w:style>
  <w:style w:type="character" w:customStyle="1" w:styleId="Heading8Char">
    <w:name w:val="Heading 8 Char"/>
    <w:basedOn w:val="DefaultParagraphFont"/>
    <w:link w:val="Heading8"/>
    <w:rsid w:val="00301152"/>
    <w:rPr>
      <w:b/>
      <w:iCs/>
      <w:kern w:val="32"/>
      <w:sz w:val="26"/>
      <w:szCs w:val="24"/>
      <w:u w:val="single"/>
      <w:lang w:bidi="ar-SA"/>
    </w:rPr>
  </w:style>
  <w:style w:type="character" w:customStyle="1" w:styleId="Heading9Char">
    <w:name w:val="Heading 9 Char"/>
    <w:basedOn w:val="DefaultParagraphFont"/>
    <w:link w:val="Heading9"/>
    <w:rsid w:val="00301152"/>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2A4F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2A4F39"/>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2A4F39"/>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uiPriority w:val="39"/>
    <w:rsid w:val="00301152"/>
  </w:style>
  <w:style w:type="paragraph" w:styleId="TOC2">
    <w:name w:val="toc 2"/>
    <w:basedOn w:val="Normal"/>
    <w:next w:val="Normal"/>
    <w:uiPriority w:val="39"/>
    <w:rsid w:val="00301152"/>
    <w:pPr>
      <w:ind w:left="260"/>
    </w:pPr>
  </w:style>
  <w:style w:type="paragraph" w:styleId="TOC3">
    <w:name w:val="toc 3"/>
    <w:basedOn w:val="Normal"/>
    <w:next w:val="Normal"/>
    <w:uiPriority w:val="39"/>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unhideWhenUsed/>
    <w:qFormat/>
    <w:rsid w:val="002A4F39"/>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styleId="Hyperlink">
    <w:name w:val="Hyperlink"/>
    <w:uiPriority w:val="99"/>
    <w:rsid w:val="00A123E5"/>
    <w:rPr>
      <w:color w:val="0000FF"/>
      <w:u w:val="single"/>
    </w:rPr>
  </w:style>
  <w:style w:type="character" w:customStyle="1" w:styleId="a">
    <w:rsid w:val="00A123E5"/>
    <w:rPr>
      <w:sz w:val="26"/>
      <w:lang w:bidi="ar-SA"/>
    </w:rPr>
  </w:style>
  <w:style w:type="character" w:customStyle="1" w:styleId="FERCparanumberChar">
    <w:name w:val="FERC paranumber Char"/>
    <w:link w:val="FERCparanumber"/>
    <w:rsid w:val="00554D11"/>
    <w:rPr>
      <w:sz w:val="26"/>
      <w:szCs w:val="24"/>
      <w:lang w:bidi="ar-SA"/>
    </w:rPr>
  </w:style>
  <w:style w:type="paragraph" w:customStyle="1" w:styleId="RegText">
    <w:name w:val="Reg Text"/>
    <w:basedOn w:val="Normal"/>
    <w:rsid w:val="00A123E5"/>
    <w:pPr>
      <w:numPr>
        <w:numId w:val="29"/>
      </w:numPr>
    </w:pPr>
    <w:rPr>
      <w:szCs w:val="26"/>
    </w:rPr>
  </w:style>
  <w:style w:type="character" w:styleId="CommentReference">
    <w:name w:val="annotation reference"/>
    <w:semiHidden/>
    <w:rsid w:val="00A123E5"/>
    <w:rPr>
      <w:sz w:val="16"/>
      <w:szCs w:val="16"/>
    </w:rPr>
  </w:style>
  <w:style w:type="paragraph" w:customStyle="1" w:styleId="Default">
    <w:name w:val="Default"/>
    <w:rsid w:val="00A123E5"/>
    <w:pPr>
      <w:autoSpaceDE w:val="0"/>
      <w:autoSpaceDN w:val="0"/>
      <w:adjustRightInd w:val="0"/>
    </w:pPr>
    <w:rPr>
      <w:color w:val="000000"/>
      <w:sz w:val="24"/>
      <w:szCs w:val="24"/>
      <w:lang w:bidi="ar-SA"/>
    </w:rPr>
  </w:style>
  <w:style w:type="character" w:styleId="FollowedHyperlink">
    <w:name w:val="FollowedHyperlink"/>
    <w:basedOn w:val="DefaultParagraphFont"/>
    <w:rsid w:val="00A123E5"/>
    <w:rPr>
      <w:color w:val="800080"/>
      <w:u w:val="single"/>
    </w:rPr>
  </w:style>
  <w:style w:type="character" w:customStyle="1" w:styleId="HeaderChar">
    <w:name w:val="Header Char"/>
    <w:basedOn w:val="DefaultParagraphFont"/>
    <w:link w:val="Header"/>
    <w:uiPriority w:val="99"/>
    <w:rsid w:val="004900D1"/>
    <w:rPr>
      <w:sz w:val="26"/>
      <w:szCs w:val="24"/>
      <w:lang w:bidi="ar-SA"/>
    </w:rPr>
  </w:style>
  <w:style w:type="paragraph" w:styleId="Revision">
    <w:name w:val="Revision"/>
    <w:hidden/>
    <w:uiPriority w:val="99"/>
    <w:semiHidden/>
    <w:rsid w:val="00F44E0F"/>
    <w:rPr>
      <w:sz w:val="26"/>
      <w:szCs w:val="24"/>
      <w:lang w:bidi="ar-SA"/>
    </w:rPr>
  </w:style>
  <w:style w:type="character" w:customStyle="1" w:styleId="a0">
    <w:basedOn w:val="DefaultParagraphFont"/>
    <w:uiPriority w:val="99"/>
    <w:rsid w:val="00775EF5"/>
    <w:rPr>
      <w:sz w:val="26"/>
      <w:lang w:bidi="ar-SA"/>
    </w:rPr>
  </w:style>
  <w:style w:type="character" w:customStyle="1" w:styleId="a1">
    <w:basedOn w:val="DefaultParagraphFont"/>
    <w:uiPriority w:val="99"/>
    <w:locked/>
    <w:rsid w:val="003B27BA"/>
    <w:rPr>
      <w:sz w:val="26"/>
      <w:lang w:bidi="ar-SA"/>
    </w:rPr>
  </w:style>
  <w:style w:type="character" w:customStyle="1" w:styleId="a2">
    <w:basedOn w:val="DefaultParagraphFont"/>
    <w:rsid w:val="00C62BD5"/>
    <w:rPr>
      <w:sz w:val="26"/>
      <w:lang w:bidi="ar-SA"/>
    </w:rPr>
  </w:style>
  <w:style w:type="character" w:customStyle="1" w:styleId="a3">
    <w:basedOn w:val="DefaultParagraphFont"/>
    <w:uiPriority w:val="99"/>
    <w:rsid w:val="003C4C22"/>
    <w:rPr>
      <w:sz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header" w:uiPriority="99"/>
    <w:lsdException w:name="caption" w:qFormat="1"/>
    <w:lsdException w:name="footnote reference" w:qFormat="1"/>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2A4F39"/>
    <w:pPr>
      <w:keepNext/>
      <w:keepLines/>
      <w:widowControl/>
      <w:spacing w:after="260"/>
      <w:outlineLvl w:val="0"/>
    </w:pPr>
    <w:rPr>
      <w:b/>
      <w:bCs/>
      <w:kern w:val="32"/>
      <w:szCs w:val="32"/>
      <w:u w:val="single"/>
    </w:rPr>
  </w:style>
  <w:style w:type="paragraph" w:styleId="Heading2">
    <w:name w:val="heading 2"/>
    <w:basedOn w:val="Normal"/>
    <w:next w:val="FERCparanumber"/>
    <w:link w:val="Heading2Char"/>
    <w:qFormat/>
    <w:rsid w:val="002A4F39"/>
    <w:pPr>
      <w:keepNext/>
      <w:keepLines/>
      <w:widowControl/>
      <w:spacing w:after="260"/>
      <w:ind w:left="720"/>
      <w:outlineLvl w:val="1"/>
    </w:pPr>
    <w:rPr>
      <w:b/>
      <w:bCs/>
      <w:iCs/>
      <w:kern w:val="32"/>
      <w:szCs w:val="28"/>
      <w:u w:val="single"/>
    </w:rPr>
  </w:style>
  <w:style w:type="paragraph" w:styleId="Heading3">
    <w:name w:val="heading 3"/>
    <w:basedOn w:val="Normal"/>
    <w:next w:val="FERCparanumber"/>
    <w:link w:val="Heading3Char"/>
    <w:qFormat/>
    <w:rsid w:val="002A4F39"/>
    <w:pPr>
      <w:keepNext/>
      <w:keepLines/>
      <w:widowControl/>
      <w:spacing w:after="260"/>
      <w:ind w:left="1440"/>
      <w:outlineLvl w:val="2"/>
    </w:pPr>
    <w:rPr>
      <w:b/>
      <w:bCs/>
      <w:kern w:val="32"/>
      <w:szCs w:val="26"/>
      <w:u w:val="single"/>
    </w:rPr>
  </w:style>
  <w:style w:type="paragraph" w:styleId="Heading4">
    <w:name w:val="heading 4"/>
    <w:basedOn w:val="Normal"/>
    <w:next w:val="FERCparanumber"/>
    <w:link w:val="Heading4Char"/>
    <w:qFormat/>
    <w:rsid w:val="002A4F39"/>
    <w:pPr>
      <w:keepNext/>
      <w:keepLines/>
      <w:widowControl/>
      <w:spacing w:after="260"/>
      <w:ind w:left="2160"/>
      <w:outlineLvl w:val="3"/>
    </w:pPr>
    <w:rPr>
      <w:b/>
      <w:bCs/>
      <w:kern w:val="32"/>
      <w:szCs w:val="28"/>
      <w:u w:val="single"/>
    </w:rPr>
  </w:style>
  <w:style w:type="paragraph" w:styleId="Heading5">
    <w:name w:val="heading 5"/>
    <w:basedOn w:val="Normal"/>
    <w:next w:val="FERCparanumber"/>
    <w:link w:val="Heading5Char"/>
    <w:qFormat/>
    <w:rsid w:val="002A4F39"/>
    <w:pPr>
      <w:keepNext/>
      <w:keepLines/>
      <w:widowControl/>
      <w:spacing w:after="260"/>
      <w:ind w:left="2880"/>
      <w:outlineLvl w:val="4"/>
    </w:pPr>
    <w:rPr>
      <w:b/>
      <w:bCs/>
      <w:iCs/>
      <w:kern w:val="32"/>
      <w:szCs w:val="26"/>
      <w:u w:val="single"/>
    </w:rPr>
  </w:style>
  <w:style w:type="paragraph" w:styleId="Heading6">
    <w:name w:val="heading 6"/>
    <w:basedOn w:val="Normal"/>
    <w:next w:val="FERCparanumber"/>
    <w:link w:val="Heading6Char"/>
    <w:qFormat/>
    <w:rsid w:val="002A4F39"/>
    <w:pPr>
      <w:keepNext/>
      <w:keepLines/>
      <w:widowControl/>
      <w:spacing w:after="260"/>
      <w:ind w:left="3600"/>
      <w:outlineLvl w:val="5"/>
    </w:pPr>
    <w:rPr>
      <w:b/>
      <w:bCs/>
      <w:kern w:val="32"/>
      <w:szCs w:val="22"/>
      <w:u w:val="single"/>
    </w:rPr>
  </w:style>
  <w:style w:type="paragraph" w:styleId="Heading7">
    <w:name w:val="heading 7"/>
    <w:basedOn w:val="Normal"/>
    <w:next w:val="FERCparanumber"/>
    <w:link w:val="Heading7Char"/>
    <w:qFormat/>
    <w:rsid w:val="002A4F39"/>
    <w:pPr>
      <w:spacing w:after="260"/>
      <w:ind w:left="4320"/>
      <w:outlineLvl w:val="6"/>
    </w:pPr>
    <w:rPr>
      <w:b/>
      <w:kern w:val="32"/>
      <w:u w:val="single"/>
    </w:rPr>
  </w:style>
  <w:style w:type="paragraph" w:styleId="Heading8">
    <w:name w:val="heading 8"/>
    <w:basedOn w:val="Normal"/>
    <w:next w:val="FERCparanumber"/>
    <w:link w:val="Heading8Char"/>
    <w:qFormat/>
    <w:rsid w:val="002A4F39"/>
    <w:pPr>
      <w:keepNext/>
      <w:keepLines/>
      <w:widowControl/>
      <w:spacing w:after="260"/>
      <w:ind w:left="5040"/>
      <w:outlineLvl w:val="7"/>
    </w:pPr>
    <w:rPr>
      <w:b/>
      <w:iCs/>
      <w:kern w:val="32"/>
      <w:u w:val="single"/>
    </w:rPr>
  </w:style>
  <w:style w:type="paragraph" w:styleId="Heading9">
    <w:name w:val="heading 9"/>
    <w:basedOn w:val="Normal"/>
    <w:next w:val="FERCparanumber"/>
    <w:link w:val="Heading9Char"/>
    <w:qFormat/>
    <w:rsid w:val="002A4F39"/>
    <w:pPr>
      <w:keepNext/>
      <w:keepLines/>
      <w:widowControl/>
      <w:spacing w:after="260"/>
      <w:ind w:left="57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basedOn w:val="DefaultParagraphFont"/>
    <w:qFormat/>
    <w:rsid w:val="00301152"/>
    <w:rPr>
      <w:rFonts w:ascii="Times New Roman" w:hAnsi="Times New Roman" w:cs="Times New Roman"/>
      <w:b/>
      <w:dstrike w:val="0"/>
      <w:sz w:val="26"/>
      <w:szCs w:val="26"/>
      <w:vertAlign w:val="superscript"/>
    </w:rPr>
  </w:style>
  <w:style w:type="paragraph" w:styleId="Header">
    <w:name w:val="header"/>
    <w:basedOn w:val="Normal"/>
    <w:link w:val="HeaderChar"/>
    <w:uiPriority w:val="99"/>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qFormat/>
    <w:rsid w:val="002A4F39"/>
    <w:pPr>
      <w:spacing w:after="260"/>
      <w:ind w:firstLine="720"/>
    </w:pPr>
    <w:rPr>
      <w:szCs w:val="20"/>
    </w:rPr>
  </w:style>
  <w:style w:type="character" w:customStyle="1" w:styleId="1">
    <w:name w:val="1"/>
    <w:basedOn w:val="DefaultParagraphFont"/>
    <w:rsid w:val="00301152"/>
    <w:rPr>
      <w:sz w:val="26"/>
      <w:lang w:bidi="ar-SA"/>
    </w:rPr>
  </w:style>
  <w:style w:type="paragraph" w:customStyle="1" w:styleId="BodyFootnote">
    <w:name w:val="Body Footnote"/>
    <w:basedOn w:val="FootnoteText"/>
    <w:rsid w:val="002A4F39"/>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link w:val="FERCparanumberChar"/>
    <w:qFormat/>
    <w:rsid w:val="00554D11"/>
    <w:pPr>
      <w:widowControl/>
      <w:numPr>
        <w:numId w:val="5"/>
      </w:numPr>
      <w:spacing w:line="480" w:lineRule="auto"/>
    </w:pPr>
  </w:style>
  <w:style w:type="character" w:customStyle="1" w:styleId="Heading1Char">
    <w:name w:val="Heading 1 Char"/>
    <w:basedOn w:val="DefaultParagraphFont"/>
    <w:link w:val="Heading1"/>
    <w:rsid w:val="00301152"/>
    <w:rPr>
      <w:b/>
      <w:bCs/>
      <w:kern w:val="32"/>
      <w:sz w:val="26"/>
      <w:szCs w:val="32"/>
      <w:u w:val="single"/>
      <w:lang w:bidi="ar-SA"/>
    </w:rPr>
  </w:style>
  <w:style w:type="character" w:customStyle="1" w:styleId="Heading2Char">
    <w:name w:val="Heading 2 Char"/>
    <w:basedOn w:val="DefaultParagraphFont"/>
    <w:link w:val="Heading2"/>
    <w:rsid w:val="00301152"/>
    <w:rPr>
      <w:b/>
      <w:bCs/>
      <w:iCs/>
      <w:kern w:val="32"/>
      <w:sz w:val="26"/>
      <w:szCs w:val="28"/>
      <w:u w:val="single"/>
      <w:lang w:bidi="ar-SA"/>
    </w:rPr>
  </w:style>
  <w:style w:type="character" w:customStyle="1" w:styleId="Heading3Char">
    <w:name w:val="Heading 3 Char"/>
    <w:basedOn w:val="DefaultParagraphFont"/>
    <w:link w:val="Heading3"/>
    <w:rsid w:val="00301152"/>
    <w:rPr>
      <w:b/>
      <w:bCs/>
      <w:kern w:val="32"/>
      <w:sz w:val="26"/>
      <w:szCs w:val="26"/>
      <w:u w:val="single"/>
      <w:lang w:bidi="ar-SA"/>
    </w:rPr>
  </w:style>
  <w:style w:type="character" w:customStyle="1" w:styleId="Heading4Char">
    <w:name w:val="Heading 4 Char"/>
    <w:basedOn w:val="DefaultParagraphFont"/>
    <w:link w:val="Heading4"/>
    <w:rsid w:val="00301152"/>
    <w:rPr>
      <w:b/>
      <w:bCs/>
      <w:kern w:val="32"/>
      <w:sz w:val="26"/>
      <w:szCs w:val="28"/>
      <w:u w:val="single"/>
      <w:lang w:bidi="ar-SA"/>
    </w:rPr>
  </w:style>
  <w:style w:type="character" w:customStyle="1" w:styleId="Heading5Char">
    <w:name w:val="Heading 5 Char"/>
    <w:basedOn w:val="DefaultParagraphFont"/>
    <w:link w:val="Heading5"/>
    <w:rsid w:val="00301152"/>
    <w:rPr>
      <w:b/>
      <w:bCs/>
      <w:iCs/>
      <w:kern w:val="32"/>
      <w:sz w:val="26"/>
      <w:szCs w:val="26"/>
      <w:u w:val="single"/>
      <w:lang w:bidi="ar-SA"/>
    </w:rPr>
  </w:style>
  <w:style w:type="character" w:customStyle="1" w:styleId="Heading6Char">
    <w:name w:val="Heading 6 Char"/>
    <w:basedOn w:val="DefaultParagraphFont"/>
    <w:link w:val="Heading6"/>
    <w:rsid w:val="00301152"/>
    <w:rPr>
      <w:b/>
      <w:bCs/>
      <w:kern w:val="32"/>
      <w:sz w:val="26"/>
      <w:szCs w:val="22"/>
      <w:u w:val="single"/>
      <w:lang w:bidi="ar-SA"/>
    </w:rPr>
  </w:style>
  <w:style w:type="character" w:customStyle="1" w:styleId="Heading7Char">
    <w:name w:val="Heading 7 Char"/>
    <w:basedOn w:val="DefaultParagraphFont"/>
    <w:link w:val="Heading7"/>
    <w:rsid w:val="00301152"/>
    <w:rPr>
      <w:b/>
      <w:kern w:val="32"/>
      <w:sz w:val="26"/>
      <w:szCs w:val="24"/>
      <w:u w:val="single"/>
      <w:lang w:bidi="ar-SA"/>
    </w:rPr>
  </w:style>
  <w:style w:type="character" w:customStyle="1" w:styleId="Heading8Char">
    <w:name w:val="Heading 8 Char"/>
    <w:basedOn w:val="DefaultParagraphFont"/>
    <w:link w:val="Heading8"/>
    <w:rsid w:val="00301152"/>
    <w:rPr>
      <w:b/>
      <w:iCs/>
      <w:kern w:val="32"/>
      <w:sz w:val="26"/>
      <w:szCs w:val="24"/>
      <w:u w:val="single"/>
      <w:lang w:bidi="ar-SA"/>
    </w:rPr>
  </w:style>
  <w:style w:type="character" w:customStyle="1" w:styleId="Heading9Char">
    <w:name w:val="Heading 9 Char"/>
    <w:basedOn w:val="DefaultParagraphFont"/>
    <w:link w:val="Heading9"/>
    <w:rsid w:val="00301152"/>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2A4F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2A4F39"/>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2A4F39"/>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uiPriority w:val="39"/>
    <w:rsid w:val="00301152"/>
  </w:style>
  <w:style w:type="paragraph" w:styleId="TOC2">
    <w:name w:val="toc 2"/>
    <w:basedOn w:val="Normal"/>
    <w:next w:val="Normal"/>
    <w:uiPriority w:val="39"/>
    <w:rsid w:val="00301152"/>
    <w:pPr>
      <w:ind w:left="260"/>
    </w:pPr>
  </w:style>
  <w:style w:type="paragraph" w:styleId="TOC3">
    <w:name w:val="toc 3"/>
    <w:basedOn w:val="Normal"/>
    <w:next w:val="Normal"/>
    <w:uiPriority w:val="39"/>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unhideWhenUsed/>
    <w:qFormat/>
    <w:rsid w:val="002A4F39"/>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styleId="Hyperlink">
    <w:name w:val="Hyperlink"/>
    <w:uiPriority w:val="99"/>
    <w:rsid w:val="00A123E5"/>
    <w:rPr>
      <w:color w:val="0000FF"/>
      <w:u w:val="single"/>
    </w:rPr>
  </w:style>
  <w:style w:type="character" w:customStyle="1" w:styleId="a">
    <w:rsid w:val="00A123E5"/>
    <w:rPr>
      <w:sz w:val="26"/>
      <w:lang w:bidi="ar-SA"/>
    </w:rPr>
  </w:style>
  <w:style w:type="character" w:customStyle="1" w:styleId="FERCparanumberChar">
    <w:name w:val="FERC paranumber Char"/>
    <w:link w:val="FERCparanumber"/>
    <w:rsid w:val="00554D11"/>
    <w:rPr>
      <w:sz w:val="26"/>
      <w:szCs w:val="24"/>
      <w:lang w:bidi="ar-SA"/>
    </w:rPr>
  </w:style>
  <w:style w:type="paragraph" w:customStyle="1" w:styleId="RegText">
    <w:name w:val="Reg Text"/>
    <w:basedOn w:val="Normal"/>
    <w:rsid w:val="00A123E5"/>
    <w:pPr>
      <w:numPr>
        <w:numId w:val="29"/>
      </w:numPr>
    </w:pPr>
    <w:rPr>
      <w:szCs w:val="26"/>
    </w:rPr>
  </w:style>
  <w:style w:type="character" w:styleId="CommentReference">
    <w:name w:val="annotation reference"/>
    <w:semiHidden/>
    <w:rsid w:val="00A123E5"/>
    <w:rPr>
      <w:sz w:val="16"/>
      <w:szCs w:val="16"/>
    </w:rPr>
  </w:style>
  <w:style w:type="paragraph" w:customStyle="1" w:styleId="Default">
    <w:name w:val="Default"/>
    <w:rsid w:val="00A123E5"/>
    <w:pPr>
      <w:autoSpaceDE w:val="0"/>
      <w:autoSpaceDN w:val="0"/>
      <w:adjustRightInd w:val="0"/>
    </w:pPr>
    <w:rPr>
      <w:color w:val="000000"/>
      <w:sz w:val="24"/>
      <w:szCs w:val="24"/>
      <w:lang w:bidi="ar-SA"/>
    </w:rPr>
  </w:style>
  <w:style w:type="character" w:styleId="FollowedHyperlink">
    <w:name w:val="FollowedHyperlink"/>
    <w:basedOn w:val="DefaultParagraphFont"/>
    <w:rsid w:val="00A123E5"/>
    <w:rPr>
      <w:color w:val="800080"/>
      <w:u w:val="single"/>
    </w:rPr>
  </w:style>
  <w:style w:type="character" w:customStyle="1" w:styleId="HeaderChar">
    <w:name w:val="Header Char"/>
    <w:basedOn w:val="DefaultParagraphFont"/>
    <w:link w:val="Header"/>
    <w:uiPriority w:val="99"/>
    <w:rsid w:val="004900D1"/>
    <w:rPr>
      <w:sz w:val="26"/>
      <w:szCs w:val="24"/>
      <w:lang w:bidi="ar-SA"/>
    </w:rPr>
  </w:style>
  <w:style w:type="paragraph" w:styleId="Revision">
    <w:name w:val="Revision"/>
    <w:hidden/>
    <w:uiPriority w:val="99"/>
    <w:semiHidden/>
    <w:rsid w:val="00F44E0F"/>
    <w:rPr>
      <w:sz w:val="26"/>
      <w:szCs w:val="24"/>
      <w:lang w:bidi="ar-SA"/>
    </w:rPr>
  </w:style>
  <w:style w:type="character" w:customStyle="1" w:styleId="a0">
    <w:basedOn w:val="DefaultParagraphFont"/>
    <w:uiPriority w:val="99"/>
    <w:rsid w:val="00775EF5"/>
    <w:rPr>
      <w:sz w:val="26"/>
      <w:lang w:bidi="ar-SA"/>
    </w:rPr>
  </w:style>
  <w:style w:type="character" w:customStyle="1" w:styleId="a1">
    <w:basedOn w:val="DefaultParagraphFont"/>
    <w:uiPriority w:val="99"/>
    <w:locked/>
    <w:rsid w:val="003B27BA"/>
    <w:rPr>
      <w:sz w:val="26"/>
      <w:lang w:bidi="ar-SA"/>
    </w:rPr>
  </w:style>
  <w:style w:type="character" w:customStyle="1" w:styleId="a2">
    <w:basedOn w:val="DefaultParagraphFont"/>
    <w:rsid w:val="00C62BD5"/>
    <w:rPr>
      <w:sz w:val="26"/>
      <w:lang w:bidi="ar-SA"/>
    </w:rPr>
  </w:style>
  <w:style w:type="character" w:customStyle="1" w:styleId="a3">
    <w:basedOn w:val="DefaultParagraphFont"/>
    <w:uiPriority w:val="99"/>
    <w:rsid w:val="003C4C22"/>
    <w:rPr>
      <w:sz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097079">
      <w:bodyDiv w:val="1"/>
      <w:marLeft w:val="0"/>
      <w:marRight w:val="0"/>
      <w:marTop w:val="0"/>
      <w:marBottom w:val="0"/>
      <w:divBdr>
        <w:top w:val="none" w:sz="0" w:space="0" w:color="auto"/>
        <w:left w:val="none" w:sz="0" w:space="0" w:color="auto"/>
        <w:bottom w:val="none" w:sz="0" w:space="0" w:color="auto"/>
        <w:right w:val="none" w:sz="0" w:space="0" w:color="auto"/>
      </w:divBdr>
    </w:div>
    <w:div w:id="548763421">
      <w:bodyDiv w:val="1"/>
      <w:marLeft w:val="0"/>
      <w:marRight w:val="0"/>
      <w:marTop w:val="0"/>
      <w:marBottom w:val="0"/>
      <w:divBdr>
        <w:top w:val="none" w:sz="0" w:space="0" w:color="auto"/>
        <w:left w:val="none" w:sz="0" w:space="0" w:color="auto"/>
        <w:bottom w:val="none" w:sz="0" w:space="0" w:color="auto"/>
        <w:right w:val="none" w:sz="0" w:space="0" w:color="auto"/>
      </w:divBdr>
    </w:div>
    <w:div w:id="611979957">
      <w:bodyDiv w:val="1"/>
      <w:marLeft w:val="0"/>
      <w:marRight w:val="0"/>
      <w:marTop w:val="0"/>
      <w:marBottom w:val="0"/>
      <w:divBdr>
        <w:top w:val="none" w:sz="0" w:space="0" w:color="auto"/>
        <w:left w:val="none" w:sz="0" w:space="0" w:color="auto"/>
        <w:bottom w:val="none" w:sz="0" w:space="0" w:color="auto"/>
        <w:right w:val="none" w:sz="0" w:space="0" w:color="auto"/>
      </w:divBdr>
    </w:div>
    <w:div w:id="694355954">
      <w:bodyDiv w:val="1"/>
      <w:marLeft w:val="0"/>
      <w:marRight w:val="0"/>
      <w:marTop w:val="0"/>
      <w:marBottom w:val="0"/>
      <w:divBdr>
        <w:top w:val="none" w:sz="0" w:space="0" w:color="auto"/>
        <w:left w:val="none" w:sz="0" w:space="0" w:color="auto"/>
        <w:bottom w:val="none" w:sz="0" w:space="0" w:color="auto"/>
        <w:right w:val="none" w:sz="0" w:space="0" w:color="auto"/>
      </w:divBdr>
    </w:div>
    <w:div w:id="724649009">
      <w:bodyDiv w:val="1"/>
      <w:marLeft w:val="0"/>
      <w:marRight w:val="0"/>
      <w:marTop w:val="0"/>
      <w:marBottom w:val="0"/>
      <w:divBdr>
        <w:top w:val="none" w:sz="0" w:space="0" w:color="auto"/>
        <w:left w:val="none" w:sz="0" w:space="0" w:color="auto"/>
        <w:bottom w:val="none" w:sz="0" w:space="0" w:color="auto"/>
        <w:right w:val="none" w:sz="0" w:space="0" w:color="auto"/>
      </w:divBdr>
    </w:div>
    <w:div w:id="778336303">
      <w:bodyDiv w:val="1"/>
      <w:marLeft w:val="0"/>
      <w:marRight w:val="0"/>
      <w:marTop w:val="0"/>
      <w:marBottom w:val="0"/>
      <w:divBdr>
        <w:top w:val="none" w:sz="0" w:space="0" w:color="auto"/>
        <w:left w:val="none" w:sz="0" w:space="0" w:color="auto"/>
        <w:bottom w:val="none" w:sz="0" w:space="0" w:color="auto"/>
        <w:right w:val="none" w:sz="0" w:space="0" w:color="auto"/>
      </w:divBdr>
    </w:div>
    <w:div w:id="893783384">
      <w:bodyDiv w:val="1"/>
      <w:marLeft w:val="0"/>
      <w:marRight w:val="0"/>
      <w:marTop w:val="0"/>
      <w:marBottom w:val="0"/>
      <w:divBdr>
        <w:top w:val="none" w:sz="0" w:space="0" w:color="auto"/>
        <w:left w:val="none" w:sz="0" w:space="0" w:color="auto"/>
        <w:bottom w:val="none" w:sz="0" w:space="0" w:color="auto"/>
        <w:right w:val="none" w:sz="0" w:space="0" w:color="auto"/>
      </w:divBdr>
    </w:div>
    <w:div w:id="970745641">
      <w:bodyDiv w:val="1"/>
      <w:marLeft w:val="0"/>
      <w:marRight w:val="0"/>
      <w:marTop w:val="0"/>
      <w:marBottom w:val="0"/>
      <w:divBdr>
        <w:top w:val="none" w:sz="0" w:space="0" w:color="auto"/>
        <w:left w:val="none" w:sz="0" w:space="0" w:color="auto"/>
        <w:bottom w:val="none" w:sz="0" w:space="0" w:color="auto"/>
        <w:right w:val="none" w:sz="0" w:space="0" w:color="auto"/>
      </w:divBdr>
    </w:div>
    <w:div w:id="1146973977">
      <w:bodyDiv w:val="1"/>
      <w:marLeft w:val="0"/>
      <w:marRight w:val="0"/>
      <w:marTop w:val="0"/>
      <w:marBottom w:val="0"/>
      <w:divBdr>
        <w:top w:val="none" w:sz="0" w:space="0" w:color="auto"/>
        <w:left w:val="none" w:sz="0" w:space="0" w:color="auto"/>
        <w:bottom w:val="none" w:sz="0" w:space="0" w:color="auto"/>
        <w:right w:val="none" w:sz="0" w:space="0" w:color="auto"/>
      </w:divBdr>
    </w:div>
    <w:div w:id="1326782328">
      <w:bodyDiv w:val="1"/>
      <w:marLeft w:val="0"/>
      <w:marRight w:val="0"/>
      <w:marTop w:val="0"/>
      <w:marBottom w:val="0"/>
      <w:divBdr>
        <w:top w:val="none" w:sz="0" w:space="0" w:color="auto"/>
        <w:left w:val="none" w:sz="0" w:space="0" w:color="auto"/>
        <w:bottom w:val="none" w:sz="0" w:space="0" w:color="auto"/>
        <w:right w:val="none" w:sz="0" w:space="0" w:color="auto"/>
      </w:divBdr>
    </w:div>
    <w:div w:id="2024700214">
      <w:bodyDiv w:val="1"/>
      <w:marLeft w:val="0"/>
      <w:marRight w:val="0"/>
      <w:marTop w:val="0"/>
      <w:marBottom w:val="0"/>
      <w:divBdr>
        <w:top w:val="none" w:sz="0" w:space="0" w:color="auto"/>
        <w:left w:val="none" w:sz="0" w:space="0" w:color="auto"/>
        <w:bottom w:val="none" w:sz="0" w:space="0" w:color="auto"/>
        <w:right w:val="none" w:sz="0" w:space="0" w:color="auto"/>
      </w:divBdr>
    </w:div>
    <w:div w:id="2094280730">
      <w:bodyDiv w:val="1"/>
      <w:marLeft w:val="0"/>
      <w:marRight w:val="0"/>
      <w:marTop w:val="0"/>
      <w:marBottom w:val="0"/>
      <w:divBdr>
        <w:top w:val="none" w:sz="0" w:space="0" w:color="auto"/>
        <w:left w:val="none" w:sz="0" w:space="0" w:color="auto"/>
        <w:bottom w:val="none" w:sz="0" w:space="0" w:color="auto"/>
        <w:right w:val="none" w:sz="0" w:space="0" w:color="auto"/>
      </w:divBdr>
    </w:div>
    <w:div w:id="2122453265">
      <w:bodyDiv w:val="1"/>
      <w:marLeft w:val="0"/>
      <w:marRight w:val="0"/>
      <w:marTop w:val="0"/>
      <w:marBottom w:val="0"/>
      <w:divBdr>
        <w:top w:val="none" w:sz="0" w:space="0" w:color="auto"/>
        <w:left w:val="none" w:sz="0" w:space="0" w:color="auto"/>
        <w:bottom w:val="none" w:sz="0" w:space="0" w:color="auto"/>
        <w:right w:val="none" w:sz="0" w:space="0" w:color="auto"/>
      </w:divBdr>
    </w:div>
    <w:div w:id="213405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ferc.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ferc.gov" TargetMode="External"/><Relationship Id="rId17" Type="http://schemas.openxmlformats.org/officeDocument/2006/relationships/hyperlink" Target="http://www.ferc.gov" TargetMode="External"/><Relationship Id="rId2" Type="http://schemas.openxmlformats.org/officeDocument/2006/relationships/customXml" Target="../customXml/item2.xml"/><Relationship Id="rId16" Type="http://schemas.openxmlformats.org/officeDocument/2006/relationships/hyperlink" Target="http://www.ferc.gov" TargetMode="External"/><Relationship Id="rId20" Type="http://schemas.openxmlformats.org/officeDocument/2006/relationships/hyperlink" Target="mailto:public.referenceroom@ferc.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naesb.org/" TargetMode="External"/><Relationship Id="rId10" Type="http://schemas.openxmlformats.org/officeDocument/2006/relationships/footnotes" Target="footnotes.xml"/><Relationship Id="rId19" Type="http://schemas.openxmlformats.org/officeDocument/2006/relationships/hyperlink" Target="mailto:ferconlinesupport@ferc.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aesb.org/misc/NAESB_Nonmember_Evaluation.pdf" TargetMode="External"/><Relationship Id="rId2" Type="http://schemas.openxmlformats.org/officeDocument/2006/relationships/hyperlink" Target="https://en.wikipedia.org/wiki/Dun_%26_Bradstreet" TargetMode="External"/><Relationship Id="rId1" Type="http://schemas.openxmlformats.org/officeDocument/2006/relationships/hyperlink" Target="https://www.naesb.org/pdf4/r140" TargetMode="External"/><Relationship Id="rId6" Type="http://schemas.openxmlformats.org/officeDocument/2006/relationships/hyperlink" Target="https://www.naesb.org/pdf/ordrform.pdf" TargetMode="External"/><Relationship Id="rId5" Type="http://schemas.openxmlformats.org/officeDocument/2006/relationships/hyperlink" Target="https://www.naesb.org/pdf4/naesbapp.pdf" TargetMode="External"/><Relationship Id="rId4"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C8497-D502-4469-ACF2-60EB6A424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831D248-204B-4E62-93A2-30C13987772F}">
  <ds:schemaRefs>
    <ds:schemaRef ds:uri="http://schemas.microsoft.com/sharepoint/v3/contenttype/forms"/>
  </ds:schemaRefs>
</ds:datastoreItem>
</file>

<file path=customXml/itemProps3.xml><?xml version="1.0" encoding="utf-8"?>
<ds:datastoreItem xmlns:ds="http://schemas.openxmlformats.org/officeDocument/2006/customXml" ds:itemID="{28BAA0D4-BFE0-4918-844A-01DC53F359AA}">
  <ds:schemaRefs>
    <ds:schemaRef ds:uri="http://schemas.microsoft.com/office/2006/metadata/properties"/>
  </ds:schemaRefs>
</ds:datastoreItem>
</file>

<file path=customXml/itemProps4.xml><?xml version="1.0" encoding="utf-8"?>
<ds:datastoreItem xmlns:ds="http://schemas.openxmlformats.org/officeDocument/2006/customXml" ds:itemID="{B9402812-C1EB-4E8D-8B0F-C389EA3DE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9233</Words>
  <Characters>52634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61744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2016-07-21T17:52:00Z</dcterms:created>
  <dcterms:modified xsi:type="dcterms:W3CDTF">2016-07-21T17:52:00Z</dcterms:modified>
  <dc:identifier/>
  <cp:version/>
</cp:coreProperties>
</file>