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6972E" w14:textId="24393DC7" w:rsidR="00354D8B" w:rsidRPr="00354D8B" w:rsidRDefault="00354D8B" w:rsidP="00450E17">
      <w:pPr>
        <w:jc w:val="center"/>
      </w:pPr>
      <w:bookmarkStart w:id="0" w:name="_GoBack"/>
      <w:bookmarkEnd w:id="0"/>
      <w:r>
        <w:t>148 FERC ¶ 61,024</w:t>
      </w:r>
    </w:p>
    <w:p w14:paraId="73503BD5" w14:textId="50FE1A79" w:rsidR="002E3682" w:rsidRDefault="007760DB" w:rsidP="007760DB">
      <w:pPr>
        <w:jc w:val="center"/>
      </w:pPr>
      <w:r>
        <w:t>UNITED STATES OF AMERICA</w:t>
      </w:r>
    </w:p>
    <w:p w14:paraId="3F4A8121" w14:textId="047F15D7" w:rsidR="007760DB" w:rsidRDefault="007760DB" w:rsidP="007760DB">
      <w:pPr>
        <w:jc w:val="center"/>
      </w:pPr>
      <w:r>
        <w:t>FEDERAL ENERGY REGULATORY COMMISSION</w:t>
      </w:r>
    </w:p>
    <w:p w14:paraId="019CD8BB" w14:textId="77777777" w:rsidR="007760DB" w:rsidRPr="00327B09" w:rsidRDefault="007760DB" w:rsidP="007760DB"/>
    <w:p w14:paraId="68145BA1" w14:textId="77777777" w:rsidR="002E3682" w:rsidRDefault="002E3682" w:rsidP="00450E17">
      <w:pPr>
        <w:jc w:val="center"/>
      </w:pPr>
    </w:p>
    <w:p w14:paraId="700C1610" w14:textId="77777777" w:rsidR="002E3682" w:rsidRPr="00327B09" w:rsidRDefault="002E3682" w:rsidP="00450E17">
      <w:pPr>
        <w:jc w:val="center"/>
      </w:pPr>
      <w:r w:rsidRPr="00327B09">
        <w:t xml:space="preserve">18 CFR Part </w:t>
      </w:r>
      <w:r w:rsidR="00B72858" w:rsidRPr="00327B09">
        <w:t>154</w:t>
      </w:r>
    </w:p>
    <w:p w14:paraId="1AB75734" w14:textId="77777777" w:rsidR="002E3682" w:rsidRPr="00327B09" w:rsidRDefault="002E3682" w:rsidP="00450E17">
      <w:pPr>
        <w:jc w:val="center"/>
      </w:pPr>
    </w:p>
    <w:p w14:paraId="0699353E" w14:textId="6E8B54A7" w:rsidR="002E3682" w:rsidRPr="00327B09" w:rsidRDefault="002E3682" w:rsidP="00450E17">
      <w:pPr>
        <w:jc w:val="center"/>
      </w:pPr>
      <w:r w:rsidRPr="00327B09">
        <w:t>[</w:t>
      </w:r>
      <w:r w:rsidR="00500492">
        <w:t>Docket No. RM14-21-000</w:t>
      </w:r>
      <w:r w:rsidRPr="00327B09">
        <w:t>]</w:t>
      </w:r>
    </w:p>
    <w:p w14:paraId="3E9C4CB6" w14:textId="77777777" w:rsidR="002E3682" w:rsidRPr="00327B09" w:rsidRDefault="002E3682" w:rsidP="00450E17">
      <w:pPr>
        <w:jc w:val="center"/>
      </w:pPr>
    </w:p>
    <w:p w14:paraId="0D37BD02" w14:textId="387E761D" w:rsidR="002E3682" w:rsidRPr="00327B09" w:rsidRDefault="0043529B" w:rsidP="00450E17">
      <w:pPr>
        <w:jc w:val="center"/>
      </w:pPr>
      <w:r w:rsidRPr="00327B09">
        <w:t xml:space="preserve">Natural Gas Act </w:t>
      </w:r>
      <w:r w:rsidR="00C53F6A" w:rsidRPr="00327B09">
        <w:t>Pipeline Maps</w:t>
      </w:r>
    </w:p>
    <w:p w14:paraId="2E5AB5DE" w14:textId="77777777" w:rsidR="002E3682" w:rsidRDefault="002E3682" w:rsidP="00450E17"/>
    <w:p w14:paraId="0CC0BAB9" w14:textId="03840279" w:rsidR="00EF110B" w:rsidRDefault="00EF110B" w:rsidP="00EF110B">
      <w:pPr>
        <w:widowControl/>
        <w:jc w:val="center"/>
      </w:pPr>
      <w:r>
        <w:t>(July 17</w:t>
      </w:r>
      <w:r w:rsidRPr="00EF110B">
        <w:t>, 2014)</w:t>
      </w:r>
    </w:p>
    <w:p w14:paraId="57BB1EF4" w14:textId="77777777" w:rsidR="00EF110B" w:rsidRPr="00EF110B" w:rsidRDefault="00EF110B" w:rsidP="00EF110B">
      <w:pPr>
        <w:widowControl/>
      </w:pPr>
    </w:p>
    <w:p w14:paraId="68FFCBB4" w14:textId="77777777" w:rsidR="002E3682" w:rsidRPr="00327B09" w:rsidRDefault="002E3682" w:rsidP="00450E17"/>
    <w:p w14:paraId="3836B23A" w14:textId="77777777" w:rsidR="002E3682" w:rsidRPr="00327B09" w:rsidRDefault="002E3682" w:rsidP="00450E17">
      <w:pPr>
        <w:spacing w:line="480" w:lineRule="auto"/>
      </w:pPr>
      <w:r w:rsidRPr="00327B09">
        <w:rPr>
          <w:u w:val="single"/>
        </w:rPr>
        <w:t>AGENCY</w:t>
      </w:r>
      <w:r w:rsidRPr="00327B09">
        <w:t>:  Federal Energy Regulatory Commission.</w:t>
      </w:r>
    </w:p>
    <w:p w14:paraId="25601BE3" w14:textId="25BE4F5D" w:rsidR="002E3682" w:rsidRPr="00327B09" w:rsidRDefault="002E3682" w:rsidP="00450E17">
      <w:pPr>
        <w:spacing w:line="480" w:lineRule="auto"/>
      </w:pPr>
      <w:r w:rsidRPr="00327B09">
        <w:rPr>
          <w:u w:val="single"/>
        </w:rPr>
        <w:t>ACTION</w:t>
      </w:r>
      <w:r w:rsidRPr="00327B09">
        <w:t xml:space="preserve">:  Notice of </w:t>
      </w:r>
      <w:r w:rsidR="0039254A">
        <w:t>p</w:t>
      </w:r>
      <w:r w:rsidR="0039254A" w:rsidRPr="00327B09">
        <w:t xml:space="preserve">roposed </w:t>
      </w:r>
      <w:r w:rsidR="0039254A">
        <w:t>r</w:t>
      </w:r>
      <w:r w:rsidR="0039254A" w:rsidRPr="00327B09">
        <w:t>ulemaking</w:t>
      </w:r>
      <w:r w:rsidRPr="00327B09">
        <w:t>.</w:t>
      </w:r>
    </w:p>
    <w:p w14:paraId="731A8B82" w14:textId="0B8CEB62" w:rsidR="001A7F44" w:rsidRPr="00327B09" w:rsidRDefault="002E3682" w:rsidP="00450E17">
      <w:pPr>
        <w:spacing w:line="480" w:lineRule="auto"/>
      </w:pPr>
      <w:r w:rsidRPr="00327B09">
        <w:rPr>
          <w:u w:val="single"/>
        </w:rPr>
        <w:t>SUMMARY</w:t>
      </w:r>
      <w:r w:rsidRPr="00327B09">
        <w:t xml:space="preserve">:  </w:t>
      </w:r>
      <w:r w:rsidR="00894FF0" w:rsidRPr="00327B09">
        <w:t xml:space="preserve">The Federal Energy Regulatory Commission (Commission or FERC) is proposing to amend </w:t>
      </w:r>
      <w:r w:rsidR="001A7F44" w:rsidRPr="00327B09">
        <w:t>the</w:t>
      </w:r>
      <w:r w:rsidR="00FD1C10" w:rsidRPr="00327B09">
        <w:t xml:space="preserve"> </w:t>
      </w:r>
      <w:r w:rsidR="000B310C" w:rsidRPr="00327B09">
        <w:t xml:space="preserve">filing </w:t>
      </w:r>
      <w:r w:rsidR="00894FF0" w:rsidRPr="00327B09">
        <w:t xml:space="preserve">requirements for </w:t>
      </w:r>
      <w:r w:rsidR="001A7F44" w:rsidRPr="00327B09">
        <w:t>natural gas pipeline</w:t>
      </w:r>
      <w:r w:rsidR="00B250FA" w:rsidRPr="00327B09">
        <w:t xml:space="preserve"> system maps</w:t>
      </w:r>
      <w:r w:rsidR="00894FF0" w:rsidRPr="00327B09">
        <w:t xml:space="preserve">. </w:t>
      </w:r>
      <w:r w:rsidR="00E91BAF" w:rsidRPr="00327B09">
        <w:t xml:space="preserve"> </w:t>
      </w:r>
      <w:r w:rsidR="00894FF0" w:rsidRPr="00327B09">
        <w:t xml:space="preserve">Under </w:t>
      </w:r>
      <w:r w:rsidR="001A7F44" w:rsidRPr="00327B09">
        <w:t xml:space="preserve">current </w:t>
      </w:r>
      <w:r w:rsidR="00894FF0" w:rsidRPr="00327B09">
        <w:t xml:space="preserve">regulations, natural gas pipelines must </w:t>
      </w:r>
      <w:r w:rsidR="001A7F44" w:rsidRPr="00327B09">
        <w:t xml:space="preserve">include </w:t>
      </w:r>
      <w:r w:rsidR="00894FF0" w:rsidRPr="00327B09">
        <w:t xml:space="preserve">a system map </w:t>
      </w:r>
      <w:r w:rsidR="00F43F58" w:rsidRPr="00327B09">
        <w:t>as part of their tariff</w:t>
      </w:r>
      <w:r w:rsidR="00894FF0" w:rsidRPr="00327B09">
        <w:t xml:space="preserve"> on file with the Commission</w:t>
      </w:r>
      <w:r w:rsidR="00C53F6A" w:rsidRPr="00327B09">
        <w:t xml:space="preserve">, and file an updated map by </w:t>
      </w:r>
      <w:r w:rsidR="00E62C99" w:rsidRPr="00327B09">
        <w:t xml:space="preserve">the following </w:t>
      </w:r>
      <w:r w:rsidR="00C53F6A" w:rsidRPr="00327B09">
        <w:t xml:space="preserve">April </w:t>
      </w:r>
      <w:r w:rsidR="00E62C99" w:rsidRPr="00327B09">
        <w:t xml:space="preserve">for </w:t>
      </w:r>
      <w:r w:rsidR="00C53F6A" w:rsidRPr="00327B09">
        <w:t>any year that there is a major change in the pipeline’s system.</w:t>
      </w:r>
      <w:r w:rsidR="00894FF0" w:rsidRPr="00327B09">
        <w:t xml:space="preserve">  </w:t>
      </w:r>
      <w:r w:rsidR="00E91BAF" w:rsidRPr="00327B09">
        <w:t>Additionally</w:t>
      </w:r>
      <w:r w:rsidR="00894FF0" w:rsidRPr="00327B09">
        <w:t xml:space="preserve">, </w:t>
      </w:r>
      <w:r w:rsidR="001A7F44" w:rsidRPr="00327B09">
        <w:t xml:space="preserve">this map must be </w:t>
      </w:r>
      <w:r w:rsidR="00F43F58" w:rsidRPr="00327B09">
        <w:t xml:space="preserve">posted </w:t>
      </w:r>
      <w:r w:rsidR="001A7F44" w:rsidRPr="00327B09">
        <w:t>on the pipeline’s own website.  In order to reduce regulatory burden on these pipelines, the Commission proposes to eliminate the requirement to file</w:t>
      </w:r>
      <w:r w:rsidR="00F43F58" w:rsidRPr="00327B09">
        <w:t xml:space="preserve"> a map as part of the tariff</w:t>
      </w:r>
      <w:r w:rsidR="001A7F44" w:rsidRPr="00327B09">
        <w:t xml:space="preserve">, leaving only the requirement to maintain a map on the pipeline’s own website.  </w:t>
      </w:r>
    </w:p>
    <w:p w14:paraId="5C66F555" w14:textId="033E3AC0" w:rsidR="001A7F44" w:rsidRDefault="001A7F44" w:rsidP="004D55EB">
      <w:pPr>
        <w:spacing w:line="480" w:lineRule="auto"/>
        <w:ind w:firstLine="720"/>
      </w:pPr>
      <w:r w:rsidRPr="00327B09">
        <w:t>Furthermore, in order to promote transparency, the Commission proposes to</w:t>
      </w:r>
      <w:r w:rsidR="00C53F6A" w:rsidRPr="00327B09">
        <w:t xml:space="preserve"> change</w:t>
      </w:r>
      <w:r w:rsidR="005813EB" w:rsidRPr="00327B09">
        <w:t xml:space="preserve"> </w:t>
      </w:r>
      <w:r w:rsidRPr="00327B09">
        <w:t xml:space="preserve">the deadline for updating system maps.  Currently, if a pipeline experiences a major change that </w:t>
      </w:r>
      <w:r w:rsidR="000B310C" w:rsidRPr="00327B09">
        <w:t xml:space="preserve">renders </w:t>
      </w:r>
      <w:r w:rsidR="00B71CBE" w:rsidRPr="00327B09">
        <w:t>its existing map</w:t>
      </w:r>
      <w:r w:rsidR="000B310C" w:rsidRPr="00327B09">
        <w:t xml:space="preserve"> obsolete</w:t>
      </w:r>
      <w:r w:rsidR="00B71CBE" w:rsidRPr="00327B09">
        <w:t xml:space="preserve">, it must make a tariff filing no later than April 30 of the subsequent calendar year.  The Commission proposes a </w:t>
      </w:r>
      <w:r w:rsidR="00EE3D1B" w:rsidRPr="00327B09">
        <w:t>quarterly</w:t>
      </w:r>
      <w:r w:rsidR="00B71CBE" w:rsidRPr="00327B09">
        <w:t xml:space="preserve"> deadline</w:t>
      </w:r>
      <w:r w:rsidR="00F84CA3" w:rsidRPr="00327B09">
        <w:t xml:space="preserve"> for updating </w:t>
      </w:r>
      <w:r w:rsidR="000B310C" w:rsidRPr="00327B09">
        <w:t>pipeline maps</w:t>
      </w:r>
      <w:r w:rsidR="00B71CBE" w:rsidRPr="00327B09">
        <w:t>.</w:t>
      </w:r>
    </w:p>
    <w:p w14:paraId="1746D784" w14:textId="77777777" w:rsidR="00354D8B" w:rsidRPr="00327B09" w:rsidRDefault="00354D8B" w:rsidP="004D55EB">
      <w:pPr>
        <w:spacing w:line="480" w:lineRule="auto"/>
        <w:ind w:firstLine="720"/>
      </w:pPr>
    </w:p>
    <w:p w14:paraId="74DEA880" w14:textId="71AA3A6A" w:rsidR="002E3682" w:rsidRPr="00327B09" w:rsidRDefault="002E3682" w:rsidP="00450E17">
      <w:pPr>
        <w:spacing w:line="480" w:lineRule="auto"/>
      </w:pPr>
      <w:r w:rsidRPr="00327B09">
        <w:rPr>
          <w:u w:val="single"/>
        </w:rPr>
        <w:t>DATES</w:t>
      </w:r>
      <w:r w:rsidRPr="00327B09">
        <w:t xml:space="preserve">:  Comments are due </w:t>
      </w:r>
      <w:r w:rsidR="00500492">
        <w:t>[</w:t>
      </w:r>
      <w:r w:rsidR="0039254A">
        <w:t xml:space="preserve">Insert Date </w:t>
      </w:r>
      <w:r w:rsidR="00894FF0" w:rsidRPr="00327B09">
        <w:t xml:space="preserve">60 days </w:t>
      </w:r>
      <w:r w:rsidRPr="00327B09">
        <w:t>after publication</w:t>
      </w:r>
      <w:r w:rsidR="00894FF0" w:rsidRPr="00327B09">
        <w:t xml:space="preserve"> of this notice</w:t>
      </w:r>
      <w:r w:rsidRPr="00327B09">
        <w:t xml:space="preserve"> in the FEDERAL REGISTER</w:t>
      </w:r>
      <w:r w:rsidR="002B7103">
        <w:t>]</w:t>
      </w:r>
      <w:r w:rsidR="00894FF0" w:rsidRPr="00327B09">
        <w:t>.</w:t>
      </w:r>
    </w:p>
    <w:p w14:paraId="1CF3228D" w14:textId="77777777" w:rsidR="002E3682" w:rsidRPr="00327B09" w:rsidRDefault="002E3682" w:rsidP="00450E17">
      <w:pPr>
        <w:spacing w:line="480" w:lineRule="auto"/>
      </w:pPr>
      <w:r w:rsidRPr="00327B09">
        <w:rPr>
          <w:u w:val="single"/>
        </w:rPr>
        <w:t>ADDRESSES</w:t>
      </w:r>
      <w:r w:rsidRPr="00327B09">
        <w:t xml:space="preserve">:  Comments, identified by docket number, may be filed in the following ways: </w:t>
      </w:r>
    </w:p>
    <w:p w14:paraId="36812BDA" w14:textId="77777777" w:rsidR="002E3682" w:rsidRPr="00327B09" w:rsidRDefault="002E3682" w:rsidP="00450E17">
      <w:pPr>
        <w:numPr>
          <w:ilvl w:val="0"/>
          <w:numId w:val="26"/>
        </w:numPr>
        <w:spacing w:line="480" w:lineRule="auto"/>
      </w:pPr>
      <w:r w:rsidRPr="00327B09">
        <w:t xml:space="preserve">Electronic Filing through </w:t>
      </w:r>
      <w:hyperlink r:id="rId12" w:history="1">
        <w:r w:rsidRPr="00B32D19">
          <w:rPr>
            <w:rStyle w:val="Hyperlink"/>
            <w:u w:val="none"/>
          </w:rPr>
          <w:t>http://www.ferc.gov</w:t>
        </w:r>
      </w:hyperlink>
      <w:r w:rsidRPr="00327B09">
        <w:t>.  Documents created electronically using word processing software should be filed in native applications or print-to-PDF format and not in a scanned format.</w:t>
      </w:r>
    </w:p>
    <w:p w14:paraId="147C1F9E" w14:textId="3902C3EC" w:rsidR="002E3682" w:rsidRPr="00327B09" w:rsidRDefault="002E3682" w:rsidP="00450E17">
      <w:pPr>
        <w:numPr>
          <w:ilvl w:val="0"/>
          <w:numId w:val="26"/>
        </w:numPr>
        <w:spacing w:line="480" w:lineRule="auto"/>
      </w:pPr>
      <w:r w:rsidRPr="00327B09">
        <w:t>Mail/Hand Delivery:  Those unable to file electronically may mail or hand-deliver comments to: Federal Energy Regulatory Commission, Secretary of the Commission, 888 First Street NE, Washington, DC 20426.</w:t>
      </w:r>
    </w:p>
    <w:p w14:paraId="78D5A692" w14:textId="2A8FDF6F" w:rsidR="002E3682" w:rsidRPr="00327B09" w:rsidRDefault="002E3682" w:rsidP="00FD1C10">
      <w:pPr>
        <w:spacing w:line="480" w:lineRule="auto"/>
      </w:pPr>
      <w:r w:rsidRPr="00327B09">
        <w:rPr>
          <w:i/>
        </w:rPr>
        <w:t>Instructions</w:t>
      </w:r>
      <w:r w:rsidRPr="00327B09">
        <w:t xml:space="preserve">: </w:t>
      </w:r>
      <w:r w:rsidR="00500492">
        <w:t xml:space="preserve"> </w:t>
      </w:r>
      <w:r w:rsidRPr="00327B09">
        <w:t>For detailed instructions on submitting comments and additional information on the rulemaking process, see the Comment Procedures Section of this document</w:t>
      </w:r>
      <w:r w:rsidR="00B250FA" w:rsidRPr="00327B09">
        <w:t>.</w:t>
      </w:r>
    </w:p>
    <w:p w14:paraId="37641564" w14:textId="77777777" w:rsidR="002E3682" w:rsidRPr="00327B09" w:rsidRDefault="002E3682" w:rsidP="00450E17"/>
    <w:p w14:paraId="15957BD1" w14:textId="77777777" w:rsidR="002E3682" w:rsidRPr="00327B09" w:rsidRDefault="002E3682" w:rsidP="00450E17">
      <w:r w:rsidRPr="00327B09">
        <w:rPr>
          <w:u w:val="single"/>
        </w:rPr>
        <w:t>FOR FURTHER INFORMATION CONTACT</w:t>
      </w:r>
      <w:r w:rsidRPr="00327B09">
        <w:t>:</w:t>
      </w:r>
    </w:p>
    <w:p w14:paraId="22BBB647" w14:textId="77777777" w:rsidR="002E3682" w:rsidRPr="00327B09" w:rsidRDefault="002E3682" w:rsidP="00450E17"/>
    <w:p w14:paraId="164C81DC" w14:textId="77777777" w:rsidR="00015E09" w:rsidRPr="00327B09" w:rsidRDefault="00894FF0" w:rsidP="00450E17">
      <w:r w:rsidRPr="00327B09">
        <w:t>Damien Gaul</w:t>
      </w:r>
      <w:r w:rsidR="00FD1C10" w:rsidRPr="00327B09">
        <w:t xml:space="preserve"> (Technical Issues)</w:t>
      </w:r>
    </w:p>
    <w:p w14:paraId="101E9404" w14:textId="0ACE654B" w:rsidR="00015E09" w:rsidRPr="00327B09" w:rsidRDefault="002E3682" w:rsidP="00450E17">
      <w:r w:rsidRPr="00327B09">
        <w:fldChar w:fldCharType="begin"/>
      </w:r>
      <w:r w:rsidRPr="00327B09">
        <w:instrText xml:space="preserve"> MACROBUTTON  AcceptAllChangesInDoc </w:instrText>
      </w:r>
      <w:r w:rsidRPr="00327B09">
        <w:fldChar w:fldCharType="end"/>
      </w:r>
      <w:r w:rsidRPr="00327B09">
        <w:fldChar w:fldCharType="begin"/>
      </w:r>
      <w:r w:rsidRPr="00327B09">
        <w:instrText xml:space="preserve"> MACROBUTTON  AcceptAllChangesInDoc </w:instrText>
      </w:r>
      <w:r w:rsidRPr="00327B09">
        <w:fldChar w:fldCharType="end"/>
      </w:r>
      <w:r w:rsidR="00894FF0" w:rsidRPr="00327B09">
        <w:t>888 First Street NE, Washington, DC  20426</w:t>
      </w:r>
    </w:p>
    <w:p w14:paraId="00210EAF" w14:textId="77777777" w:rsidR="00015E09" w:rsidRPr="00327B09" w:rsidRDefault="00894FF0" w:rsidP="00450E17">
      <w:r w:rsidRPr="00327B09">
        <w:t>(202) 502-8008</w:t>
      </w:r>
    </w:p>
    <w:p w14:paraId="0F3D1004" w14:textId="3CEF2979" w:rsidR="002E3682" w:rsidRPr="00B32D19" w:rsidRDefault="00307E4E" w:rsidP="00450E17">
      <w:hyperlink r:id="rId13" w:history="1">
        <w:r w:rsidR="0021573D" w:rsidRPr="00B32D19">
          <w:rPr>
            <w:rStyle w:val="Hyperlink"/>
            <w:u w:val="none"/>
          </w:rPr>
          <w:t>Damien.Gaul@ferc.gov</w:t>
        </w:r>
      </w:hyperlink>
      <w:r w:rsidR="0021573D" w:rsidRPr="00B32D19">
        <w:t xml:space="preserve"> </w:t>
      </w:r>
    </w:p>
    <w:p w14:paraId="349C2506" w14:textId="77777777" w:rsidR="00FD1C10" w:rsidRPr="00327B09" w:rsidRDefault="00FD1C10" w:rsidP="00450E17"/>
    <w:p w14:paraId="65452888" w14:textId="77777777" w:rsidR="00015E09" w:rsidRPr="00327B09" w:rsidRDefault="00FD1C10" w:rsidP="00FD1C10">
      <w:r w:rsidRPr="00327B09">
        <w:t>Vince Mareino (Legal Issues)</w:t>
      </w:r>
    </w:p>
    <w:p w14:paraId="2930D528" w14:textId="55667C34" w:rsidR="00015E09" w:rsidRPr="00327B09" w:rsidRDefault="00FD1C10" w:rsidP="00FD1C10">
      <w:r w:rsidRPr="00327B09">
        <w:fldChar w:fldCharType="begin"/>
      </w:r>
      <w:r w:rsidRPr="00327B09">
        <w:instrText xml:space="preserve"> MACROBUTTON  AcceptAllChangesInDoc </w:instrText>
      </w:r>
      <w:r w:rsidRPr="00327B09">
        <w:fldChar w:fldCharType="end"/>
      </w:r>
      <w:r w:rsidRPr="00327B09">
        <w:fldChar w:fldCharType="begin"/>
      </w:r>
      <w:r w:rsidRPr="00327B09">
        <w:instrText xml:space="preserve"> MACROBUTTON  AcceptAllChangesInDoc </w:instrText>
      </w:r>
      <w:r w:rsidRPr="00327B09">
        <w:fldChar w:fldCharType="end"/>
      </w:r>
      <w:r w:rsidRPr="00327B09">
        <w:t>888 First Street NE, Washington, DC  20426</w:t>
      </w:r>
    </w:p>
    <w:p w14:paraId="516E1AA6" w14:textId="77777777" w:rsidR="00015E09" w:rsidRPr="00327B09" w:rsidRDefault="00FD1C10" w:rsidP="00FD1C10">
      <w:r w:rsidRPr="00327B09">
        <w:t>(202) 502-6167</w:t>
      </w:r>
    </w:p>
    <w:p w14:paraId="08013836" w14:textId="1BE79C27" w:rsidR="00FD1C10" w:rsidRPr="00B32D19" w:rsidRDefault="00307E4E" w:rsidP="00FD1C10">
      <w:hyperlink r:id="rId14" w:history="1">
        <w:r w:rsidR="0021573D" w:rsidRPr="00B32D19">
          <w:rPr>
            <w:rStyle w:val="Hyperlink"/>
            <w:u w:val="none"/>
          </w:rPr>
          <w:t>Vince.Mareino@ferc.gov</w:t>
        </w:r>
      </w:hyperlink>
      <w:r w:rsidR="0021573D" w:rsidRPr="00B32D19">
        <w:t xml:space="preserve"> </w:t>
      </w:r>
    </w:p>
    <w:p w14:paraId="31D6244B" w14:textId="77777777" w:rsidR="00FD1C10" w:rsidRPr="00327B09" w:rsidRDefault="00FD1C10" w:rsidP="00450E17"/>
    <w:p w14:paraId="7F3B1F51" w14:textId="77777777" w:rsidR="002E3682" w:rsidRPr="00327B09" w:rsidRDefault="002E3682" w:rsidP="00450E17"/>
    <w:p w14:paraId="1A2D70F9" w14:textId="77777777" w:rsidR="002E3682" w:rsidRPr="00327B09" w:rsidRDefault="002E3682" w:rsidP="00450E17">
      <w:pPr>
        <w:sectPr w:rsidR="002E3682" w:rsidRPr="00327B09" w:rsidSect="002E3682">
          <w:headerReference w:type="even" r:id="rId15"/>
          <w:pgSz w:w="12240" w:h="15840"/>
          <w:pgMar w:top="1440" w:right="1440" w:bottom="1440" w:left="1440" w:header="720" w:footer="1440" w:gutter="0"/>
          <w:pgNumType w:fmt="numberInDash" w:start="1"/>
          <w:cols w:space="720"/>
          <w:noEndnote/>
          <w:titlePg/>
          <w:docGrid w:linePitch="354"/>
        </w:sectPr>
      </w:pPr>
      <w:r w:rsidRPr="00327B09">
        <w:rPr>
          <w:u w:val="single"/>
        </w:rPr>
        <w:t>SUPPLEMENTARY INFORMATION</w:t>
      </w:r>
      <w:r w:rsidRPr="00327B09">
        <w:t>:</w:t>
      </w:r>
    </w:p>
    <w:p w14:paraId="5C53AE63" w14:textId="77777777" w:rsidR="002E3682" w:rsidRPr="00327B09" w:rsidRDefault="002E3682" w:rsidP="00450E17">
      <w:pPr>
        <w:jc w:val="center"/>
      </w:pPr>
      <w:r w:rsidRPr="00327B09">
        <w:lastRenderedPageBreak/>
        <w:t>UNITED STATES OF AMERICA</w:t>
      </w:r>
    </w:p>
    <w:p w14:paraId="1155F312" w14:textId="77777777" w:rsidR="002E3682" w:rsidRPr="00327B09" w:rsidRDefault="002E3682" w:rsidP="00450E17">
      <w:pPr>
        <w:jc w:val="center"/>
      </w:pPr>
      <w:r w:rsidRPr="00327B09">
        <w:t>FEDERAL ENERGY REGULATORY COMMISSION</w:t>
      </w:r>
    </w:p>
    <w:p w14:paraId="16504844" w14:textId="77777777" w:rsidR="002E3682" w:rsidRPr="00327B09" w:rsidRDefault="002E3682" w:rsidP="00450E17">
      <w:pPr>
        <w:ind w:left="1440" w:hanging="1440"/>
      </w:pPr>
    </w:p>
    <w:p w14:paraId="20F11C84" w14:textId="77777777" w:rsidR="002E3682" w:rsidRPr="00327B09" w:rsidRDefault="002E3682" w:rsidP="00450E17">
      <w:pPr>
        <w:ind w:left="1440" w:hanging="14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29"/>
        <w:gridCol w:w="1535"/>
        <w:gridCol w:w="1896"/>
      </w:tblGrid>
      <w:tr w:rsidR="002E3682" w:rsidRPr="00327B09" w14:paraId="12BD28B2" w14:textId="77777777" w:rsidTr="002E3682">
        <w:tc>
          <w:tcPr>
            <w:tcW w:w="6088" w:type="dxa"/>
            <w:shd w:val="clear" w:color="auto" w:fill="auto"/>
          </w:tcPr>
          <w:p w14:paraId="5CDFB630" w14:textId="36416772" w:rsidR="002E3682" w:rsidRPr="00327B09" w:rsidRDefault="00B72858" w:rsidP="000B310C">
            <w:r w:rsidRPr="00327B09">
              <w:t>Natural Gas Act Pipeline</w:t>
            </w:r>
            <w:r w:rsidR="000B310C" w:rsidRPr="00327B09">
              <w:t xml:space="preserve"> Maps</w:t>
            </w:r>
          </w:p>
        </w:tc>
        <w:tc>
          <w:tcPr>
            <w:tcW w:w="1560" w:type="dxa"/>
            <w:shd w:val="clear" w:color="auto" w:fill="auto"/>
          </w:tcPr>
          <w:p w14:paraId="0D5D3F29" w14:textId="77777777" w:rsidR="002E3682" w:rsidRPr="00327B09" w:rsidRDefault="00B72858" w:rsidP="00B72858">
            <w:pPr>
              <w:jc w:val="center"/>
            </w:pPr>
            <w:r w:rsidRPr="00327B09">
              <w:t>Docket No.</w:t>
            </w:r>
          </w:p>
        </w:tc>
        <w:tc>
          <w:tcPr>
            <w:tcW w:w="1928" w:type="dxa"/>
            <w:shd w:val="clear" w:color="auto" w:fill="auto"/>
            <w:tcMar>
              <w:left w:w="144" w:type="dxa"/>
              <w:right w:w="0" w:type="dxa"/>
            </w:tcMar>
          </w:tcPr>
          <w:p w14:paraId="4D4CB4B3" w14:textId="05E23D93" w:rsidR="002E3682" w:rsidRPr="00327B09" w:rsidRDefault="00B72858" w:rsidP="006C0B36">
            <w:r w:rsidRPr="00327B09">
              <w:t>RM14-</w:t>
            </w:r>
            <w:r w:rsidR="006C0B36" w:rsidRPr="00327B09">
              <w:t>21</w:t>
            </w:r>
            <w:r w:rsidRPr="00327B09">
              <w:t>-000</w:t>
            </w:r>
          </w:p>
        </w:tc>
      </w:tr>
    </w:tbl>
    <w:p w14:paraId="7DCEFD31" w14:textId="77777777" w:rsidR="002E3682" w:rsidRPr="00327B09" w:rsidRDefault="002E3682" w:rsidP="00450E17"/>
    <w:p w14:paraId="08D43A6A" w14:textId="77777777" w:rsidR="002E3682" w:rsidRPr="00327B09" w:rsidRDefault="002E3682" w:rsidP="00450E17"/>
    <w:p w14:paraId="50D1A07D" w14:textId="77777777" w:rsidR="002E3682" w:rsidRPr="00327B09" w:rsidRDefault="002E3682" w:rsidP="00450E17">
      <w:pPr>
        <w:jc w:val="center"/>
      </w:pPr>
      <w:r w:rsidRPr="00327B09">
        <w:t>NOTICE OF PROPOSED RULEMAKING</w:t>
      </w:r>
    </w:p>
    <w:p w14:paraId="1506CD27" w14:textId="77777777" w:rsidR="002E3682" w:rsidRPr="00327B09" w:rsidRDefault="002E3682" w:rsidP="00450E17">
      <w:pPr>
        <w:jc w:val="center"/>
      </w:pPr>
    </w:p>
    <w:p w14:paraId="40F920AB" w14:textId="77777777" w:rsidR="002E3682" w:rsidRPr="00327B09" w:rsidRDefault="002E3682" w:rsidP="00450E17"/>
    <w:p w14:paraId="30670F3F" w14:textId="77777777" w:rsidR="002E3682" w:rsidRPr="00327B09" w:rsidRDefault="002E3682" w:rsidP="00450E17">
      <w:pPr>
        <w:jc w:val="center"/>
        <w:rPr>
          <w:u w:val="single"/>
        </w:rPr>
      </w:pPr>
      <w:r w:rsidRPr="00327B09">
        <w:rPr>
          <w:u w:val="single"/>
        </w:rPr>
        <w:t>TABLE OF CONTENTS</w:t>
      </w:r>
    </w:p>
    <w:p w14:paraId="7CC0B687" w14:textId="77777777" w:rsidR="002E3682" w:rsidRPr="00327B09" w:rsidRDefault="002E3682" w:rsidP="00450E17"/>
    <w:p w14:paraId="02575528" w14:textId="1E426279" w:rsidR="002E3682" w:rsidRPr="00327B09" w:rsidRDefault="006C0B36" w:rsidP="006C0B36">
      <w:pPr>
        <w:tabs>
          <w:tab w:val="right" w:pos="9648"/>
        </w:tabs>
      </w:pPr>
      <w:bookmarkStart w:id="1" w:name="_End_TOC"/>
      <w:bookmarkEnd w:id="1"/>
      <w:r w:rsidRPr="00327B09">
        <w:tab/>
      </w:r>
      <w:r w:rsidRPr="00327B09">
        <w:rPr>
          <w:u w:val="single"/>
        </w:rPr>
        <w:t>Paragraph Numbers</w:t>
      </w:r>
    </w:p>
    <w:p w14:paraId="73C86DA2" w14:textId="6B22CA19" w:rsidR="006C0B36" w:rsidRPr="00327B09" w:rsidRDefault="006C0B36" w:rsidP="006C0B36">
      <w:pPr>
        <w:tabs>
          <w:tab w:val="right" w:pos="9648"/>
        </w:tabs>
      </w:pPr>
      <w:bookmarkStart w:id="2" w:name="_Start_TOC"/>
      <w:bookmarkEnd w:id="2"/>
    </w:p>
    <w:p w14:paraId="30B010A7" w14:textId="15FB2593" w:rsidR="006C0B36" w:rsidRPr="00327B09" w:rsidRDefault="006C0B36" w:rsidP="00192CF7">
      <w:pPr>
        <w:pStyle w:val="myTOC1"/>
        <w:tabs>
          <w:tab w:val="left" w:pos="720"/>
        </w:tabs>
      </w:pPr>
      <w:r w:rsidRPr="00327B09">
        <w:t xml:space="preserve">I.  </w:t>
      </w:r>
      <w:r w:rsidR="00192CF7" w:rsidRPr="00327B09">
        <w:tab/>
      </w:r>
      <w:r w:rsidRPr="00327B09">
        <w:t>Background</w:t>
      </w:r>
      <w:r w:rsidRPr="00327B09">
        <w:tab/>
      </w:r>
      <w:hyperlink w:anchor="_bmk1" w:history="1">
        <w:r w:rsidRPr="00327B09">
          <w:rPr>
            <w:rStyle w:val="Hyperlink"/>
            <w:szCs w:val="24"/>
          </w:rPr>
          <w:t>2.</w:t>
        </w:r>
      </w:hyperlink>
    </w:p>
    <w:p w14:paraId="58A48262" w14:textId="5EDD2FD9" w:rsidR="006C0B36" w:rsidRPr="00327B09" w:rsidRDefault="006C0B36" w:rsidP="00192CF7">
      <w:pPr>
        <w:pStyle w:val="myTOC1"/>
        <w:tabs>
          <w:tab w:val="left" w:pos="720"/>
        </w:tabs>
      </w:pPr>
      <w:r w:rsidRPr="00327B09">
        <w:t xml:space="preserve">II.  </w:t>
      </w:r>
      <w:r w:rsidR="00192CF7" w:rsidRPr="00327B09">
        <w:tab/>
      </w:r>
      <w:r w:rsidRPr="00327B09">
        <w:t>Discussion</w:t>
      </w:r>
      <w:r w:rsidRPr="00327B09">
        <w:tab/>
      </w:r>
      <w:hyperlink w:anchor="_bmk2" w:history="1">
        <w:r w:rsidRPr="00327B09">
          <w:rPr>
            <w:rStyle w:val="Hyperlink"/>
            <w:szCs w:val="24"/>
          </w:rPr>
          <w:t>5.</w:t>
        </w:r>
      </w:hyperlink>
    </w:p>
    <w:p w14:paraId="7970DC45" w14:textId="0A903189" w:rsidR="006C0B36" w:rsidRPr="00327B09" w:rsidRDefault="006C0B36" w:rsidP="00192CF7">
      <w:pPr>
        <w:pStyle w:val="myTOC2"/>
        <w:tabs>
          <w:tab w:val="left" w:pos="720"/>
          <w:tab w:val="left" w:pos="1440"/>
        </w:tabs>
      </w:pPr>
      <w:r w:rsidRPr="00327B09">
        <w:t xml:space="preserve">A.  </w:t>
      </w:r>
      <w:r w:rsidR="00192CF7" w:rsidRPr="00327B09">
        <w:tab/>
      </w:r>
      <w:r w:rsidR="00500492">
        <w:tab/>
      </w:r>
      <w:r w:rsidRPr="00327B09">
        <w:t>Proposed Changes</w:t>
      </w:r>
      <w:r w:rsidRPr="00327B09">
        <w:tab/>
      </w:r>
      <w:hyperlink w:anchor="_bmk3" w:history="1">
        <w:r w:rsidRPr="00327B09">
          <w:rPr>
            <w:rStyle w:val="Hyperlink"/>
            <w:szCs w:val="24"/>
          </w:rPr>
          <w:t>5.</w:t>
        </w:r>
      </w:hyperlink>
    </w:p>
    <w:p w14:paraId="5CA39558" w14:textId="79AB3F12" w:rsidR="006C0B36" w:rsidRPr="00327B09" w:rsidRDefault="006C0B36" w:rsidP="00192CF7">
      <w:pPr>
        <w:pStyle w:val="myTOC2"/>
        <w:tabs>
          <w:tab w:val="left" w:pos="720"/>
          <w:tab w:val="left" w:pos="1440"/>
        </w:tabs>
      </w:pPr>
      <w:r w:rsidRPr="00327B09">
        <w:t xml:space="preserve">B.  </w:t>
      </w:r>
      <w:r w:rsidR="00192CF7" w:rsidRPr="00327B09">
        <w:tab/>
      </w:r>
      <w:r w:rsidR="00192CF7" w:rsidRPr="00327B09">
        <w:tab/>
      </w:r>
      <w:r w:rsidRPr="00327B09">
        <w:t>Scope</w:t>
      </w:r>
      <w:r w:rsidR="00192CF7" w:rsidRPr="00327B09">
        <w:tab/>
      </w:r>
      <w:hyperlink w:anchor="_bmk4" w:history="1">
        <w:r w:rsidRPr="00327B09">
          <w:rPr>
            <w:rStyle w:val="Hyperlink"/>
            <w:szCs w:val="24"/>
          </w:rPr>
          <w:t>10.</w:t>
        </w:r>
      </w:hyperlink>
    </w:p>
    <w:p w14:paraId="2639AD16" w14:textId="6681818E" w:rsidR="006C0B36" w:rsidRPr="00327B09" w:rsidRDefault="006C0B36" w:rsidP="00192CF7">
      <w:pPr>
        <w:pStyle w:val="myTOC1"/>
        <w:tabs>
          <w:tab w:val="left" w:pos="720"/>
        </w:tabs>
      </w:pPr>
      <w:r w:rsidRPr="00327B09">
        <w:t xml:space="preserve">III.  </w:t>
      </w:r>
      <w:r w:rsidR="00192CF7" w:rsidRPr="00327B09">
        <w:tab/>
      </w:r>
      <w:r w:rsidRPr="00327B09">
        <w:t>Information Collection Statement</w:t>
      </w:r>
      <w:r w:rsidRPr="00327B09">
        <w:tab/>
      </w:r>
      <w:hyperlink w:anchor="_bmk5" w:history="1">
        <w:r w:rsidRPr="00327B09">
          <w:rPr>
            <w:rStyle w:val="Hyperlink"/>
            <w:szCs w:val="24"/>
          </w:rPr>
          <w:t>13.</w:t>
        </w:r>
      </w:hyperlink>
    </w:p>
    <w:p w14:paraId="5D1DEC42" w14:textId="115409BE" w:rsidR="006C0B36" w:rsidRPr="00327B09" w:rsidRDefault="006C0B36" w:rsidP="00192CF7">
      <w:pPr>
        <w:pStyle w:val="myTOC1"/>
        <w:tabs>
          <w:tab w:val="left" w:pos="720"/>
        </w:tabs>
      </w:pPr>
      <w:r w:rsidRPr="00327B09">
        <w:t xml:space="preserve">IV.  </w:t>
      </w:r>
      <w:r w:rsidR="00192CF7" w:rsidRPr="00327B09">
        <w:tab/>
      </w:r>
      <w:r w:rsidRPr="00327B09">
        <w:t>Environmental Analysis</w:t>
      </w:r>
      <w:r w:rsidRPr="00327B09">
        <w:tab/>
      </w:r>
      <w:hyperlink w:anchor="_bmk6" w:history="1">
        <w:r w:rsidRPr="00327B09">
          <w:rPr>
            <w:rStyle w:val="Hyperlink"/>
            <w:szCs w:val="24"/>
          </w:rPr>
          <w:t>18.</w:t>
        </w:r>
      </w:hyperlink>
    </w:p>
    <w:p w14:paraId="1A2489EE" w14:textId="600679BD" w:rsidR="006C0B36" w:rsidRPr="00327B09" w:rsidRDefault="006C0B36" w:rsidP="00192CF7">
      <w:pPr>
        <w:pStyle w:val="myTOC1"/>
        <w:tabs>
          <w:tab w:val="left" w:pos="720"/>
        </w:tabs>
      </w:pPr>
      <w:r w:rsidRPr="00327B09">
        <w:t xml:space="preserve">V.  </w:t>
      </w:r>
      <w:r w:rsidR="00192CF7" w:rsidRPr="00327B09">
        <w:tab/>
      </w:r>
      <w:r w:rsidRPr="00327B09">
        <w:t xml:space="preserve">Regulatory Flexibility Act </w:t>
      </w:r>
      <w:r w:rsidRPr="00327B09">
        <w:tab/>
      </w:r>
      <w:hyperlink w:anchor="_bmk7" w:history="1">
        <w:r w:rsidRPr="00327B09">
          <w:rPr>
            <w:rStyle w:val="Hyperlink"/>
            <w:szCs w:val="24"/>
          </w:rPr>
          <w:t>19.</w:t>
        </w:r>
      </w:hyperlink>
    </w:p>
    <w:p w14:paraId="7FEB285A" w14:textId="73793EF1" w:rsidR="006C0B36" w:rsidRPr="00327B09" w:rsidRDefault="006C0B36" w:rsidP="00192CF7">
      <w:pPr>
        <w:pStyle w:val="myTOC1"/>
        <w:tabs>
          <w:tab w:val="left" w:pos="720"/>
        </w:tabs>
      </w:pPr>
      <w:r w:rsidRPr="00327B09">
        <w:t xml:space="preserve">VI.  </w:t>
      </w:r>
      <w:r w:rsidR="00192CF7" w:rsidRPr="00327B09">
        <w:tab/>
      </w:r>
      <w:r w:rsidRPr="00327B09">
        <w:t>Comment Procedures</w:t>
      </w:r>
      <w:r w:rsidRPr="00327B09">
        <w:tab/>
      </w:r>
      <w:hyperlink w:anchor="_bmk8" w:history="1">
        <w:r w:rsidRPr="00327B09">
          <w:rPr>
            <w:rStyle w:val="Hyperlink"/>
            <w:szCs w:val="24"/>
          </w:rPr>
          <w:t>21.</w:t>
        </w:r>
      </w:hyperlink>
    </w:p>
    <w:p w14:paraId="712DB299" w14:textId="0D70AA5A" w:rsidR="006C0B36" w:rsidRPr="00327B09" w:rsidRDefault="006C0B36" w:rsidP="00192CF7">
      <w:pPr>
        <w:pStyle w:val="myTOC1"/>
        <w:tabs>
          <w:tab w:val="left" w:pos="720"/>
        </w:tabs>
      </w:pPr>
      <w:r w:rsidRPr="00327B09">
        <w:t xml:space="preserve">VII.  </w:t>
      </w:r>
      <w:r w:rsidR="00192CF7" w:rsidRPr="00327B09">
        <w:tab/>
      </w:r>
      <w:r w:rsidRPr="00327B09">
        <w:t>Document Availability</w:t>
      </w:r>
      <w:r w:rsidRPr="00327B09">
        <w:tab/>
      </w:r>
      <w:hyperlink w:anchor="_bmk9" w:history="1">
        <w:r w:rsidRPr="00327B09">
          <w:rPr>
            <w:rStyle w:val="Hyperlink"/>
            <w:szCs w:val="24"/>
          </w:rPr>
          <w:t>25.</w:t>
        </w:r>
      </w:hyperlink>
    </w:p>
    <w:p w14:paraId="6B6A9F98" w14:textId="77777777" w:rsidR="002E3682" w:rsidRPr="00327B09" w:rsidRDefault="002E3682" w:rsidP="00192CF7">
      <w:pPr>
        <w:tabs>
          <w:tab w:val="left" w:pos="720"/>
        </w:tabs>
        <w:sectPr w:rsidR="002E3682" w:rsidRPr="00327B09" w:rsidSect="002E3682">
          <w:headerReference w:type="even" r:id="rId16"/>
          <w:headerReference w:type="default" r:id="rId17"/>
          <w:headerReference w:type="first" r:id="rId18"/>
          <w:pgSz w:w="12240" w:h="15840" w:code="1"/>
          <w:pgMar w:top="1440" w:right="1440" w:bottom="1440" w:left="1440" w:header="1440" w:footer="720" w:gutter="0"/>
          <w:cols w:space="720"/>
          <w:titlePg/>
          <w:docGrid w:linePitch="360"/>
        </w:sectPr>
      </w:pPr>
    </w:p>
    <w:p w14:paraId="1004E7C9" w14:textId="5B154B89" w:rsidR="00660543" w:rsidRDefault="00660543" w:rsidP="00192CF7">
      <w:pPr>
        <w:tabs>
          <w:tab w:val="left" w:pos="720"/>
        </w:tabs>
        <w:jc w:val="center"/>
      </w:pPr>
      <w:r w:rsidRPr="00660543">
        <w:lastRenderedPageBreak/>
        <w:t>148 FERC ¶ 61,024</w:t>
      </w:r>
    </w:p>
    <w:p w14:paraId="74796FAC" w14:textId="77777777" w:rsidR="002E3682" w:rsidRPr="00327B09" w:rsidRDefault="002E3682" w:rsidP="00192CF7">
      <w:pPr>
        <w:tabs>
          <w:tab w:val="left" w:pos="720"/>
        </w:tabs>
        <w:jc w:val="center"/>
      </w:pPr>
      <w:r w:rsidRPr="00327B09">
        <w:t>UNITED STATES OF AMERICA</w:t>
      </w:r>
    </w:p>
    <w:p w14:paraId="71BE0800" w14:textId="77777777" w:rsidR="002E3682" w:rsidRPr="00327B09" w:rsidRDefault="002E3682" w:rsidP="00450E17">
      <w:pPr>
        <w:jc w:val="center"/>
      </w:pPr>
      <w:r w:rsidRPr="00327B09">
        <w:t>FEDERAL ENERGY REGULATORY COMMISSION</w:t>
      </w:r>
    </w:p>
    <w:p w14:paraId="2245E535" w14:textId="77777777" w:rsidR="002E3682" w:rsidRPr="00327B09" w:rsidRDefault="002E3682" w:rsidP="00450E17"/>
    <w:p w14:paraId="62F495F2" w14:textId="77777777" w:rsidR="002E3682" w:rsidRPr="00327B09" w:rsidRDefault="002E3682" w:rsidP="00450E17">
      <w:pPr>
        <w:ind w:left="1440" w:hanging="14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27"/>
        <w:gridCol w:w="1537"/>
        <w:gridCol w:w="1896"/>
      </w:tblGrid>
      <w:tr w:rsidR="002E3682" w:rsidRPr="00327B09" w14:paraId="717D320D" w14:textId="77777777" w:rsidTr="002E3682">
        <w:tc>
          <w:tcPr>
            <w:tcW w:w="6088" w:type="dxa"/>
            <w:shd w:val="clear" w:color="auto" w:fill="auto"/>
          </w:tcPr>
          <w:p w14:paraId="5C294665" w14:textId="2017B555" w:rsidR="002E3682" w:rsidRPr="00327B09" w:rsidRDefault="0043529B" w:rsidP="000B310C">
            <w:r w:rsidRPr="00327B09">
              <w:t xml:space="preserve">Natural Gas Act </w:t>
            </w:r>
            <w:r w:rsidR="000B310C" w:rsidRPr="00327B09">
              <w:t>Pipeline Maps</w:t>
            </w:r>
          </w:p>
        </w:tc>
        <w:tc>
          <w:tcPr>
            <w:tcW w:w="1560" w:type="dxa"/>
            <w:shd w:val="clear" w:color="auto" w:fill="auto"/>
            <w:tcMar>
              <w:left w:w="72" w:type="dxa"/>
            </w:tcMar>
          </w:tcPr>
          <w:p w14:paraId="367E7698" w14:textId="77777777" w:rsidR="002E3682" w:rsidRPr="00327B09" w:rsidRDefault="0043529B" w:rsidP="0043529B">
            <w:pPr>
              <w:jc w:val="center"/>
            </w:pPr>
            <w:r w:rsidRPr="00327B09">
              <w:t>Docket No.</w:t>
            </w:r>
          </w:p>
        </w:tc>
        <w:tc>
          <w:tcPr>
            <w:tcW w:w="1928" w:type="dxa"/>
            <w:shd w:val="clear" w:color="auto" w:fill="auto"/>
            <w:tcMar>
              <w:left w:w="144" w:type="dxa"/>
            </w:tcMar>
          </w:tcPr>
          <w:p w14:paraId="2C988042" w14:textId="3518A1ED" w:rsidR="002E3682" w:rsidRPr="00327B09" w:rsidRDefault="0043529B" w:rsidP="006C0B36">
            <w:r w:rsidRPr="00327B09">
              <w:t>RM14-</w:t>
            </w:r>
            <w:r w:rsidR="006C0B36" w:rsidRPr="00327B09">
              <w:t>21</w:t>
            </w:r>
            <w:r w:rsidRPr="00327B09">
              <w:t>-000</w:t>
            </w:r>
          </w:p>
        </w:tc>
      </w:tr>
    </w:tbl>
    <w:p w14:paraId="6AF600E6" w14:textId="77777777" w:rsidR="002E3682" w:rsidRDefault="002E3682" w:rsidP="00450E17"/>
    <w:p w14:paraId="5AFFA840" w14:textId="77777777" w:rsidR="00660543" w:rsidRPr="00327B09" w:rsidRDefault="00660543" w:rsidP="00450E17"/>
    <w:p w14:paraId="7A8D7236" w14:textId="77777777" w:rsidR="002E3682" w:rsidRPr="00327B09" w:rsidRDefault="002E3682" w:rsidP="00450E17">
      <w:pPr>
        <w:jc w:val="center"/>
      </w:pPr>
      <w:r w:rsidRPr="00327B09">
        <w:t>NOTICE OF PROPOSED RULEMAKING</w:t>
      </w:r>
    </w:p>
    <w:p w14:paraId="1F6368CC" w14:textId="77777777" w:rsidR="002E3682" w:rsidRPr="00327B09" w:rsidRDefault="002E3682" w:rsidP="00450E17">
      <w:pPr>
        <w:jc w:val="center"/>
      </w:pPr>
    </w:p>
    <w:p w14:paraId="43B8123B" w14:textId="46D90903" w:rsidR="002E3682" w:rsidRDefault="007715FF" w:rsidP="00500492">
      <w:pPr>
        <w:widowControl/>
        <w:jc w:val="center"/>
      </w:pPr>
      <w:r>
        <w:t>(July 17</w:t>
      </w:r>
      <w:r w:rsidR="00500492" w:rsidRPr="00500492">
        <w:t>, 2014)</w:t>
      </w:r>
    </w:p>
    <w:p w14:paraId="07A03D26" w14:textId="77777777" w:rsidR="002E3682" w:rsidRPr="00327B09" w:rsidRDefault="002E3682" w:rsidP="00450E17"/>
    <w:p w14:paraId="29569ADF" w14:textId="708A9D16" w:rsidR="002E3682" w:rsidRPr="00327B09" w:rsidRDefault="00590C43" w:rsidP="006C0B36">
      <w:pPr>
        <w:pStyle w:val="FERCparanumber"/>
      </w:pPr>
      <w:r w:rsidRPr="00327B09">
        <w:t>The Federal Energy Regulatory Commission (Commission or FERC) is</w:t>
      </w:r>
      <w:r w:rsidR="00B250FA" w:rsidRPr="00327B09">
        <w:t xml:space="preserve"> proposing to revise its regulations</w:t>
      </w:r>
      <w:r w:rsidRPr="00327B09">
        <w:t xml:space="preserve"> </w:t>
      </w:r>
      <w:r w:rsidR="000B310C" w:rsidRPr="00327B09">
        <w:t xml:space="preserve">regarding the </w:t>
      </w:r>
      <w:r w:rsidR="009B554D">
        <w:t xml:space="preserve">requirement that interstate </w:t>
      </w:r>
      <w:r w:rsidR="000B310C" w:rsidRPr="00327B09">
        <w:t>natural gas pipeline</w:t>
      </w:r>
      <w:r w:rsidR="009B554D">
        <w:t>s subject to our jurisdiction under the Natural Gas Act (NGA)</w:t>
      </w:r>
      <w:r w:rsidR="009B554D">
        <w:rPr>
          <w:rStyle w:val="FootnoteReference"/>
        </w:rPr>
        <w:footnoteReference w:id="2"/>
      </w:r>
      <w:r w:rsidR="000B310C" w:rsidRPr="00327B09">
        <w:t xml:space="preserve"> </w:t>
      </w:r>
      <w:r w:rsidR="009B554D">
        <w:t xml:space="preserve">file the </w:t>
      </w:r>
      <w:r w:rsidRPr="00327B09">
        <w:t>system maps</w:t>
      </w:r>
      <w:r w:rsidR="00F43F58" w:rsidRPr="00327B09">
        <w:t xml:space="preserve"> as part of their tariffs</w:t>
      </w:r>
      <w:r w:rsidRPr="00327B09">
        <w:t xml:space="preserve">. </w:t>
      </w:r>
      <w:r w:rsidR="00B250FA" w:rsidRPr="00327B09">
        <w:t xml:space="preserve"> </w:t>
      </w:r>
      <w:r w:rsidRPr="00327B09">
        <w:t xml:space="preserve">Currently, </w:t>
      </w:r>
      <w:r w:rsidR="000B310C" w:rsidRPr="00327B09">
        <w:t>pursuant to section</w:t>
      </w:r>
      <w:r w:rsidR="00080AFA" w:rsidRPr="00327B09">
        <w:t>s 154.103 and 154.106</w:t>
      </w:r>
      <w:r w:rsidR="000B310C" w:rsidRPr="00327B09">
        <w:t xml:space="preserve"> of our regulations,</w:t>
      </w:r>
      <w:r w:rsidR="00080AFA" w:rsidRPr="00327B09">
        <w:rPr>
          <w:rStyle w:val="FootnoteReference"/>
        </w:rPr>
        <w:footnoteReference w:id="3"/>
      </w:r>
      <w:r w:rsidR="000B310C" w:rsidRPr="00327B09">
        <w:t xml:space="preserve"> </w:t>
      </w:r>
      <w:r w:rsidRPr="00327B09">
        <w:t>natural gas pipelines must have a syste</w:t>
      </w:r>
      <w:r w:rsidR="00FD1C10" w:rsidRPr="00327B09">
        <w:t>m map in their tariffs</w:t>
      </w:r>
      <w:r w:rsidR="00A70CA8" w:rsidRPr="00327B09">
        <w:t xml:space="preserve"> </w:t>
      </w:r>
      <w:r w:rsidR="0085185D" w:rsidRPr="00327B09">
        <w:t xml:space="preserve">on file with the Commission </w:t>
      </w:r>
      <w:r w:rsidR="00A70CA8" w:rsidRPr="00327B09">
        <w:t>and</w:t>
      </w:r>
      <w:r w:rsidR="00080AFA" w:rsidRPr="00327B09">
        <w:t>, pursuant to section 284.1</w:t>
      </w:r>
      <w:r w:rsidR="00192CF7" w:rsidRPr="00327B09">
        <w:t>2(a)(1)(</w:t>
      </w:r>
      <w:r w:rsidR="00080AFA" w:rsidRPr="00327B09">
        <w:t>v)</w:t>
      </w:r>
      <w:r w:rsidR="00192CF7" w:rsidRPr="00327B09">
        <w:t>,</w:t>
      </w:r>
      <w:r w:rsidR="00080AFA" w:rsidRPr="00327B09">
        <w:rPr>
          <w:rStyle w:val="FootnoteReference"/>
        </w:rPr>
        <w:footnoteReference w:id="4"/>
      </w:r>
      <w:r w:rsidR="00A70CA8" w:rsidRPr="00327B09">
        <w:t xml:space="preserve"> on the tariff section of their websites</w:t>
      </w:r>
      <w:r w:rsidR="00FD1C10" w:rsidRPr="00327B09">
        <w:t xml:space="preserve">.  </w:t>
      </w:r>
      <w:r w:rsidRPr="00327B09">
        <w:t>In order to reduce</w:t>
      </w:r>
      <w:r w:rsidR="0085185D" w:rsidRPr="00327B09">
        <w:t xml:space="preserve"> </w:t>
      </w:r>
      <w:r w:rsidRPr="00327B09">
        <w:t>regulatory burden on these pipelines, the Commission propos</w:t>
      </w:r>
      <w:r w:rsidR="00B250FA" w:rsidRPr="00327B09">
        <w:t>es to eliminate the requirement</w:t>
      </w:r>
      <w:r w:rsidR="00FD1C10" w:rsidRPr="00327B09">
        <w:t xml:space="preserve"> </w:t>
      </w:r>
      <w:r w:rsidRPr="00327B09">
        <w:t>that natural gas pipelines have a system map</w:t>
      </w:r>
      <w:r w:rsidR="00FD1C10" w:rsidRPr="00327B09">
        <w:t xml:space="preserve"> on f</w:t>
      </w:r>
      <w:r w:rsidR="00B250FA" w:rsidRPr="00327B09">
        <w:t>ile with the Commission</w:t>
      </w:r>
      <w:r w:rsidR="00A70CA8" w:rsidRPr="00327B09">
        <w:t xml:space="preserve"> but retain the requirement to </w:t>
      </w:r>
      <w:r w:rsidR="00F43F58" w:rsidRPr="00327B09">
        <w:t xml:space="preserve">post </w:t>
      </w:r>
      <w:r w:rsidR="00A70CA8" w:rsidRPr="00327B09">
        <w:t>the system map on their websites</w:t>
      </w:r>
      <w:r w:rsidR="00B250FA" w:rsidRPr="00327B09">
        <w:t xml:space="preserve">.  </w:t>
      </w:r>
      <w:r w:rsidR="00A70CA8" w:rsidRPr="00327B09">
        <w:t xml:space="preserve">Furthermore, in order to promote transparency, the </w:t>
      </w:r>
      <w:r w:rsidR="00B250FA" w:rsidRPr="00327B09">
        <w:t xml:space="preserve">Commission </w:t>
      </w:r>
      <w:r w:rsidR="000B310C" w:rsidRPr="00327B09">
        <w:t xml:space="preserve">is also </w:t>
      </w:r>
      <w:r w:rsidR="001457CD" w:rsidRPr="00327B09">
        <w:t xml:space="preserve">proposing </w:t>
      </w:r>
      <w:r w:rsidR="00B250FA" w:rsidRPr="00327B09">
        <w:t xml:space="preserve">to </w:t>
      </w:r>
      <w:r w:rsidR="001457CD" w:rsidRPr="00327B09">
        <w:t xml:space="preserve">change </w:t>
      </w:r>
      <w:r w:rsidR="00A70CA8" w:rsidRPr="00327B09">
        <w:t>the deadline for updating maps</w:t>
      </w:r>
      <w:r w:rsidR="00FD1C10" w:rsidRPr="00327B09">
        <w:t xml:space="preserve">.  </w:t>
      </w:r>
      <w:r w:rsidR="00B250FA" w:rsidRPr="00327B09">
        <w:t>Natural gas pipeline companies would be required to update the map</w:t>
      </w:r>
      <w:r w:rsidR="00491C49" w:rsidRPr="00327B09">
        <w:t xml:space="preserve"> </w:t>
      </w:r>
      <w:r w:rsidR="00491C49" w:rsidRPr="00327B09">
        <w:lastRenderedPageBreak/>
        <w:t>on their website</w:t>
      </w:r>
      <w:r w:rsidR="003F54FC" w:rsidRPr="00327B09">
        <w:t xml:space="preserve"> </w:t>
      </w:r>
      <w:r w:rsidR="00A70CA8" w:rsidRPr="00327B09">
        <w:t xml:space="preserve">within </w:t>
      </w:r>
      <w:r w:rsidR="005C1D4A" w:rsidRPr="00327B09">
        <w:t>the</w:t>
      </w:r>
      <w:r w:rsidR="00EE3D1B" w:rsidRPr="00327B09">
        <w:t xml:space="preserve"> calendar quarter</w:t>
      </w:r>
      <w:r w:rsidR="00A70CA8" w:rsidRPr="00327B09">
        <w:t xml:space="preserve"> of any major system change</w:t>
      </w:r>
      <w:r w:rsidR="001457CD" w:rsidRPr="00327B09">
        <w:t xml:space="preserve"> instead of </w:t>
      </w:r>
      <w:r w:rsidR="00080AFA" w:rsidRPr="00327B09">
        <w:t>annually by</w:t>
      </w:r>
      <w:r w:rsidR="001457CD" w:rsidRPr="00327B09">
        <w:t xml:space="preserve"> April 30.</w:t>
      </w:r>
    </w:p>
    <w:p w14:paraId="7A801C19" w14:textId="77777777" w:rsidR="002E3682" w:rsidRPr="00327B09" w:rsidRDefault="002E3682" w:rsidP="004D55EB">
      <w:pPr>
        <w:pStyle w:val="Heading1"/>
      </w:pPr>
      <w:r w:rsidRPr="00327B09">
        <w:t>Background</w:t>
      </w:r>
      <w:bookmarkStart w:id="3" w:name="_bmk1"/>
    </w:p>
    <w:bookmarkEnd w:id="3"/>
    <w:p w14:paraId="1372E526" w14:textId="298B2E71" w:rsidR="00D86673" w:rsidRPr="00327B09" w:rsidRDefault="00257194" w:rsidP="00080AFA">
      <w:pPr>
        <w:pStyle w:val="FERCparanumber"/>
      </w:pPr>
      <w:r w:rsidRPr="00327B09">
        <w:t xml:space="preserve">The </w:t>
      </w:r>
      <w:r w:rsidR="00DE3DFF" w:rsidRPr="00327B09">
        <w:t>Commission has required natural gas pipelines to include system maps in their tariffs since 1948.</w:t>
      </w:r>
      <w:r w:rsidR="00DE3DFF" w:rsidRPr="00327B09">
        <w:rPr>
          <w:rStyle w:val="FootnoteReference"/>
        </w:rPr>
        <w:footnoteReference w:id="5"/>
      </w:r>
      <w:r w:rsidR="00491C49" w:rsidRPr="00327B09">
        <w:t xml:space="preserve">  </w:t>
      </w:r>
      <w:r w:rsidR="001457CD" w:rsidRPr="00327B09">
        <w:t xml:space="preserve">The Commission made clarifying modifications to the original regulation in </w:t>
      </w:r>
      <w:r w:rsidR="00BB04A8" w:rsidRPr="00327B09">
        <w:t>1995</w:t>
      </w:r>
      <w:r w:rsidR="001457CD" w:rsidRPr="00327B09">
        <w:t>,</w:t>
      </w:r>
      <w:r w:rsidR="00BB04A8" w:rsidRPr="00327B09">
        <w:rPr>
          <w:rStyle w:val="FootnoteReference"/>
        </w:rPr>
        <w:footnoteReference w:id="6"/>
      </w:r>
      <w:r w:rsidR="00BB04A8" w:rsidRPr="00327B09">
        <w:t xml:space="preserve"> and edits to accommodate </w:t>
      </w:r>
      <w:r w:rsidR="00270872" w:rsidRPr="00327B09">
        <w:t>electronic tariff filing (</w:t>
      </w:r>
      <w:r w:rsidR="00BB04A8" w:rsidRPr="00327B09">
        <w:t>eTariff</w:t>
      </w:r>
      <w:r w:rsidR="00270872" w:rsidRPr="00327B09">
        <w:t>)</w:t>
      </w:r>
      <w:r w:rsidR="00BB04A8" w:rsidRPr="00327B09">
        <w:t xml:space="preserve"> in 200</w:t>
      </w:r>
      <w:r w:rsidR="00B034AF" w:rsidRPr="00327B09">
        <w:t>8</w:t>
      </w:r>
      <w:r w:rsidR="001457CD" w:rsidRPr="00327B09">
        <w:t>.</w:t>
      </w:r>
      <w:r w:rsidR="00B034AF" w:rsidRPr="00327B09">
        <w:rPr>
          <w:rStyle w:val="FootnoteReference"/>
        </w:rPr>
        <w:footnoteReference w:id="7"/>
      </w:r>
      <w:r w:rsidR="00BB04A8" w:rsidRPr="00327B09">
        <w:t xml:space="preserve"> </w:t>
      </w:r>
      <w:r w:rsidR="00080AFA" w:rsidRPr="00327B09">
        <w:t xml:space="preserve"> </w:t>
      </w:r>
      <w:r w:rsidR="001457CD" w:rsidRPr="00327B09">
        <w:t xml:space="preserve">The </w:t>
      </w:r>
      <w:r w:rsidR="00BB04A8" w:rsidRPr="00327B09">
        <w:t xml:space="preserve">current-day map publication regulation, </w:t>
      </w:r>
      <w:r w:rsidR="009B554D">
        <w:t>18 CFR</w:t>
      </w:r>
      <w:r w:rsidR="00A53CA9">
        <w:t xml:space="preserve"> </w:t>
      </w:r>
      <w:r w:rsidR="00BB04A8" w:rsidRPr="00327B09">
        <w:t>154.106,</w:t>
      </w:r>
      <w:r w:rsidR="00080AFA" w:rsidRPr="00327B09">
        <w:t xml:space="preserve"> </w:t>
      </w:r>
      <w:r w:rsidR="00D86673" w:rsidRPr="00327B09">
        <w:t>states:</w:t>
      </w:r>
    </w:p>
    <w:p w14:paraId="39CDA557" w14:textId="19690FB6" w:rsidR="000C4EE4" w:rsidRDefault="000C4EE4" w:rsidP="004D55EB">
      <w:pPr>
        <w:pStyle w:val="FERCparanumber"/>
        <w:numPr>
          <w:ilvl w:val="1"/>
          <w:numId w:val="5"/>
        </w:numPr>
      </w:pPr>
      <w:r w:rsidRPr="00327B09">
        <w:t xml:space="preserve">The map must show the general geographic location of the company’s principal pipeline facilities and of the points at which service is rendered under the tariff. </w:t>
      </w:r>
      <w:r w:rsidR="00192CF7" w:rsidRPr="00327B09">
        <w:t xml:space="preserve"> </w:t>
      </w:r>
      <w:r w:rsidRPr="00327B09">
        <w:t xml:space="preserve">The boundaries of any rate zones or rate areas must be shown and the areas or zones identified. </w:t>
      </w:r>
      <w:r w:rsidR="00192CF7" w:rsidRPr="00327B09">
        <w:t xml:space="preserve"> </w:t>
      </w:r>
      <w:r w:rsidRPr="00327B09">
        <w:t xml:space="preserve">The entire system should be displayed on a single map. </w:t>
      </w:r>
      <w:r w:rsidR="00192CF7" w:rsidRPr="00327B09">
        <w:t xml:space="preserve"> </w:t>
      </w:r>
      <w:r w:rsidRPr="00327B09">
        <w:t>In addition, a separate map should be provided for each zone.</w:t>
      </w:r>
    </w:p>
    <w:p w14:paraId="2533D995" w14:textId="77777777" w:rsidR="009172CD" w:rsidRPr="00327B09" w:rsidRDefault="009172CD" w:rsidP="009172CD">
      <w:pPr>
        <w:pStyle w:val="FERCparanumber"/>
        <w:numPr>
          <w:ilvl w:val="0"/>
          <w:numId w:val="0"/>
        </w:numPr>
        <w:ind w:left="1440"/>
      </w:pPr>
    </w:p>
    <w:p w14:paraId="214CDFD6" w14:textId="77777777" w:rsidR="000C4EE4" w:rsidRPr="00327B09" w:rsidRDefault="000C4EE4" w:rsidP="004D55EB">
      <w:pPr>
        <w:pStyle w:val="FERCparanumber"/>
        <w:numPr>
          <w:ilvl w:val="1"/>
          <w:numId w:val="5"/>
        </w:numPr>
      </w:pPr>
      <w:r w:rsidRPr="00327B09">
        <w:lastRenderedPageBreak/>
        <w:t>[Reserved]</w:t>
      </w:r>
    </w:p>
    <w:p w14:paraId="1D33D76E" w14:textId="77777777" w:rsidR="00D86673" w:rsidRPr="00327B09" w:rsidRDefault="000C4EE4" w:rsidP="004D55EB">
      <w:pPr>
        <w:pStyle w:val="FERCparanumber"/>
        <w:numPr>
          <w:ilvl w:val="1"/>
          <w:numId w:val="5"/>
        </w:numPr>
      </w:pPr>
      <w:r w:rsidRPr="00327B09">
        <w:t>The map must be revised to reflect any major changes. The revised map must be filed no later than April 30 of the calendar year after the major change.</w:t>
      </w:r>
      <w:r w:rsidRPr="00327B09">
        <w:rPr>
          <w:rStyle w:val="FootnoteReference"/>
        </w:rPr>
        <w:footnoteReference w:id="8"/>
      </w:r>
    </w:p>
    <w:p w14:paraId="512EEF43" w14:textId="77777777" w:rsidR="009172CD" w:rsidRDefault="00491C49" w:rsidP="006C0B36">
      <w:pPr>
        <w:pStyle w:val="FERCparanumber"/>
      </w:pPr>
      <w:r w:rsidRPr="00327B09">
        <w:t xml:space="preserve">As with other parts of tariffs, pipeline system maps </w:t>
      </w:r>
      <w:r w:rsidR="009B554D">
        <w:t>must be</w:t>
      </w:r>
      <w:r w:rsidRPr="00327B09">
        <w:t xml:space="preserve"> </w:t>
      </w:r>
      <w:r w:rsidR="00F43F58" w:rsidRPr="00327B09">
        <w:t>filed with</w:t>
      </w:r>
      <w:r w:rsidRPr="00327B09">
        <w:t xml:space="preserve"> the Commission sole</w:t>
      </w:r>
      <w:r w:rsidR="007D44D1" w:rsidRPr="00327B09">
        <w:t>ly</w:t>
      </w:r>
      <w:r w:rsidRPr="00327B09">
        <w:t xml:space="preserve"> in electronic format.  </w:t>
      </w:r>
      <w:r w:rsidR="00590C43" w:rsidRPr="00327B09">
        <w:t xml:space="preserve">Order </w:t>
      </w:r>
      <w:r w:rsidR="00EE3D1B" w:rsidRPr="00327B09">
        <w:t xml:space="preserve">No. </w:t>
      </w:r>
      <w:r w:rsidR="00590C43" w:rsidRPr="00327B09">
        <w:t xml:space="preserve">714 required that all </w:t>
      </w:r>
      <w:r w:rsidR="001457CD" w:rsidRPr="00327B09">
        <w:t xml:space="preserve">natural </w:t>
      </w:r>
      <w:r w:rsidR="00EE3D1B" w:rsidRPr="00327B09">
        <w:t xml:space="preserve">gas </w:t>
      </w:r>
      <w:r w:rsidR="00EF70BB" w:rsidRPr="00327B09">
        <w:t xml:space="preserve">pipeline </w:t>
      </w:r>
      <w:r w:rsidR="00590C43" w:rsidRPr="00327B09">
        <w:t>tariffs and tariff revisions, including those concerning system maps, be filed electronically according to a set of standards developed in conjunction with the North American Energy Standards Board (NAESB).</w:t>
      </w:r>
      <w:r w:rsidR="004421EC" w:rsidRPr="00327B09">
        <w:rPr>
          <w:rStyle w:val="FootnoteReference"/>
        </w:rPr>
        <w:footnoteReference w:id="9"/>
      </w:r>
      <w:r w:rsidR="00590C43" w:rsidRPr="00327B09">
        <w:t xml:space="preserve">  </w:t>
      </w:r>
      <w:r w:rsidR="00270872" w:rsidRPr="00327B09">
        <w:t>Moreover, u</w:t>
      </w:r>
      <w:r w:rsidR="006875F9" w:rsidRPr="00327B09">
        <w:t xml:space="preserve">nder NAESB </w:t>
      </w:r>
      <w:r w:rsidR="00665BFC" w:rsidRPr="00327B09">
        <w:t xml:space="preserve">Wholesale Gas Quadrant </w:t>
      </w:r>
      <w:r w:rsidR="007B6C2A" w:rsidRPr="00327B09">
        <w:t>S</w:t>
      </w:r>
      <w:r w:rsidR="006875F9" w:rsidRPr="00327B09">
        <w:t>tandard</w:t>
      </w:r>
      <w:r w:rsidR="00080AFA" w:rsidRPr="00327B09">
        <w:t xml:space="preserve"> </w:t>
      </w:r>
      <w:r w:rsidR="00665BFC" w:rsidRPr="00327B09">
        <w:t>4.3.23</w:t>
      </w:r>
      <w:r w:rsidR="00EF70BB" w:rsidRPr="00327B09">
        <w:t>,</w:t>
      </w:r>
      <w:r w:rsidR="00F43F58" w:rsidRPr="00327B09">
        <w:t xml:space="preserve"> and</w:t>
      </w:r>
      <w:r w:rsidR="00665BFC" w:rsidRPr="00327B09">
        <w:t xml:space="preserve"> as </w:t>
      </w:r>
      <w:r w:rsidR="00270872" w:rsidRPr="00327B09">
        <w:t>incorporated</w:t>
      </w:r>
      <w:r w:rsidR="00665BFC" w:rsidRPr="00327B09">
        <w:t xml:space="preserve"> by</w:t>
      </w:r>
      <w:r w:rsidR="00270872" w:rsidRPr="00327B09">
        <w:t xml:space="preserve"> reference in </w:t>
      </w:r>
      <w:r w:rsidR="00F43F58" w:rsidRPr="00327B09">
        <w:t>section 284.12</w:t>
      </w:r>
      <w:r w:rsidR="00665BFC" w:rsidRPr="00327B09">
        <w:t>(a)(1)(v) of the Commission’s regulations</w:t>
      </w:r>
      <w:r w:rsidR="006875F9" w:rsidRPr="00327B09">
        <w:t>,</w:t>
      </w:r>
      <w:r w:rsidR="00665BFC" w:rsidRPr="00327B09">
        <w:rPr>
          <w:rStyle w:val="FootnoteReference"/>
        </w:rPr>
        <w:footnoteReference w:id="10"/>
      </w:r>
      <w:r w:rsidR="006875F9" w:rsidRPr="00327B09">
        <w:t xml:space="preserve"> each pipeline must display its entire tariff (including the map) on its website.</w:t>
      </w:r>
      <w:r w:rsidRPr="00327B09">
        <w:t xml:space="preserve"> </w:t>
      </w:r>
      <w:r w:rsidR="006875F9" w:rsidRPr="00327B09">
        <w:t xml:space="preserve"> </w:t>
      </w:r>
      <w:r w:rsidR="00705721" w:rsidRPr="00327B09">
        <w:t xml:space="preserve">Pipeline system maps, however, </w:t>
      </w:r>
      <w:r w:rsidR="00EE3D1B" w:rsidRPr="00327B09">
        <w:t xml:space="preserve">are often created </w:t>
      </w:r>
      <w:r w:rsidR="00705721" w:rsidRPr="00327B09">
        <w:t xml:space="preserve">using </w:t>
      </w:r>
      <w:r w:rsidR="00EE3D1B" w:rsidRPr="00327B09">
        <w:t>specialized software</w:t>
      </w:r>
      <w:r w:rsidR="00705721" w:rsidRPr="00327B09">
        <w:t>,</w:t>
      </w:r>
      <w:r w:rsidR="00EE3D1B" w:rsidRPr="00327B09">
        <w:t xml:space="preserve"> and can be densely populated with data</w:t>
      </w:r>
      <w:r w:rsidR="00270872" w:rsidRPr="00327B09">
        <w:t xml:space="preserve">. </w:t>
      </w:r>
      <w:r w:rsidR="00EE3D1B" w:rsidRPr="00327B09">
        <w:t xml:space="preserve"> </w:t>
      </w:r>
      <w:r w:rsidR="00270872" w:rsidRPr="00327B09">
        <w:t>These factors have created</w:t>
      </w:r>
      <w:r w:rsidR="00EF70BB" w:rsidRPr="00327B09">
        <w:t xml:space="preserve"> constraints </w:t>
      </w:r>
      <w:r w:rsidR="00270872" w:rsidRPr="00327B09">
        <w:t>in</w:t>
      </w:r>
      <w:r w:rsidR="00705721" w:rsidRPr="00327B09">
        <w:t xml:space="preserve"> the ability </w:t>
      </w:r>
      <w:r w:rsidR="00270872" w:rsidRPr="00327B09">
        <w:t xml:space="preserve">of pipelines </w:t>
      </w:r>
      <w:r w:rsidR="00705721" w:rsidRPr="00327B09">
        <w:t xml:space="preserve">to file </w:t>
      </w:r>
      <w:r w:rsidR="00270872" w:rsidRPr="00327B09">
        <w:t>maps</w:t>
      </w:r>
      <w:r w:rsidR="00705721" w:rsidRPr="00327B09">
        <w:t xml:space="preserve"> </w:t>
      </w:r>
      <w:r w:rsidR="00270872" w:rsidRPr="00327B09">
        <w:t>as part of their electronically filed tariffs</w:t>
      </w:r>
      <w:r w:rsidR="00705721" w:rsidRPr="00327B09">
        <w:t>.</w:t>
      </w:r>
      <w:r w:rsidR="00EE3D1B" w:rsidRPr="00327B09">
        <w:t xml:space="preserve"> </w:t>
      </w:r>
      <w:r w:rsidR="00192CF7" w:rsidRPr="00327B09">
        <w:t xml:space="preserve"> </w:t>
      </w:r>
      <w:r w:rsidR="00705721" w:rsidRPr="00327B09">
        <w:t xml:space="preserve">For </w:t>
      </w:r>
    </w:p>
    <w:p w14:paraId="0DA0305A" w14:textId="77777777" w:rsidR="009172CD" w:rsidRDefault="009172CD" w:rsidP="009172CD">
      <w:pPr>
        <w:pStyle w:val="FERCparanumber"/>
        <w:numPr>
          <w:ilvl w:val="0"/>
          <w:numId w:val="0"/>
        </w:numPr>
      </w:pPr>
    </w:p>
    <w:p w14:paraId="68DC63C3" w14:textId="109DB7C8" w:rsidR="00590C43" w:rsidRPr="00327B09" w:rsidRDefault="00705721" w:rsidP="009172CD">
      <w:pPr>
        <w:pStyle w:val="FERCparanumber"/>
        <w:numPr>
          <w:ilvl w:val="0"/>
          <w:numId w:val="0"/>
        </w:numPr>
      </w:pPr>
      <w:r w:rsidRPr="00327B09">
        <w:lastRenderedPageBreak/>
        <w:t xml:space="preserve">example, </w:t>
      </w:r>
      <w:r w:rsidR="006875F9" w:rsidRPr="00327B09">
        <w:t xml:space="preserve">eTariff </w:t>
      </w:r>
      <w:r w:rsidRPr="00327B09">
        <w:t>limits</w:t>
      </w:r>
      <w:r w:rsidR="00491C49" w:rsidRPr="00327B09">
        <w:t xml:space="preserve"> the size </w:t>
      </w:r>
      <w:r w:rsidRPr="00327B09">
        <w:t xml:space="preserve">of </w:t>
      </w:r>
      <w:r w:rsidR="00491C49" w:rsidRPr="00327B09">
        <w:t xml:space="preserve">all individual tariff </w:t>
      </w:r>
      <w:r w:rsidR="00080AFA" w:rsidRPr="00327B09">
        <w:t>records</w:t>
      </w:r>
      <w:r w:rsidR="00491C49" w:rsidRPr="00327B09">
        <w:t xml:space="preserve"> </w:t>
      </w:r>
      <w:r w:rsidRPr="00327B09">
        <w:t>to</w:t>
      </w:r>
      <w:r w:rsidR="00491C49" w:rsidRPr="00327B09">
        <w:t xml:space="preserve"> 10 megabytes.</w:t>
      </w:r>
      <w:r w:rsidR="00665BFC" w:rsidRPr="00327B09">
        <w:rPr>
          <w:rStyle w:val="FootnoteReference"/>
        </w:rPr>
        <w:footnoteReference w:id="11"/>
      </w:r>
      <w:r w:rsidR="00491C49" w:rsidRPr="00327B09">
        <w:t xml:space="preserve">  </w:t>
      </w:r>
      <w:r w:rsidRPr="00327B09">
        <w:t xml:space="preserve">Further, </w:t>
      </w:r>
      <w:r w:rsidR="00590C43" w:rsidRPr="00327B09">
        <w:t xml:space="preserve">system maps </w:t>
      </w:r>
      <w:r w:rsidRPr="00327B09">
        <w:t>may only be filed in one</w:t>
      </w:r>
      <w:r w:rsidR="00590C43" w:rsidRPr="00327B09">
        <w:t xml:space="preserve"> of two electronic formats, RTF or PDF.</w:t>
      </w:r>
      <w:r w:rsidR="004421EC" w:rsidRPr="00327B09">
        <w:rPr>
          <w:rStyle w:val="FootnoteReference"/>
        </w:rPr>
        <w:footnoteReference w:id="12"/>
      </w:r>
      <w:r w:rsidR="00590C43" w:rsidRPr="00327B09">
        <w:t xml:space="preserve">  </w:t>
      </w:r>
      <w:r w:rsidR="00EE3D1B" w:rsidRPr="00327B09">
        <w:t xml:space="preserve">In practice, it is </w:t>
      </w:r>
      <w:r w:rsidRPr="00327B09">
        <w:t xml:space="preserve">technically difficult </w:t>
      </w:r>
      <w:r w:rsidR="006F7801" w:rsidRPr="00327B09">
        <w:t>to create and</w:t>
      </w:r>
      <w:r w:rsidR="00EE3D1B" w:rsidRPr="00327B09">
        <w:t xml:space="preserve"> file a map in RTF</w:t>
      </w:r>
      <w:r w:rsidRPr="00327B09">
        <w:t>.  Further</w:t>
      </w:r>
      <w:r w:rsidR="00192CF7" w:rsidRPr="00327B09">
        <w:t>,</w:t>
      </w:r>
      <w:r w:rsidR="00EE3D1B" w:rsidRPr="00327B09">
        <w:t xml:space="preserve"> pipelines have informed Commission Staff that converting their maps to a small-size PDF often compels them to reduce the quality of the maps.</w:t>
      </w:r>
    </w:p>
    <w:p w14:paraId="69EC10A5" w14:textId="78AFCC5F" w:rsidR="00453C14" w:rsidRPr="00327B09" w:rsidRDefault="00765474" w:rsidP="006C0B36">
      <w:pPr>
        <w:pStyle w:val="FERCparanumber"/>
      </w:pPr>
      <w:r w:rsidRPr="00327B09">
        <w:t xml:space="preserve">As noted, the current regulation requires </w:t>
      </w:r>
      <w:r w:rsidR="00080AFA" w:rsidRPr="00327B09">
        <w:t>the</w:t>
      </w:r>
      <w:r w:rsidRPr="00327B09">
        <w:t xml:space="preserve"> filing of an updated map only if there is a major change, and thus n</w:t>
      </w:r>
      <w:r w:rsidR="00590C43" w:rsidRPr="00327B09">
        <w:t xml:space="preserve">ot all pipelines have major changes requiring </w:t>
      </w:r>
      <w:r w:rsidR="00080AFA" w:rsidRPr="00327B09">
        <w:t>such a</w:t>
      </w:r>
      <w:r w:rsidR="00590C43" w:rsidRPr="00327B09">
        <w:t xml:space="preserve"> filing every year.  </w:t>
      </w:r>
      <w:r w:rsidR="007C2A9E" w:rsidRPr="00327B09">
        <w:t xml:space="preserve">Over the past </w:t>
      </w:r>
      <w:r w:rsidR="0043529B" w:rsidRPr="00327B09">
        <w:t>three</w:t>
      </w:r>
      <w:r w:rsidR="007C2A9E" w:rsidRPr="00327B09">
        <w:t xml:space="preserve"> years,</w:t>
      </w:r>
      <w:r w:rsidR="00590C43" w:rsidRPr="00327B09">
        <w:t xml:space="preserve"> the Commission received </w:t>
      </w:r>
      <w:r w:rsidR="0043529B" w:rsidRPr="00327B09">
        <w:t>an average of 2</w:t>
      </w:r>
      <w:r w:rsidR="00192CF7" w:rsidRPr="00327B09">
        <w:t>1</w:t>
      </w:r>
      <w:r w:rsidR="0043529B" w:rsidRPr="00327B09">
        <w:t xml:space="preserve"> filings per year </w:t>
      </w:r>
      <w:r w:rsidR="007C2A9E" w:rsidRPr="00327B09">
        <w:t>that were exclusively pursuant to section 154.106</w:t>
      </w:r>
      <w:r w:rsidR="00590C43" w:rsidRPr="00327B09">
        <w:t xml:space="preserve">. </w:t>
      </w:r>
      <w:r w:rsidR="007C2A9E" w:rsidRPr="00327B09">
        <w:t xml:space="preserve"> </w:t>
      </w:r>
      <w:r w:rsidR="00590C43" w:rsidRPr="00327B09">
        <w:t xml:space="preserve">Additionally, </w:t>
      </w:r>
      <w:r w:rsidRPr="00327B09">
        <w:t xml:space="preserve">pipelines sometimes file </w:t>
      </w:r>
      <w:r w:rsidR="00590C43" w:rsidRPr="00327B09">
        <w:t xml:space="preserve">system maps intermittently throughout the year as </w:t>
      </w:r>
      <w:r w:rsidR="007C2A9E" w:rsidRPr="00327B09">
        <w:t>part of more general tariff filings</w:t>
      </w:r>
      <w:r w:rsidR="00590C43" w:rsidRPr="00327B09">
        <w:t>.</w:t>
      </w:r>
    </w:p>
    <w:p w14:paraId="20477DDC" w14:textId="77777777" w:rsidR="002E3682" w:rsidRPr="00327B09" w:rsidRDefault="002E3682" w:rsidP="004D55EB">
      <w:pPr>
        <w:pStyle w:val="Heading1"/>
      </w:pPr>
      <w:r w:rsidRPr="00327B09">
        <w:t>Discussion</w:t>
      </w:r>
      <w:bookmarkStart w:id="4" w:name="_bmk2"/>
    </w:p>
    <w:bookmarkEnd w:id="4"/>
    <w:p w14:paraId="71B41452" w14:textId="77777777" w:rsidR="00BD5782" w:rsidRPr="00327B09" w:rsidRDefault="00BD5782" w:rsidP="007715FF">
      <w:pPr>
        <w:pStyle w:val="Heading2"/>
        <w:tabs>
          <w:tab w:val="clear" w:pos="1080"/>
          <w:tab w:val="num" w:pos="1440"/>
        </w:tabs>
      </w:pPr>
      <w:r w:rsidRPr="00327B09">
        <w:t>Proposed Changes</w:t>
      </w:r>
      <w:bookmarkStart w:id="5" w:name="_bmk3"/>
    </w:p>
    <w:bookmarkEnd w:id="5"/>
    <w:p w14:paraId="247C7EDC" w14:textId="1678C591" w:rsidR="00590C43" w:rsidRPr="00327B09" w:rsidRDefault="00431B06" w:rsidP="006C0B36">
      <w:pPr>
        <w:pStyle w:val="FERCparanumber"/>
      </w:pPr>
      <w:r w:rsidRPr="00327B09">
        <w:t>The Commission proposes two changes to the gas pipeline map regulations</w:t>
      </w:r>
      <w:r w:rsidR="006F7801" w:rsidRPr="00327B09">
        <w:t xml:space="preserve"> </w:t>
      </w:r>
      <w:r w:rsidRPr="00327B09">
        <w:t xml:space="preserve">with the aim of promoting transparency and reducing regulatory burden.  </w:t>
      </w:r>
      <w:r w:rsidR="00590C43" w:rsidRPr="00327B09">
        <w:t xml:space="preserve">In an effort to reduce regulatory burden, the Commission proposes to eliminate </w:t>
      </w:r>
      <w:r w:rsidR="00AC0A0C" w:rsidRPr="00327B09">
        <w:t xml:space="preserve">the </w:t>
      </w:r>
      <w:r w:rsidR="00590C43" w:rsidRPr="00327B09">
        <w:t xml:space="preserve">requirement that system </w:t>
      </w:r>
      <w:r w:rsidR="00590C43" w:rsidRPr="00327B09">
        <w:lastRenderedPageBreak/>
        <w:t xml:space="preserve">maps be filed in </w:t>
      </w:r>
      <w:r w:rsidR="006F7801" w:rsidRPr="00327B09">
        <w:t>as part of natural gas pipeline tariffs</w:t>
      </w:r>
      <w:r w:rsidR="00590C43" w:rsidRPr="00327B09">
        <w:t>.</w:t>
      </w:r>
      <w:r w:rsidR="003F54FC" w:rsidRPr="00327B09">
        <w:t xml:space="preserve"> </w:t>
      </w:r>
      <w:r w:rsidR="00590C43" w:rsidRPr="00327B09">
        <w:t xml:space="preserve"> In the</w:t>
      </w:r>
      <w:r w:rsidR="002C3028" w:rsidRPr="00327B09">
        <w:t xml:space="preserve"> place of system maps</w:t>
      </w:r>
      <w:r w:rsidR="00590C43" w:rsidRPr="00327B09">
        <w:t xml:space="preserve">, the Commission proposes to require </w:t>
      </w:r>
      <w:r w:rsidR="002C3028" w:rsidRPr="00327B09">
        <w:t xml:space="preserve">that pipelines </w:t>
      </w:r>
      <w:r w:rsidR="00590C43" w:rsidRPr="00327B09">
        <w:t>provide a</w:t>
      </w:r>
      <w:r w:rsidR="00AC0A0C" w:rsidRPr="00327B09">
        <w:t xml:space="preserve"> </w:t>
      </w:r>
      <w:r w:rsidR="006F7801" w:rsidRPr="00327B09">
        <w:t xml:space="preserve">tariff record that contains a </w:t>
      </w:r>
      <w:r w:rsidR="00AC0A0C" w:rsidRPr="00327B09">
        <w:t>website address, or uniform resource locator (URL)</w:t>
      </w:r>
      <w:r w:rsidR="00590C43" w:rsidRPr="00327B09">
        <w:t xml:space="preserve"> reference</w:t>
      </w:r>
      <w:r w:rsidR="00AC0A0C" w:rsidRPr="00327B09">
        <w:t>,</w:t>
      </w:r>
      <w:r w:rsidR="00590C43" w:rsidRPr="00327B09">
        <w:t xml:space="preserve"> to the </w:t>
      </w:r>
      <w:r w:rsidR="00765474" w:rsidRPr="00327B09">
        <w:t>pipeline’s public</w:t>
      </w:r>
      <w:r w:rsidR="00FD3AAC" w:rsidRPr="00327B09">
        <w:t>l</w:t>
      </w:r>
      <w:r w:rsidR="00765474" w:rsidRPr="00327B09">
        <w:t>y</w:t>
      </w:r>
      <w:r w:rsidR="006F7801" w:rsidRPr="00327B09">
        <w:t xml:space="preserve"> available </w:t>
      </w:r>
      <w:r w:rsidR="00590C43" w:rsidRPr="00327B09">
        <w:t xml:space="preserve">website where maps may be accessed.  </w:t>
      </w:r>
      <w:r w:rsidR="006F7801" w:rsidRPr="00327B09">
        <w:t>T</w:t>
      </w:r>
      <w:r w:rsidR="00590C43" w:rsidRPr="00327B09">
        <w:t xml:space="preserve">he Commission </w:t>
      </w:r>
      <w:r w:rsidR="002C3028" w:rsidRPr="00327B09">
        <w:t>proposes that natural gas pipelines</w:t>
      </w:r>
      <w:r w:rsidR="00590C43" w:rsidRPr="00327B09">
        <w:t xml:space="preserve"> </w:t>
      </w:r>
      <w:r w:rsidR="00765474" w:rsidRPr="00327B09">
        <w:t xml:space="preserve">post </w:t>
      </w:r>
      <w:r w:rsidR="00590C43" w:rsidRPr="00327B09">
        <w:t>their system map</w:t>
      </w:r>
      <w:r w:rsidR="002C3028" w:rsidRPr="00327B09">
        <w:t>s</w:t>
      </w:r>
      <w:r w:rsidR="00590C43" w:rsidRPr="00327B09">
        <w:t xml:space="preserve"> on the Inform</w:t>
      </w:r>
      <w:r w:rsidR="002C3028" w:rsidRPr="00327B09">
        <w:t>ational Postings portion of their respective</w:t>
      </w:r>
      <w:r w:rsidR="00590C43" w:rsidRPr="00327B09">
        <w:t xml:space="preserve"> websites</w:t>
      </w:r>
      <w:r w:rsidR="006F7801" w:rsidRPr="00327B09">
        <w:t xml:space="preserve"> in accord</w:t>
      </w:r>
      <w:r w:rsidR="00765474" w:rsidRPr="00327B09">
        <w:t>ance</w:t>
      </w:r>
      <w:r w:rsidR="006F7801" w:rsidRPr="00327B09">
        <w:t xml:space="preserve"> with </w:t>
      </w:r>
      <w:r w:rsidR="00270872" w:rsidRPr="00327B09">
        <w:t xml:space="preserve">applicable </w:t>
      </w:r>
      <w:r w:rsidR="006F7801" w:rsidRPr="00327B09">
        <w:t>NAESB standards</w:t>
      </w:r>
      <w:r w:rsidR="00590C43" w:rsidRPr="00327B09">
        <w:t>.</w:t>
      </w:r>
      <w:r w:rsidR="00192CF7" w:rsidRPr="00327B09">
        <w:t xml:space="preserve">  </w:t>
      </w:r>
      <w:r w:rsidR="0026605C" w:rsidRPr="00327B09">
        <w:t xml:space="preserve">Upon the adoption of this rule, </w:t>
      </w:r>
      <w:r w:rsidR="00270872" w:rsidRPr="00327B09">
        <w:t xml:space="preserve">NAESB </w:t>
      </w:r>
      <w:r w:rsidR="00FD3AAC" w:rsidRPr="00327B09">
        <w:t>should also</w:t>
      </w:r>
      <w:r w:rsidR="00270872" w:rsidRPr="00327B09">
        <w:t xml:space="preserve"> consider whether additional standards are </w:t>
      </w:r>
      <w:r w:rsidR="00C53F6A" w:rsidRPr="00327B09">
        <w:t>needed</w:t>
      </w:r>
      <w:r w:rsidR="00270872" w:rsidRPr="00327B09">
        <w:t xml:space="preserve"> to assure accessibility and uniformity in the presentation of the maps</w:t>
      </w:r>
      <w:r w:rsidR="00590C43" w:rsidRPr="00327B09">
        <w:t>.</w:t>
      </w:r>
    </w:p>
    <w:p w14:paraId="12EC6122" w14:textId="1FE7F59A" w:rsidR="0026605C" w:rsidRPr="00327B09" w:rsidRDefault="000A684D" w:rsidP="006C0B36">
      <w:pPr>
        <w:pStyle w:val="FERCparanumber"/>
      </w:pPr>
      <w:r w:rsidRPr="00327B09">
        <w:t>The proposal</w:t>
      </w:r>
      <w:r w:rsidR="00765474" w:rsidRPr="00327B09">
        <w:t xml:space="preserve"> to eliminate the map filing requirement effectively renders </w:t>
      </w:r>
      <w:r w:rsidR="00590C43" w:rsidRPr="00327B09">
        <w:t xml:space="preserve">the </w:t>
      </w:r>
      <w:r w:rsidR="005262E9">
        <w:br/>
      </w:r>
      <w:r w:rsidR="00590C43" w:rsidRPr="00327B09">
        <w:t xml:space="preserve">April </w:t>
      </w:r>
      <w:r w:rsidR="002C3028" w:rsidRPr="00327B09">
        <w:t>30 regulatory deadline</w:t>
      </w:r>
      <w:r w:rsidR="00A42908" w:rsidRPr="00327B09">
        <w:t xml:space="preserve"> obsolete</w:t>
      </w:r>
      <w:r w:rsidR="00192CF7" w:rsidRPr="00327B09">
        <w:t>.  T</w:t>
      </w:r>
      <w:r w:rsidR="0063214F" w:rsidRPr="00327B09">
        <w:t>hus, in order to ensure a higher level of transparency, the Commission proposes to require pipelines to update system maps more promptly</w:t>
      </w:r>
      <w:r w:rsidR="00270872" w:rsidRPr="00327B09">
        <w:t xml:space="preserve">, so that customers and potential customers can obtain a realistic </w:t>
      </w:r>
      <w:r w:rsidR="0026605C" w:rsidRPr="00327B09">
        <w:t>picture of the pipeline’s configuration, its zone boundaries, and the areas to which its rates apply</w:t>
      </w:r>
      <w:r w:rsidR="0063214F" w:rsidRPr="00327B09">
        <w:t>.</w:t>
      </w:r>
      <w:r w:rsidR="006F7801" w:rsidRPr="00327B09">
        <w:t xml:space="preserve">  </w:t>
      </w:r>
      <w:r w:rsidR="0063214F" w:rsidRPr="00327B09">
        <w:t>While z</w:t>
      </w:r>
      <w:r w:rsidR="006F7801" w:rsidRPr="00327B09">
        <w:t>one boundaries do not often change</w:t>
      </w:r>
      <w:r w:rsidR="0063214F" w:rsidRPr="00327B09">
        <w:t>,</w:t>
      </w:r>
      <w:r w:rsidR="006F7801" w:rsidRPr="00327B09">
        <w:t xml:space="preserve"> the markets pipelines serve do change more frequently as pipelines add laterals, extend mainlines</w:t>
      </w:r>
      <w:r w:rsidR="00383868" w:rsidRPr="00327B09">
        <w:t>,</w:t>
      </w:r>
      <w:r w:rsidR="006F7801" w:rsidRPr="00327B09">
        <w:t xml:space="preserve"> abandon plant</w:t>
      </w:r>
      <w:r w:rsidR="00383868" w:rsidRPr="00327B09">
        <w:t xml:space="preserve"> or change operations</w:t>
      </w:r>
      <w:r w:rsidR="006F7801" w:rsidRPr="00327B09">
        <w:t xml:space="preserve">.  </w:t>
      </w:r>
      <w:r w:rsidR="008D6546">
        <w:t>Requiring pipelines to update their maps in the calendar quarter that they implement a major system change will enhance transparency</w:t>
      </w:r>
      <w:r w:rsidR="008D6546" w:rsidRPr="00327B09">
        <w:t xml:space="preserve"> </w:t>
      </w:r>
      <w:r w:rsidR="008D6546">
        <w:t xml:space="preserve">by ensuring </w:t>
      </w:r>
      <w:r w:rsidR="0026605C" w:rsidRPr="00327B09">
        <w:t xml:space="preserve">that shippers have an accurate </w:t>
      </w:r>
      <w:r w:rsidR="00C53F6A" w:rsidRPr="00327B09">
        <w:t>depiction</w:t>
      </w:r>
      <w:r w:rsidR="0026605C" w:rsidRPr="00327B09">
        <w:t xml:space="preserve"> of the pipeline in </w:t>
      </w:r>
      <w:r w:rsidR="008D6546">
        <w:t xml:space="preserve">a </w:t>
      </w:r>
      <w:r w:rsidR="005000C5">
        <w:t>timelier</w:t>
      </w:r>
      <w:r w:rsidR="008D6546">
        <w:t xml:space="preserve"> manner.</w:t>
      </w:r>
    </w:p>
    <w:p w14:paraId="571B7525" w14:textId="556BA51E" w:rsidR="00241BF1" w:rsidRDefault="000A684D" w:rsidP="000A684D">
      <w:pPr>
        <w:pStyle w:val="FERCparanumber"/>
      </w:pPr>
      <w:r>
        <w:lastRenderedPageBreak/>
        <w:t>Pursuant to the Commission’s current regulatory str</w:t>
      </w:r>
      <w:r w:rsidR="005F6DD0">
        <w:t>u</w:t>
      </w:r>
      <w:r>
        <w:t>cture</w:t>
      </w:r>
      <w:r w:rsidR="00327B09" w:rsidRPr="00327B09">
        <w:t>, pipelines must</w:t>
      </w:r>
      <w:r w:rsidRPr="000A684D">
        <w:t xml:space="preserve"> already</w:t>
      </w:r>
      <w:r w:rsidR="00327B09" w:rsidRPr="00327B09">
        <w:t xml:space="preserve"> provide new tariff language or maps in advance.</w:t>
      </w:r>
      <w:r w:rsidR="00327B09" w:rsidRPr="00327B09">
        <w:rPr>
          <w:rStyle w:val="FootnoteReference"/>
        </w:rPr>
        <w:footnoteReference w:id="13"/>
      </w:r>
      <w:r w:rsidR="00327B09" w:rsidRPr="00327B09">
        <w:t xml:space="preserve">  While we continue to encourage such promptness, for the purposes of section 154.106, </w:t>
      </w:r>
      <w:r w:rsidR="00A42908" w:rsidRPr="00327B09">
        <w:t xml:space="preserve">the Commission </w:t>
      </w:r>
      <w:r w:rsidR="0021573D" w:rsidRPr="00327B09">
        <w:t>proposes to</w:t>
      </w:r>
      <w:r w:rsidR="00A42908" w:rsidRPr="00327B09">
        <w:t xml:space="preserve"> reduce the </w:t>
      </w:r>
      <w:r w:rsidR="0026605C" w:rsidRPr="00327B09">
        <w:t>current</w:t>
      </w:r>
      <w:r w:rsidR="00A42908" w:rsidRPr="00327B09">
        <w:t xml:space="preserve"> lag period to </w:t>
      </w:r>
      <w:r w:rsidR="005D7D38" w:rsidRPr="00327B09">
        <w:t xml:space="preserve">a </w:t>
      </w:r>
      <w:r w:rsidR="00EE3D1B" w:rsidRPr="00327B09">
        <w:t>calendar quarter</w:t>
      </w:r>
      <w:r w:rsidR="00A42908" w:rsidRPr="00327B09">
        <w:t>.</w:t>
      </w:r>
      <w:r w:rsidR="00EE3D1B" w:rsidRPr="00327B09">
        <w:rPr>
          <w:rStyle w:val="FootnoteReference"/>
        </w:rPr>
        <w:footnoteReference w:id="14"/>
      </w:r>
      <w:r w:rsidR="00241BF1" w:rsidRPr="00327B09">
        <w:t xml:space="preserve">  </w:t>
      </w:r>
      <w:r w:rsidR="0063214F" w:rsidRPr="00327B09">
        <w:t xml:space="preserve">Because </w:t>
      </w:r>
      <w:r w:rsidR="005D7D38" w:rsidRPr="00327B09">
        <w:t xml:space="preserve">it is relatively rare for pipelines to engage in major changes that require new maps more than once a year, this change should only slightly increase the number of </w:t>
      </w:r>
      <w:r w:rsidR="00080AFA" w:rsidRPr="00327B09">
        <w:t>website</w:t>
      </w:r>
      <w:r w:rsidR="00383868" w:rsidRPr="00327B09">
        <w:t xml:space="preserve"> map </w:t>
      </w:r>
      <w:r w:rsidR="0026605C" w:rsidRPr="00327B09">
        <w:t>updates</w:t>
      </w:r>
      <w:r w:rsidR="005D7D38" w:rsidRPr="00327B09">
        <w:t xml:space="preserve"> but it will increase the public’s </w:t>
      </w:r>
      <w:r w:rsidR="00383868" w:rsidRPr="00327B09">
        <w:t>confidence</w:t>
      </w:r>
      <w:r w:rsidR="005D7D38" w:rsidRPr="00327B09">
        <w:t xml:space="preserve"> that a pipeline’s map is up-to-date and relevant.</w:t>
      </w:r>
      <w:r w:rsidR="00080AFA" w:rsidRPr="00327B09">
        <w:t xml:space="preserve">  </w:t>
      </w:r>
      <w:r w:rsidR="00327B09" w:rsidRPr="00327B09">
        <w:t xml:space="preserve">Furthermore, </w:t>
      </w:r>
      <w:r w:rsidR="005A389A">
        <w:t>connecting</w:t>
      </w:r>
      <w:r w:rsidR="00327B09" w:rsidRPr="00327B09">
        <w:t xml:space="preserve"> map update deadlines to the calendar quarter will assist those pipelines that prefer specified calendar dates for their compliance obligations.  </w:t>
      </w:r>
      <w:r w:rsidR="005000C5">
        <w:t>Accordingly, t</w:t>
      </w:r>
      <w:r w:rsidR="00241BF1" w:rsidRPr="00327B09">
        <w:t xml:space="preserve">he Commission proposes to define the </w:t>
      </w:r>
      <w:r w:rsidR="0063214F" w:rsidRPr="00327B09">
        <w:t xml:space="preserve">new </w:t>
      </w:r>
      <w:r w:rsidR="00241BF1" w:rsidRPr="00327B09">
        <w:t>deadline as follows</w:t>
      </w:r>
      <w:r w:rsidR="00FF01B7" w:rsidRPr="00327B09">
        <w:t xml:space="preserve"> (new language in bold)</w:t>
      </w:r>
      <w:r w:rsidR="00241BF1" w:rsidRPr="00327B09">
        <w:t xml:space="preserve">: </w:t>
      </w:r>
      <w:r w:rsidR="009172CD">
        <w:t xml:space="preserve"> </w:t>
      </w:r>
      <w:r w:rsidR="005C1D4A" w:rsidRPr="00327B09">
        <w:t xml:space="preserve">“The map must be revised to reflect any major </w:t>
      </w:r>
      <w:r w:rsidR="005C1D4A" w:rsidRPr="003B11E7">
        <w:t xml:space="preserve">change </w:t>
      </w:r>
      <w:r w:rsidR="005000C5" w:rsidRPr="000A684D">
        <w:rPr>
          <w:u w:val="single"/>
        </w:rPr>
        <w:t>no later</w:t>
      </w:r>
      <w:r w:rsidR="005000C5" w:rsidRPr="000A684D">
        <w:t xml:space="preserve"> than</w:t>
      </w:r>
      <w:r w:rsidR="005000C5" w:rsidRPr="00327B09">
        <w:rPr>
          <w:b/>
        </w:rPr>
        <w:t xml:space="preserve"> </w:t>
      </w:r>
      <w:r w:rsidR="005C1D4A" w:rsidRPr="00327B09">
        <w:rPr>
          <w:b/>
        </w:rPr>
        <w:t>the end of the calendar quarter of</w:t>
      </w:r>
      <w:r w:rsidR="005C1D4A" w:rsidRPr="00327B09">
        <w:t xml:space="preserve"> the major change.”</w:t>
      </w:r>
    </w:p>
    <w:p w14:paraId="5369E142" w14:textId="63975521" w:rsidR="00590C43" w:rsidRPr="00327B09" w:rsidRDefault="00F87E6D" w:rsidP="006C0B36">
      <w:pPr>
        <w:pStyle w:val="FERCparanumber"/>
      </w:pPr>
      <w:r w:rsidRPr="00327B09">
        <w:t>Furthermore, just as all tariff records</w:t>
      </w:r>
      <w:r w:rsidR="008A3127" w:rsidRPr="00327B09">
        <w:t>, including tariff maps,</w:t>
      </w:r>
      <w:r w:rsidRPr="00327B09">
        <w:t xml:space="preserve"> must </w:t>
      </w:r>
      <w:r w:rsidR="00383868" w:rsidRPr="00327B09">
        <w:t xml:space="preserve">have </w:t>
      </w:r>
      <w:r w:rsidRPr="00327B09">
        <w:t>an effective date</w:t>
      </w:r>
      <w:r w:rsidR="008A3127" w:rsidRPr="00327B09">
        <w:t xml:space="preserve"> under the current regulations</w:t>
      </w:r>
      <w:r w:rsidRPr="00327B09">
        <w:t xml:space="preserve">, the Commission </w:t>
      </w:r>
      <w:r w:rsidR="005A389A">
        <w:t xml:space="preserve">will </w:t>
      </w:r>
      <w:r w:rsidR="00080AFA" w:rsidRPr="00327B09">
        <w:t xml:space="preserve">also </w:t>
      </w:r>
      <w:r w:rsidRPr="00327B09">
        <w:t xml:space="preserve">require </w:t>
      </w:r>
      <w:r w:rsidR="008A3127" w:rsidRPr="00327B09">
        <w:t xml:space="preserve">website maps </w:t>
      </w:r>
      <w:r w:rsidR="00080AFA" w:rsidRPr="00327B09">
        <w:t>to</w:t>
      </w:r>
      <w:r w:rsidR="008A3127" w:rsidRPr="00327B09">
        <w:t xml:space="preserve"> </w:t>
      </w:r>
      <w:r w:rsidR="008A3127" w:rsidRPr="00327B09">
        <w:lastRenderedPageBreak/>
        <w:t>display an effective date.</w:t>
      </w:r>
      <w:r w:rsidR="005D7D38" w:rsidRPr="00327B09">
        <w:t xml:space="preserve">  Pipelines are also permitted to display maps showing past, future, or hypothetical operations, so long as these maps are clearly </w:t>
      </w:r>
      <w:r w:rsidR="00BF5507" w:rsidRPr="00327B09">
        <w:t>labeled</w:t>
      </w:r>
      <w:r w:rsidR="005D7D38" w:rsidRPr="00327B09">
        <w:t xml:space="preserve"> as such.</w:t>
      </w:r>
      <w:r w:rsidR="00241BF1" w:rsidRPr="00327B09">
        <w:t xml:space="preserve">  </w:t>
      </w:r>
    </w:p>
    <w:p w14:paraId="1FF3927F" w14:textId="3FA9C734" w:rsidR="00FB566E" w:rsidRPr="00327B09" w:rsidRDefault="00FB566E" w:rsidP="006C0B36">
      <w:pPr>
        <w:pStyle w:val="FERCparanumber"/>
      </w:pPr>
      <w:r w:rsidRPr="00327B09">
        <w:t xml:space="preserve">The Commission is taking this action as part of our commitment to continually review our regulations and eliminate those requirements that impose an unnecessary burden on regulated entities. </w:t>
      </w:r>
      <w:r w:rsidR="0099342F">
        <w:t xml:space="preserve"> </w:t>
      </w:r>
      <w:r w:rsidRPr="00327B09">
        <w:t>We find that our proposal to have pipelines incorporate the system map by reference to a location on their websites will retain all of the transparency and consumer safegu</w:t>
      </w:r>
      <w:r w:rsidR="0043529B" w:rsidRPr="00327B09">
        <w:t>ards embodied in the Commission’</w:t>
      </w:r>
      <w:r w:rsidRPr="00327B09">
        <w:t xml:space="preserve">s existing regulations. </w:t>
      </w:r>
      <w:r w:rsidR="00192CF7" w:rsidRPr="00327B09">
        <w:t xml:space="preserve"> </w:t>
      </w:r>
      <w:r w:rsidRPr="00327B09">
        <w:t>However, it will eliminate approximately 2</w:t>
      </w:r>
      <w:r w:rsidR="005A389A">
        <w:t>1</w:t>
      </w:r>
      <w:r w:rsidRPr="00327B09">
        <w:t xml:space="preserve"> filings each year, </w:t>
      </w:r>
      <w:r w:rsidR="0026605C" w:rsidRPr="00327B09">
        <w:t xml:space="preserve">and the concomitant technical burdens of conforming maps to the eTariff </w:t>
      </w:r>
      <w:r w:rsidR="00BF5507" w:rsidRPr="00327B09">
        <w:t>requirements</w:t>
      </w:r>
      <w:r w:rsidRPr="00327B09">
        <w:t xml:space="preserve">, thereby reducing the regulatory burden on the </w:t>
      </w:r>
      <w:r w:rsidR="00D35623" w:rsidRPr="00327B09">
        <w:t>p</w:t>
      </w:r>
      <w:r w:rsidRPr="00327B09">
        <w:t>ipelines and the Commission.</w:t>
      </w:r>
    </w:p>
    <w:p w14:paraId="5E47CCBB" w14:textId="77777777" w:rsidR="00BD5782" w:rsidRPr="00327B09" w:rsidRDefault="00BD5782" w:rsidP="007715FF">
      <w:pPr>
        <w:pStyle w:val="Heading2"/>
        <w:tabs>
          <w:tab w:val="clear" w:pos="1080"/>
          <w:tab w:val="num" w:pos="1440"/>
        </w:tabs>
      </w:pPr>
      <w:r w:rsidRPr="00327B09">
        <w:t>Scope</w:t>
      </w:r>
      <w:bookmarkStart w:id="6" w:name="_bmk4"/>
    </w:p>
    <w:bookmarkEnd w:id="6"/>
    <w:p w14:paraId="0385FD6D" w14:textId="36E2175A" w:rsidR="00FB566E" w:rsidRPr="00327B09" w:rsidRDefault="00590C43" w:rsidP="006C0B36">
      <w:pPr>
        <w:pStyle w:val="FERCparanumber"/>
      </w:pPr>
      <w:r w:rsidRPr="00327B09">
        <w:t>The Commission emphasizes that the only change contemplated by this Proposed Rule is</w:t>
      </w:r>
      <w:r w:rsidR="00D35623" w:rsidRPr="00327B09">
        <w:t xml:space="preserve"> to</w:t>
      </w:r>
      <w:r w:rsidR="00FB566E" w:rsidRPr="00327B09">
        <w:t xml:space="preserve"> </w:t>
      </w:r>
      <w:r w:rsidRPr="00327B09">
        <w:t>the filing requirement</w:t>
      </w:r>
      <w:r w:rsidR="00D35623" w:rsidRPr="00327B09">
        <w:t>s</w:t>
      </w:r>
      <w:r w:rsidRPr="00327B09">
        <w:t xml:space="preserve"> for system maps in the eTariff system</w:t>
      </w:r>
      <w:r w:rsidR="00D35623" w:rsidRPr="00327B09">
        <w:t>, sections 154.103 and 154.106</w:t>
      </w:r>
      <w:r w:rsidR="00192CF7" w:rsidRPr="00327B09">
        <w:t xml:space="preserve"> of the Commission’s regulations</w:t>
      </w:r>
      <w:r w:rsidRPr="00327B09">
        <w:t>.  Other filing requirements, including the system flow diagrams</w:t>
      </w:r>
      <w:r w:rsidR="005C1D4A" w:rsidRPr="00327B09">
        <w:t xml:space="preserve"> and maps</w:t>
      </w:r>
      <w:r w:rsidRPr="00327B09">
        <w:t xml:space="preserve"> in Form 567</w:t>
      </w:r>
      <w:r w:rsidR="001D18FE" w:rsidRPr="00327B09">
        <w:t>,</w:t>
      </w:r>
      <w:r w:rsidR="001D18FE" w:rsidRPr="00327B09">
        <w:rPr>
          <w:rStyle w:val="FootnoteReference"/>
        </w:rPr>
        <w:footnoteReference w:id="15"/>
      </w:r>
      <w:r w:rsidR="001D18FE" w:rsidRPr="00327B09">
        <w:t xml:space="preserve"> Exhibits F and G</w:t>
      </w:r>
      <w:r w:rsidR="00080AFA" w:rsidRPr="00327B09">
        <w:t>,</w:t>
      </w:r>
      <w:r w:rsidR="001D18FE" w:rsidRPr="00327B09">
        <w:rPr>
          <w:rStyle w:val="FootnoteReference"/>
        </w:rPr>
        <w:footnoteReference w:id="16"/>
      </w:r>
      <w:r w:rsidR="001D18FE" w:rsidRPr="00327B09">
        <w:t xml:space="preserve"> and Exhibits V </w:t>
      </w:r>
      <w:r w:rsidR="007715FF">
        <w:br/>
      </w:r>
      <w:r w:rsidR="001D18FE" w:rsidRPr="00327B09">
        <w:t>and Z</w:t>
      </w:r>
      <w:r w:rsidRPr="00327B09">
        <w:t>,</w:t>
      </w:r>
      <w:r w:rsidR="001D18FE" w:rsidRPr="00327B09">
        <w:rPr>
          <w:rStyle w:val="FootnoteReference"/>
        </w:rPr>
        <w:footnoteReference w:id="17"/>
      </w:r>
      <w:r w:rsidRPr="00327B09">
        <w:t xml:space="preserve"> are unchanged</w:t>
      </w:r>
      <w:r w:rsidR="00FB566E" w:rsidRPr="00327B09">
        <w:t xml:space="preserve"> and are not the subject of this proceeding</w:t>
      </w:r>
      <w:r w:rsidRPr="00327B09">
        <w:t xml:space="preserve">. </w:t>
      </w:r>
      <w:r w:rsidR="00FB566E" w:rsidRPr="00327B09">
        <w:t xml:space="preserve"> </w:t>
      </w:r>
    </w:p>
    <w:p w14:paraId="4657E9C2" w14:textId="559F6987" w:rsidR="00590C43" w:rsidRPr="00327B09" w:rsidRDefault="00590C43" w:rsidP="006C0B36">
      <w:pPr>
        <w:pStyle w:val="FERCparanumber"/>
      </w:pPr>
      <w:r w:rsidRPr="00327B09">
        <w:lastRenderedPageBreak/>
        <w:t xml:space="preserve">Additionally, this Proposed Rule does not </w:t>
      </w:r>
      <w:r w:rsidR="00FB566E" w:rsidRPr="00327B09">
        <w:t>affect the substantive content of the map, as defined in the existing regulation (e.g., “general geographic location”</w:t>
      </w:r>
      <w:r w:rsidR="006273CD" w:rsidRPr="00327B09">
        <w:t xml:space="preserve"> and “the boundaries of any rate zones or rate areas must be shown”</w:t>
      </w:r>
      <w:r w:rsidR="00FB566E" w:rsidRPr="00327B09">
        <w:t>)</w:t>
      </w:r>
      <w:r w:rsidR="006273CD" w:rsidRPr="00327B09">
        <w:t>.</w:t>
      </w:r>
      <w:r w:rsidR="00FB566E" w:rsidRPr="00327B09">
        <w:t xml:space="preserve">  Nor does it affect the triggering event for filing a new map (i.e., “major change”)</w:t>
      </w:r>
      <w:r w:rsidRPr="00327B09">
        <w:t>.</w:t>
      </w:r>
      <w:r w:rsidR="00FB566E" w:rsidRPr="00327B09">
        <w:t xml:space="preserve">  By freeing pipelines of the need to convert their maps into small-sized </w:t>
      </w:r>
      <w:r w:rsidR="00080AFA" w:rsidRPr="00327B09">
        <w:t xml:space="preserve">RTF or </w:t>
      </w:r>
      <w:r w:rsidR="00FB566E" w:rsidRPr="00327B09">
        <w:t>PDF files, the Commission predicts that the overall quality of pipeline maps will improve without the need for prescriptive regulation.</w:t>
      </w:r>
    </w:p>
    <w:p w14:paraId="35AF82EE" w14:textId="025FE3B9" w:rsidR="00590C43" w:rsidRPr="00327B09" w:rsidRDefault="004576FF" w:rsidP="006C0B36">
      <w:pPr>
        <w:pStyle w:val="FERCparanumber"/>
      </w:pPr>
      <w:r w:rsidRPr="00327B09">
        <w:t xml:space="preserve">The Commission </w:t>
      </w:r>
      <w:r w:rsidR="001D18FE" w:rsidRPr="00327B09">
        <w:t xml:space="preserve">proposes </w:t>
      </w:r>
      <w:r w:rsidRPr="00327B09">
        <w:t xml:space="preserve">that, </w:t>
      </w:r>
      <w:r w:rsidR="00D35623" w:rsidRPr="00327B09">
        <w:t xml:space="preserve">on the first day of the calendar quarter that starts </w:t>
      </w:r>
      <w:r w:rsidRPr="00327B09">
        <w:t xml:space="preserve">90 days after the Final Rule is published in the </w:t>
      </w:r>
      <w:r w:rsidRPr="003C4053">
        <w:rPr>
          <w:i/>
        </w:rPr>
        <w:t>Federal Register</w:t>
      </w:r>
      <w:r w:rsidRPr="00327B09">
        <w:t>,</w:t>
      </w:r>
      <w:r w:rsidR="005C1D4A" w:rsidRPr="00327B09">
        <w:t xml:space="preserve"> all</w:t>
      </w:r>
      <w:r w:rsidRPr="00327B09">
        <w:t xml:space="preserve"> pipelines would file </w:t>
      </w:r>
      <w:r w:rsidR="001D18FE" w:rsidRPr="00327B09">
        <w:t>a compliance tariff filing</w:t>
      </w:r>
      <w:r w:rsidR="005C1D4A" w:rsidRPr="00327B09">
        <w:t>.  This compliance filing would</w:t>
      </w:r>
      <w:r w:rsidR="001D18FE" w:rsidRPr="00327B09">
        <w:t xml:space="preserve"> </w:t>
      </w:r>
      <w:r w:rsidRPr="00327B09">
        <w:t>revis</w:t>
      </w:r>
      <w:r w:rsidR="005C1D4A" w:rsidRPr="00327B09">
        <w:t>e</w:t>
      </w:r>
      <w:r w:rsidRPr="00327B09">
        <w:t xml:space="preserve"> their respective tariffs to remove their </w:t>
      </w:r>
      <w:r w:rsidR="001D18FE" w:rsidRPr="00327B09">
        <w:t>system</w:t>
      </w:r>
      <w:r w:rsidRPr="00327B09">
        <w:t xml:space="preserve"> maps </w:t>
      </w:r>
      <w:r w:rsidR="00080AFA" w:rsidRPr="00327B09">
        <w:t xml:space="preserve">and provide the </w:t>
      </w:r>
      <w:r w:rsidR="005000C5" w:rsidRPr="00327B09">
        <w:t xml:space="preserve">website address </w:t>
      </w:r>
      <w:r w:rsidR="005000C5">
        <w:t xml:space="preserve">or </w:t>
      </w:r>
      <w:r w:rsidR="00080AFA" w:rsidRPr="00327B09">
        <w:t>URL reference</w:t>
      </w:r>
      <w:r w:rsidR="005C1D4A" w:rsidRPr="00327B09">
        <w:t>.  Assuming that pipelines do not change their URL reference, all future map updates should be</w:t>
      </w:r>
      <w:r w:rsidR="005000C5">
        <w:t xml:space="preserve"> able to be</w:t>
      </w:r>
      <w:r w:rsidR="005C1D4A" w:rsidRPr="00327B09">
        <w:t xml:space="preserve"> made without need for making any filing with the Commission.</w:t>
      </w:r>
    </w:p>
    <w:p w14:paraId="293EBAEE" w14:textId="77777777" w:rsidR="00BF01F7" w:rsidRPr="00327B09" w:rsidRDefault="00BF01F7" w:rsidP="004D55EB">
      <w:pPr>
        <w:pStyle w:val="Heading1"/>
      </w:pPr>
      <w:r w:rsidRPr="00327B09">
        <w:t>Information Collection Statement</w:t>
      </w:r>
      <w:bookmarkStart w:id="7" w:name="_bmk5"/>
    </w:p>
    <w:bookmarkEnd w:id="7"/>
    <w:p w14:paraId="66960776" w14:textId="1AA6B848" w:rsidR="00875D6C" w:rsidRPr="00327B09" w:rsidRDefault="00BF01F7" w:rsidP="006C0B36">
      <w:pPr>
        <w:pStyle w:val="FERCparanumber"/>
      </w:pPr>
      <w:r w:rsidRPr="00327B09">
        <w:t xml:space="preserve">The following collections of information contained in this proposed rule are </w:t>
      </w:r>
      <w:r w:rsidR="007715FF">
        <w:br/>
      </w:r>
      <w:r w:rsidRPr="00327B09">
        <w:t xml:space="preserve">being submitted to the Office of Management and Budget (OMB) for review under </w:t>
      </w:r>
      <w:r w:rsidR="00080AFA" w:rsidRPr="00327B09">
        <w:t>s</w:t>
      </w:r>
      <w:r w:rsidRPr="00327B09">
        <w:t xml:space="preserve">ection 3507(d) of the Paperwork Reduction Act of 1995, 44 U.S.C. 3507(d).  </w:t>
      </w:r>
    </w:p>
    <w:p w14:paraId="24A93341" w14:textId="77777777" w:rsidR="00875D6C" w:rsidRPr="00327B09" w:rsidRDefault="00BF01F7" w:rsidP="006C0B36">
      <w:pPr>
        <w:pStyle w:val="FERCparanumber"/>
      </w:pPr>
      <w:r w:rsidRPr="00327B09">
        <w:t>The Commission soli</w:t>
      </w:r>
      <w:r w:rsidR="00D35623" w:rsidRPr="00327B09">
        <w:t>cits comments on the Commission’</w:t>
      </w:r>
      <w:r w:rsidRPr="00327B09">
        <w:t>s need for this information, whether the information will have practical utility, the accuracy of the provided burden estimates, ways to enhance the quality, utility, and clarity of the information to be collected, and any suggested methods for minimizing responden</w:t>
      </w:r>
      <w:r w:rsidR="00D35623" w:rsidRPr="00327B09">
        <w:t>ts’</w:t>
      </w:r>
      <w:r w:rsidRPr="00327B09">
        <w:t xml:space="preserve"> burden, including the use of automated information techniques.  </w:t>
      </w:r>
    </w:p>
    <w:p w14:paraId="0A2001FC" w14:textId="1E9C6EAC" w:rsidR="003C4053" w:rsidRDefault="00BF01F7" w:rsidP="006C0B36">
      <w:pPr>
        <w:pStyle w:val="FERCparanumber"/>
      </w:pPr>
      <w:r w:rsidRPr="00327B09">
        <w:lastRenderedPageBreak/>
        <w:t xml:space="preserve">The following burden estimates reflect the time necessary for respondents to update their tariffs according to this proposed rule, as well as the burden reduction as respondents will no longer have to file system map adjustments.  Also, there is a small burden increase to account for the proposed requirement that pipelines update their system maps </w:t>
      </w:r>
      <w:r w:rsidR="009C0A09" w:rsidRPr="00327B09">
        <w:t>on a more frequent basis than annually</w:t>
      </w:r>
      <w:r w:rsidRPr="00327B09">
        <w:t xml:space="preserve">.  </w:t>
      </w:r>
      <w:r w:rsidR="009C0A09" w:rsidRPr="00327B09">
        <w:t xml:space="preserve">The Commission bases the </w:t>
      </w:r>
      <w:r w:rsidR="0064657D" w:rsidRPr="00327B09">
        <w:t xml:space="preserve">estimated </w:t>
      </w:r>
      <w:r w:rsidR="009C0A09" w:rsidRPr="00327B09">
        <w:t xml:space="preserve">number of respondents on </w:t>
      </w:r>
      <w:r w:rsidR="0064657D" w:rsidRPr="00327B09">
        <w:t>the</w:t>
      </w:r>
      <w:r w:rsidR="009C0A09" w:rsidRPr="00327B09">
        <w:t xml:space="preserve"> number of Natural Gas </w:t>
      </w:r>
      <w:r w:rsidR="00012FDE" w:rsidRPr="00327B09">
        <w:t xml:space="preserve">Act jurisdictional companies with tariffs on file, </w:t>
      </w:r>
      <w:r w:rsidR="0064657D" w:rsidRPr="00327B09">
        <w:t xml:space="preserve">accounting for companies that have waivers.  </w:t>
      </w:r>
      <w:r w:rsidRPr="00327B09">
        <w:t xml:space="preserve">The Commission assumes that in the first year the only difference in burden for respondents is to make the one time tariff changes estimated at eight hours per respondent.  In each year, starting in the second, the Commission estimates that approximately </w:t>
      </w:r>
      <w:r w:rsidR="00875D6C" w:rsidRPr="00327B09">
        <w:t xml:space="preserve">21 </w:t>
      </w:r>
      <w:r w:rsidRPr="00327B09">
        <w:t xml:space="preserve">respondents per year will experience a four hour reduction in burden from no longer filing system map adjustments with the Commission.  Also starting in the second year, the Commission estimates that approximately four respondents will see an increase of four hours per year in order to update their maps more frequently.  The following table shows the proposed rule burden hour impact. </w:t>
      </w:r>
    </w:p>
    <w:p w14:paraId="724E768D" w14:textId="77777777" w:rsidR="003C4053" w:rsidRDefault="003C4053">
      <w:pPr>
        <w:widowControl/>
        <w:autoSpaceDE/>
        <w:autoSpaceDN/>
        <w:adjustRightInd/>
      </w:pPr>
      <w:r>
        <w:br w:type="page"/>
      </w:r>
    </w:p>
    <w:p w14:paraId="757EDACA" w14:textId="77777777" w:rsidR="00BF01F7" w:rsidRPr="00327B09" w:rsidRDefault="00BF01F7" w:rsidP="003C4053">
      <w:pPr>
        <w:pStyle w:val="FERCparanumber"/>
        <w:numPr>
          <w:ilvl w:val="0"/>
          <w:numId w:val="0"/>
        </w:numPr>
      </w:pPr>
    </w:p>
    <w:tbl>
      <w:tblPr>
        <w:tblpPr w:leftFromText="180" w:rightFromText="180" w:vertAnchor="text" w:horzAnchor="margin"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1668"/>
        <w:gridCol w:w="1584"/>
        <w:gridCol w:w="1883"/>
        <w:gridCol w:w="25"/>
        <w:gridCol w:w="2042"/>
      </w:tblGrid>
      <w:tr w:rsidR="00997623" w:rsidRPr="0021573D" w14:paraId="78E484D7" w14:textId="77777777" w:rsidTr="00997623">
        <w:trPr>
          <w:cantSplit/>
          <w:trHeight w:hRule="exact" w:val="1585"/>
        </w:trPr>
        <w:tc>
          <w:tcPr>
            <w:tcW w:w="1240" w:type="pct"/>
            <w:shd w:val="clear" w:color="auto" w:fill="D9D9D9"/>
          </w:tcPr>
          <w:p w14:paraId="1A31056E" w14:textId="77777777" w:rsidR="00997623" w:rsidRPr="0021573D" w:rsidRDefault="00997623" w:rsidP="00997623">
            <w:pPr>
              <w:jc w:val="center"/>
              <w:rPr>
                <w:rFonts w:eastAsia="Calibri"/>
                <w:b/>
                <w:szCs w:val="20"/>
              </w:rPr>
            </w:pPr>
          </w:p>
        </w:tc>
        <w:tc>
          <w:tcPr>
            <w:tcW w:w="871" w:type="pct"/>
            <w:shd w:val="clear" w:color="auto" w:fill="D9D9D9"/>
            <w:vAlign w:val="bottom"/>
          </w:tcPr>
          <w:p w14:paraId="65AA012F" w14:textId="77777777" w:rsidR="00997623" w:rsidRDefault="00997623" w:rsidP="00997623">
            <w:pPr>
              <w:jc w:val="center"/>
              <w:rPr>
                <w:rFonts w:eastAsia="Calibri"/>
                <w:b/>
                <w:szCs w:val="20"/>
              </w:rPr>
            </w:pPr>
            <w:r w:rsidRPr="0021573D">
              <w:rPr>
                <w:rFonts w:eastAsia="Calibri"/>
                <w:b/>
                <w:szCs w:val="20"/>
              </w:rPr>
              <w:t>Total Number of Responses</w:t>
            </w:r>
          </w:p>
          <w:p w14:paraId="45FC5911" w14:textId="77777777" w:rsidR="00997623" w:rsidRPr="0021573D" w:rsidRDefault="00997623" w:rsidP="00997623">
            <w:pPr>
              <w:jc w:val="center"/>
              <w:rPr>
                <w:rFonts w:eastAsia="Calibri"/>
                <w:b/>
                <w:szCs w:val="20"/>
              </w:rPr>
            </w:pPr>
            <w:r>
              <w:rPr>
                <w:rFonts w:eastAsia="Calibri"/>
                <w:b/>
                <w:szCs w:val="20"/>
              </w:rPr>
              <w:t>(A)</w:t>
            </w:r>
          </w:p>
        </w:tc>
        <w:tc>
          <w:tcPr>
            <w:tcW w:w="827" w:type="pct"/>
            <w:shd w:val="clear" w:color="auto" w:fill="D9D9D9"/>
            <w:vAlign w:val="bottom"/>
          </w:tcPr>
          <w:p w14:paraId="7CF1B7B7" w14:textId="77777777" w:rsidR="00997623" w:rsidRDefault="00997623" w:rsidP="00997623">
            <w:pPr>
              <w:jc w:val="center"/>
              <w:rPr>
                <w:rFonts w:eastAsia="Calibri"/>
                <w:b/>
                <w:szCs w:val="20"/>
              </w:rPr>
            </w:pPr>
            <w:r>
              <w:rPr>
                <w:rFonts w:eastAsia="Calibri"/>
                <w:b/>
                <w:szCs w:val="20"/>
              </w:rPr>
              <w:t>Burden Hours per Response</w:t>
            </w:r>
          </w:p>
          <w:p w14:paraId="6021DFD0" w14:textId="77777777" w:rsidR="00997623" w:rsidRPr="0021573D" w:rsidRDefault="00997623" w:rsidP="00997623">
            <w:pPr>
              <w:jc w:val="center"/>
              <w:rPr>
                <w:rFonts w:eastAsia="Calibri"/>
                <w:b/>
                <w:szCs w:val="20"/>
              </w:rPr>
            </w:pPr>
            <w:r>
              <w:rPr>
                <w:rFonts w:eastAsia="Calibri"/>
                <w:b/>
                <w:szCs w:val="20"/>
              </w:rPr>
              <w:t>(B)</w:t>
            </w:r>
          </w:p>
        </w:tc>
        <w:tc>
          <w:tcPr>
            <w:tcW w:w="983" w:type="pct"/>
            <w:shd w:val="clear" w:color="auto" w:fill="D9D9D9"/>
            <w:vAlign w:val="bottom"/>
          </w:tcPr>
          <w:p w14:paraId="0E9423D4" w14:textId="77777777" w:rsidR="00997623" w:rsidRPr="0021573D" w:rsidRDefault="00997623" w:rsidP="00997623">
            <w:pPr>
              <w:jc w:val="center"/>
              <w:rPr>
                <w:rFonts w:eastAsia="Calibri"/>
                <w:b/>
                <w:szCs w:val="20"/>
              </w:rPr>
            </w:pPr>
            <w:r w:rsidRPr="0021573D">
              <w:rPr>
                <w:rFonts w:eastAsia="Calibri"/>
                <w:b/>
                <w:szCs w:val="20"/>
              </w:rPr>
              <w:t>Total Annual Burden Hours</w:t>
            </w:r>
          </w:p>
          <w:p w14:paraId="642F39C1" w14:textId="77777777" w:rsidR="00997623" w:rsidRPr="0021573D" w:rsidRDefault="00997623" w:rsidP="00997623">
            <w:pPr>
              <w:jc w:val="center"/>
              <w:rPr>
                <w:rFonts w:eastAsia="Calibri"/>
                <w:b/>
                <w:szCs w:val="20"/>
              </w:rPr>
            </w:pPr>
            <w:r>
              <w:rPr>
                <w:rFonts w:eastAsia="Calibri"/>
                <w:b/>
                <w:szCs w:val="20"/>
              </w:rPr>
              <w:t>(C)= (A)*(B)</w:t>
            </w:r>
          </w:p>
        </w:tc>
        <w:tc>
          <w:tcPr>
            <w:tcW w:w="1079" w:type="pct"/>
            <w:gridSpan w:val="2"/>
            <w:shd w:val="clear" w:color="auto" w:fill="D9D9D9"/>
            <w:vAlign w:val="bottom"/>
          </w:tcPr>
          <w:p w14:paraId="02C794BB" w14:textId="77777777" w:rsidR="00997623" w:rsidRPr="0021573D" w:rsidRDefault="00997623" w:rsidP="00997623">
            <w:pPr>
              <w:jc w:val="center"/>
              <w:rPr>
                <w:rFonts w:eastAsia="Calibri"/>
                <w:b/>
                <w:szCs w:val="20"/>
              </w:rPr>
            </w:pPr>
            <w:r>
              <w:rPr>
                <w:rFonts w:eastAsia="Calibri"/>
                <w:b/>
                <w:szCs w:val="20"/>
              </w:rPr>
              <w:t>Total Annual Cost</w:t>
            </w:r>
            <w:r w:rsidRPr="0021573D">
              <w:rPr>
                <w:rStyle w:val="FootnoteReference"/>
                <w:rFonts w:eastAsia="Calibri"/>
              </w:rPr>
              <w:footnoteReference w:id="18"/>
            </w:r>
          </w:p>
          <w:p w14:paraId="3DA187D3" w14:textId="77777777" w:rsidR="00997623" w:rsidRPr="0021573D" w:rsidRDefault="00997623" w:rsidP="00997623">
            <w:pPr>
              <w:jc w:val="center"/>
              <w:rPr>
                <w:rFonts w:eastAsia="Calibri"/>
                <w:b/>
                <w:szCs w:val="20"/>
              </w:rPr>
            </w:pPr>
            <w:r>
              <w:rPr>
                <w:rFonts w:eastAsia="Calibri"/>
                <w:b/>
                <w:szCs w:val="20"/>
              </w:rPr>
              <w:t>=(C)*($/hour)</w:t>
            </w:r>
          </w:p>
        </w:tc>
      </w:tr>
      <w:tr w:rsidR="00997623" w:rsidRPr="0021573D" w14:paraId="3B51517B" w14:textId="77777777" w:rsidTr="00997623">
        <w:trPr>
          <w:cantSplit/>
          <w:trHeight w:val="908"/>
        </w:trPr>
        <w:tc>
          <w:tcPr>
            <w:tcW w:w="1240" w:type="pct"/>
          </w:tcPr>
          <w:p w14:paraId="71C91F1E" w14:textId="77777777" w:rsidR="00997623" w:rsidRPr="0021573D" w:rsidRDefault="00997623" w:rsidP="00997623">
            <w:pPr>
              <w:rPr>
                <w:rFonts w:eastAsia="Calibri"/>
                <w:szCs w:val="20"/>
              </w:rPr>
            </w:pPr>
            <w:r w:rsidRPr="0021573D">
              <w:rPr>
                <w:rFonts w:eastAsia="Calibri"/>
                <w:szCs w:val="20"/>
              </w:rPr>
              <w:t>One-time tariff filing (year 1)</w:t>
            </w:r>
          </w:p>
        </w:tc>
        <w:tc>
          <w:tcPr>
            <w:tcW w:w="871" w:type="pct"/>
            <w:vAlign w:val="bottom"/>
          </w:tcPr>
          <w:p w14:paraId="4BBBBB35" w14:textId="77777777" w:rsidR="00997623" w:rsidRPr="0021573D" w:rsidRDefault="00997623" w:rsidP="00997623">
            <w:pPr>
              <w:jc w:val="right"/>
              <w:rPr>
                <w:rFonts w:eastAsia="Calibri"/>
                <w:szCs w:val="20"/>
              </w:rPr>
            </w:pPr>
            <w:r w:rsidRPr="0021573D">
              <w:rPr>
                <w:rFonts w:eastAsia="Calibri"/>
                <w:szCs w:val="20"/>
              </w:rPr>
              <w:t>165</w:t>
            </w:r>
          </w:p>
        </w:tc>
        <w:tc>
          <w:tcPr>
            <w:tcW w:w="827" w:type="pct"/>
          </w:tcPr>
          <w:p w14:paraId="7C09BD16" w14:textId="77777777" w:rsidR="00997623" w:rsidRDefault="00997623" w:rsidP="00997623">
            <w:pPr>
              <w:jc w:val="right"/>
              <w:rPr>
                <w:rFonts w:eastAsia="Calibri"/>
                <w:szCs w:val="20"/>
              </w:rPr>
            </w:pPr>
          </w:p>
          <w:p w14:paraId="1CA7F738" w14:textId="77777777" w:rsidR="00997623" w:rsidRDefault="00997623" w:rsidP="00997623">
            <w:pPr>
              <w:jc w:val="right"/>
              <w:rPr>
                <w:rFonts w:eastAsia="Calibri"/>
                <w:szCs w:val="20"/>
              </w:rPr>
            </w:pPr>
          </w:p>
          <w:p w14:paraId="72C3ED57" w14:textId="77777777" w:rsidR="00997623" w:rsidRPr="0021573D" w:rsidRDefault="00997623" w:rsidP="00997623">
            <w:pPr>
              <w:jc w:val="right"/>
              <w:rPr>
                <w:rFonts w:eastAsia="Calibri"/>
                <w:szCs w:val="20"/>
              </w:rPr>
            </w:pPr>
            <w:r>
              <w:rPr>
                <w:rFonts w:eastAsia="Calibri"/>
                <w:szCs w:val="20"/>
              </w:rPr>
              <w:t>8</w:t>
            </w:r>
          </w:p>
        </w:tc>
        <w:tc>
          <w:tcPr>
            <w:tcW w:w="996" w:type="pct"/>
            <w:gridSpan w:val="2"/>
            <w:vAlign w:val="bottom"/>
          </w:tcPr>
          <w:p w14:paraId="6175262E" w14:textId="77777777" w:rsidR="00997623" w:rsidRPr="0021573D" w:rsidRDefault="00997623" w:rsidP="00997623">
            <w:pPr>
              <w:jc w:val="right"/>
              <w:rPr>
                <w:rFonts w:eastAsia="Calibri"/>
                <w:szCs w:val="20"/>
              </w:rPr>
            </w:pPr>
            <w:r w:rsidRPr="0021573D">
              <w:rPr>
                <w:rFonts w:eastAsia="Calibri"/>
                <w:szCs w:val="20"/>
              </w:rPr>
              <w:t>1,320</w:t>
            </w:r>
          </w:p>
        </w:tc>
        <w:tc>
          <w:tcPr>
            <w:tcW w:w="1066" w:type="pct"/>
            <w:vAlign w:val="bottom"/>
          </w:tcPr>
          <w:p w14:paraId="66468B0D" w14:textId="77777777" w:rsidR="00997623" w:rsidRPr="0021573D" w:rsidRDefault="00997623" w:rsidP="00997623">
            <w:pPr>
              <w:jc w:val="right"/>
              <w:rPr>
                <w:rFonts w:eastAsia="Calibri"/>
                <w:szCs w:val="20"/>
              </w:rPr>
            </w:pPr>
            <w:r w:rsidRPr="0021573D">
              <w:rPr>
                <w:rFonts w:eastAsia="Calibri"/>
                <w:szCs w:val="20"/>
              </w:rPr>
              <w:t>$</w:t>
            </w:r>
            <w:r>
              <w:rPr>
                <w:rFonts w:eastAsia="Calibri"/>
                <w:szCs w:val="20"/>
              </w:rPr>
              <w:t>168,960 ($128/hr)</w:t>
            </w:r>
          </w:p>
        </w:tc>
      </w:tr>
      <w:tr w:rsidR="00997623" w:rsidRPr="0021573D" w14:paraId="43C53C99" w14:textId="77777777" w:rsidTr="00997623">
        <w:trPr>
          <w:cantSplit/>
          <w:trHeight w:val="1216"/>
        </w:trPr>
        <w:tc>
          <w:tcPr>
            <w:tcW w:w="1240" w:type="pct"/>
          </w:tcPr>
          <w:p w14:paraId="39AFBAC5" w14:textId="77777777" w:rsidR="00997623" w:rsidRPr="0021573D" w:rsidRDefault="00997623" w:rsidP="00997623">
            <w:pPr>
              <w:rPr>
                <w:rFonts w:eastAsia="Calibri"/>
                <w:szCs w:val="20"/>
              </w:rPr>
            </w:pPr>
            <w:r w:rsidRPr="0021573D">
              <w:rPr>
                <w:rFonts w:eastAsia="Calibri"/>
                <w:szCs w:val="20"/>
              </w:rPr>
              <w:t>Burden Reduction (year 2 and beyond)</w:t>
            </w:r>
          </w:p>
        </w:tc>
        <w:tc>
          <w:tcPr>
            <w:tcW w:w="871" w:type="pct"/>
            <w:vAlign w:val="bottom"/>
          </w:tcPr>
          <w:p w14:paraId="259CDE4D" w14:textId="77777777" w:rsidR="00997623" w:rsidRPr="0021573D" w:rsidRDefault="00997623" w:rsidP="00997623">
            <w:pPr>
              <w:jc w:val="right"/>
              <w:rPr>
                <w:rFonts w:eastAsia="Calibri"/>
                <w:szCs w:val="20"/>
              </w:rPr>
            </w:pPr>
            <w:r w:rsidRPr="0021573D">
              <w:rPr>
                <w:rFonts w:eastAsia="Calibri"/>
                <w:szCs w:val="20"/>
              </w:rPr>
              <w:t>21</w:t>
            </w:r>
          </w:p>
        </w:tc>
        <w:tc>
          <w:tcPr>
            <w:tcW w:w="827" w:type="pct"/>
          </w:tcPr>
          <w:p w14:paraId="0E08F56F" w14:textId="77777777" w:rsidR="00997623" w:rsidRDefault="00997623" w:rsidP="00997623">
            <w:pPr>
              <w:jc w:val="right"/>
              <w:rPr>
                <w:rFonts w:eastAsia="Calibri"/>
                <w:szCs w:val="20"/>
              </w:rPr>
            </w:pPr>
          </w:p>
          <w:p w14:paraId="08BC656A" w14:textId="77777777" w:rsidR="00997623" w:rsidRDefault="00997623" w:rsidP="00997623">
            <w:pPr>
              <w:jc w:val="right"/>
              <w:rPr>
                <w:rFonts w:eastAsia="Calibri"/>
                <w:szCs w:val="20"/>
              </w:rPr>
            </w:pPr>
          </w:p>
          <w:p w14:paraId="3E8B4EED" w14:textId="77777777" w:rsidR="00997623" w:rsidRDefault="00997623" w:rsidP="00997623">
            <w:pPr>
              <w:jc w:val="right"/>
              <w:rPr>
                <w:rFonts w:eastAsia="Calibri"/>
                <w:szCs w:val="20"/>
              </w:rPr>
            </w:pPr>
          </w:p>
          <w:p w14:paraId="015FB584" w14:textId="77777777" w:rsidR="00997623" w:rsidRPr="0021573D" w:rsidRDefault="00997623" w:rsidP="00997623">
            <w:pPr>
              <w:jc w:val="right"/>
              <w:rPr>
                <w:rFonts w:eastAsia="Calibri"/>
                <w:szCs w:val="20"/>
              </w:rPr>
            </w:pPr>
            <w:r>
              <w:rPr>
                <w:rFonts w:eastAsia="Calibri"/>
                <w:szCs w:val="20"/>
              </w:rPr>
              <w:t>4</w:t>
            </w:r>
          </w:p>
        </w:tc>
        <w:tc>
          <w:tcPr>
            <w:tcW w:w="996" w:type="pct"/>
            <w:gridSpan w:val="2"/>
            <w:vAlign w:val="bottom"/>
          </w:tcPr>
          <w:p w14:paraId="4FC32D25" w14:textId="77777777" w:rsidR="00997623" w:rsidRPr="0021573D" w:rsidRDefault="00997623" w:rsidP="00997623">
            <w:pPr>
              <w:jc w:val="right"/>
              <w:rPr>
                <w:rFonts w:eastAsia="Calibri"/>
                <w:szCs w:val="20"/>
              </w:rPr>
            </w:pPr>
            <w:r w:rsidRPr="0021573D">
              <w:rPr>
                <w:rFonts w:eastAsia="Calibri"/>
                <w:szCs w:val="20"/>
              </w:rPr>
              <w:t>-84</w:t>
            </w:r>
          </w:p>
        </w:tc>
        <w:tc>
          <w:tcPr>
            <w:tcW w:w="1066" w:type="pct"/>
            <w:vAlign w:val="bottom"/>
          </w:tcPr>
          <w:p w14:paraId="0DA7B405" w14:textId="77777777" w:rsidR="00997623" w:rsidRDefault="00997623" w:rsidP="00997623">
            <w:pPr>
              <w:jc w:val="right"/>
              <w:rPr>
                <w:rFonts w:eastAsia="Calibri"/>
                <w:szCs w:val="20"/>
              </w:rPr>
            </w:pPr>
            <w:r w:rsidRPr="0021573D">
              <w:rPr>
                <w:rFonts w:eastAsia="Calibri"/>
                <w:szCs w:val="20"/>
              </w:rPr>
              <w:t>-$</w:t>
            </w:r>
            <w:r>
              <w:rPr>
                <w:rFonts w:eastAsia="Calibri"/>
                <w:szCs w:val="20"/>
              </w:rPr>
              <w:t>5,124</w:t>
            </w:r>
          </w:p>
          <w:p w14:paraId="75B1DF02" w14:textId="77777777" w:rsidR="00997623" w:rsidRPr="0021573D" w:rsidRDefault="00997623" w:rsidP="00997623">
            <w:pPr>
              <w:jc w:val="right"/>
              <w:rPr>
                <w:rFonts w:eastAsia="Calibri"/>
                <w:szCs w:val="20"/>
              </w:rPr>
            </w:pPr>
            <w:r>
              <w:rPr>
                <w:rFonts w:eastAsia="Calibri"/>
                <w:szCs w:val="20"/>
              </w:rPr>
              <w:t xml:space="preserve"> ($61/hr)</w:t>
            </w:r>
          </w:p>
        </w:tc>
      </w:tr>
      <w:tr w:rsidR="00997623" w:rsidRPr="0021573D" w14:paraId="46E2980D" w14:textId="77777777" w:rsidTr="00997623">
        <w:trPr>
          <w:cantSplit/>
          <w:trHeight w:val="1448"/>
        </w:trPr>
        <w:tc>
          <w:tcPr>
            <w:tcW w:w="1240" w:type="pct"/>
          </w:tcPr>
          <w:p w14:paraId="00B29094" w14:textId="77777777" w:rsidR="00997623" w:rsidRPr="0021573D" w:rsidRDefault="00997623" w:rsidP="00997623">
            <w:pPr>
              <w:rPr>
                <w:rFonts w:eastAsia="Calibri"/>
                <w:szCs w:val="20"/>
              </w:rPr>
            </w:pPr>
            <w:r w:rsidRPr="0021573D">
              <w:rPr>
                <w:rFonts w:eastAsia="Calibri"/>
                <w:szCs w:val="20"/>
              </w:rPr>
              <w:t xml:space="preserve">Additional burden </w:t>
            </w:r>
            <w:r>
              <w:rPr>
                <w:rFonts w:eastAsia="Calibri"/>
                <w:szCs w:val="20"/>
              </w:rPr>
              <w:t xml:space="preserve">for </w:t>
            </w:r>
            <w:r w:rsidRPr="0021573D">
              <w:rPr>
                <w:rFonts w:eastAsia="Calibri"/>
                <w:szCs w:val="20"/>
              </w:rPr>
              <w:t>more frequent map updates (year 2 and beyond)</w:t>
            </w:r>
          </w:p>
        </w:tc>
        <w:tc>
          <w:tcPr>
            <w:tcW w:w="871" w:type="pct"/>
            <w:vAlign w:val="bottom"/>
          </w:tcPr>
          <w:p w14:paraId="5D612CD2" w14:textId="77777777" w:rsidR="00997623" w:rsidRPr="0021573D" w:rsidRDefault="00997623" w:rsidP="00997623">
            <w:pPr>
              <w:jc w:val="right"/>
              <w:rPr>
                <w:rFonts w:eastAsia="Calibri"/>
                <w:szCs w:val="20"/>
              </w:rPr>
            </w:pPr>
            <w:r w:rsidRPr="0021573D">
              <w:rPr>
                <w:rFonts w:eastAsia="Calibri"/>
                <w:szCs w:val="20"/>
              </w:rPr>
              <w:t>4</w:t>
            </w:r>
          </w:p>
        </w:tc>
        <w:tc>
          <w:tcPr>
            <w:tcW w:w="827" w:type="pct"/>
          </w:tcPr>
          <w:p w14:paraId="740150D3" w14:textId="77777777" w:rsidR="00997623" w:rsidRDefault="00997623" w:rsidP="00997623">
            <w:pPr>
              <w:jc w:val="right"/>
              <w:rPr>
                <w:rFonts w:eastAsia="Calibri"/>
                <w:szCs w:val="20"/>
              </w:rPr>
            </w:pPr>
          </w:p>
          <w:p w14:paraId="7186A077" w14:textId="77777777" w:rsidR="00997623" w:rsidRDefault="00997623" w:rsidP="00997623">
            <w:pPr>
              <w:jc w:val="right"/>
              <w:rPr>
                <w:rFonts w:eastAsia="Calibri"/>
                <w:szCs w:val="20"/>
              </w:rPr>
            </w:pPr>
          </w:p>
          <w:p w14:paraId="54C6F223" w14:textId="77777777" w:rsidR="00997623" w:rsidRDefault="00997623" w:rsidP="00997623">
            <w:pPr>
              <w:jc w:val="right"/>
              <w:rPr>
                <w:rFonts w:eastAsia="Calibri"/>
                <w:szCs w:val="20"/>
              </w:rPr>
            </w:pPr>
          </w:p>
          <w:p w14:paraId="6F43FAC2" w14:textId="77777777" w:rsidR="00997623" w:rsidRDefault="00997623" w:rsidP="00997623">
            <w:pPr>
              <w:jc w:val="right"/>
              <w:rPr>
                <w:rFonts w:eastAsia="Calibri"/>
                <w:szCs w:val="20"/>
              </w:rPr>
            </w:pPr>
          </w:p>
          <w:p w14:paraId="1DF7E0B6" w14:textId="77777777" w:rsidR="00997623" w:rsidRDefault="00997623" w:rsidP="00997623">
            <w:pPr>
              <w:jc w:val="right"/>
              <w:rPr>
                <w:rFonts w:eastAsia="Calibri"/>
                <w:szCs w:val="20"/>
              </w:rPr>
            </w:pPr>
          </w:p>
          <w:p w14:paraId="49745FBD" w14:textId="77777777" w:rsidR="00997623" w:rsidRPr="0021573D" w:rsidRDefault="00997623" w:rsidP="00997623">
            <w:pPr>
              <w:jc w:val="right"/>
              <w:rPr>
                <w:rFonts w:eastAsia="Calibri"/>
                <w:szCs w:val="20"/>
              </w:rPr>
            </w:pPr>
            <w:r>
              <w:rPr>
                <w:rFonts w:eastAsia="Calibri"/>
                <w:szCs w:val="20"/>
              </w:rPr>
              <w:t>4</w:t>
            </w:r>
          </w:p>
        </w:tc>
        <w:tc>
          <w:tcPr>
            <w:tcW w:w="996" w:type="pct"/>
            <w:gridSpan w:val="2"/>
            <w:vAlign w:val="bottom"/>
          </w:tcPr>
          <w:p w14:paraId="1089A34A" w14:textId="77777777" w:rsidR="00997623" w:rsidRPr="0021573D" w:rsidRDefault="00997623" w:rsidP="00997623">
            <w:pPr>
              <w:jc w:val="right"/>
              <w:rPr>
                <w:rFonts w:eastAsia="Calibri"/>
                <w:szCs w:val="20"/>
              </w:rPr>
            </w:pPr>
            <w:r w:rsidRPr="0021573D">
              <w:rPr>
                <w:rFonts w:eastAsia="Calibri"/>
                <w:szCs w:val="20"/>
              </w:rPr>
              <w:t>16</w:t>
            </w:r>
          </w:p>
        </w:tc>
        <w:tc>
          <w:tcPr>
            <w:tcW w:w="1066" w:type="pct"/>
            <w:vAlign w:val="bottom"/>
          </w:tcPr>
          <w:p w14:paraId="0B4A0841" w14:textId="77777777" w:rsidR="00997623" w:rsidRDefault="00997623" w:rsidP="00997623">
            <w:pPr>
              <w:jc w:val="right"/>
              <w:rPr>
                <w:rFonts w:eastAsia="Calibri"/>
                <w:szCs w:val="20"/>
              </w:rPr>
            </w:pPr>
            <w:r w:rsidRPr="0021573D">
              <w:rPr>
                <w:rFonts w:eastAsia="Calibri"/>
                <w:szCs w:val="20"/>
              </w:rPr>
              <w:t>$</w:t>
            </w:r>
            <w:r>
              <w:rPr>
                <w:rFonts w:eastAsia="Calibri"/>
                <w:szCs w:val="20"/>
              </w:rPr>
              <w:t xml:space="preserve">976 </w:t>
            </w:r>
          </w:p>
          <w:p w14:paraId="322B6C32" w14:textId="77777777" w:rsidR="00997623" w:rsidRPr="0021573D" w:rsidRDefault="00997623" w:rsidP="00997623">
            <w:pPr>
              <w:jc w:val="right"/>
              <w:rPr>
                <w:rFonts w:eastAsia="Calibri"/>
                <w:szCs w:val="20"/>
              </w:rPr>
            </w:pPr>
            <w:r>
              <w:rPr>
                <w:rFonts w:eastAsia="Calibri"/>
                <w:szCs w:val="20"/>
              </w:rPr>
              <w:t>($61/hr)</w:t>
            </w:r>
          </w:p>
        </w:tc>
      </w:tr>
      <w:tr w:rsidR="00997623" w:rsidRPr="0021573D" w14:paraId="0D34ABCD" w14:textId="77777777" w:rsidTr="00997623">
        <w:trPr>
          <w:cantSplit/>
          <w:trHeight w:val="600"/>
        </w:trPr>
        <w:tc>
          <w:tcPr>
            <w:tcW w:w="1240" w:type="pct"/>
          </w:tcPr>
          <w:p w14:paraId="7DEFF50C" w14:textId="77777777" w:rsidR="00997623" w:rsidRPr="0021573D" w:rsidRDefault="00997623" w:rsidP="00997623">
            <w:pPr>
              <w:rPr>
                <w:rFonts w:eastAsia="Calibri"/>
                <w:b/>
                <w:szCs w:val="20"/>
              </w:rPr>
            </w:pPr>
            <w:r w:rsidRPr="0021573D">
              <w:rPr>
                <w:rFonts w:eastAsia="Calibri"/>
                <w:b/>
                <w:szCs w:val="20"/>
              </w:rPr>
              <w:t>Total – Year 1</w:t>
            </w:r>
          </w:p>
        </w:tc>
        <w:tc>
          <w:tcPr>
            <w:tcW w:w="871" w:type="pct"/>
            <w:vAlign w:val="bottom"/>
          </w:tcPr>
          <w:p w14:paraId="7998D4C0" w14:textId="77777777" w:rsidR="00997623" w:rsidRPr="0021573D" w:rsidRDefault="00997623" w:rsidP="00997623">
            <w:pPr>
              <w:jc w:val="right"/>
              <w:rPr>
                <w:rFonts w:eastAsia="Calibri"/>
                <w:b/>
                <w:szCs w:val="20"/>
              </w:rPr>
            </w:pPr>
            <w:r w:rsidRPr="0021573D">
              <w:rPr>
                <w:rFonts w:eastAsia="Calibri"/>
                <w:b/>
                <w:szCs w:val="20"/>
              </w:rPr>
              <w:t>165</w:t>
            </w:r>
          </w:p>
        </w:tc>
        <w:tc>
          <w:tcPr>
            <w:tcW w:w="827" w:type="pct"/>
          </w:tcPr>
          <w:p w14:paraId="7726D2A4" w14:textId="77777777" w:rsidR="00997623" w:rsidRDefault="00997623" w:rsidP="00997623">
            <w:pPr>
              <w:jc w:val="right"/>
              <w:rPr>
                <w:rFonts w:eastAsia="Calibri"/>
                <w:b/>
                <w:szCs w:val="20"/>
              </w:rPr>
            </w:pPr>
          </w:p>
          <w:p w14:paraId="276BD863" w14:textId="77777777" w:rsidR="00997623" w:rsidRPr="0021573D" w:rsidRDefault="00997623" w:rsidP="00997623">
            <w:pPr>
              <w:jc w:val="right"/>
              <w:rPr>
                <w:rFonts w:eastAsia="Calibri"/>
                <w:b/>
                <w:szCs w:val="20"/>
              </w:rPr>
            </w:pPr>
            <w:r>
              <w:rPr>
                <w:rFonts w:eastAsia="Calibri"/>
                <w:b/>
                <w:szCs w:val="20"/>
              </w:rPr>
              <w:t>8</w:t>
            </w:r>
          </w:p>
        </w:tc>
        <w:tc>
          <w:tcPr>
            <w:tcW w:w="996" w:type="pct"/>
            <w:gridSpan w:val="2"/>
            <w:vAlign w:val="bottom"/>
          </w:tcPr>
          <w:p w14:paraId="6F591CB6" w14:textId="77777777" w:rsidR="00997623" w:rsidRPr="0021573D" w:rsidRDefault="00997623" w:rsidP="00997623">
            <w:pPr>
              <w:jc w:val="right"/>
              <w:rPr>
                <w:rFonts w:eastAsia="Calibri"/>
                <w:b/>
                <w:szCs w:val="20"/>
              </w:rPr>
            </w:pPr>
            <w:r w:rsidRPr="0021573D">
              <w:rPr>
                <w:rFonts w:eastAsia="Calibri"/>
                <w:b/>
                <w:szCs w:val="20"/>
              </w:rPr>
              <w:t>1,320</w:t>
            </w:r>
          </w:p>
        </w:tc>
        <w:tc>
          <w:tcPr>
            <w:tcW w:w="1066" w:type="pct"/>
            <w:shd w:val="clear" w:color="auto" w:fill="FFFFFF" w:themeFill="background1"/>
            <w:vAlign w:val="bottom"/>
          </w:tcPr>
          <w:p w14:paraId="48AF6EA6" w14:textId="77777777" w:rsidR="00997623" w:rsidRPr="00772E85" w:rsidRDefault="00997623" w:rsidP="00997623">
            <w:pPr>
              <w:jc w:val="right"/>
              <w:rPr>
                <w:rFonts w:eastAsia="Calibri"/>
                <w:b/>
                <w:szCs w:val="20"/>
              </w:rPr>
            </w:pPr>
            <w:r w:rsidRPr="00772E85">
              <w:rPr>
                <w:rFonts w:eastAsia="Calibri"/>
                <w:b/>
                <w:szCs w:val="20"/>
              </w:rPr>
              <w:t>$168,960</w:t>
            </w:r>
          </w:p>
        </w:tc>
      </w:tr>
      <w:tr w:rsidR="00997623" w:rsidRPr="0021573D" w14:paraId="1DD747CB" w14:textId="77777777" w:rsidTr="00997623">
        <w:trPr>
          <w:cantSplit/>
          <w:trHeight w:val="615"/>
        </w:trPr>
        <w:tc>
          <w:tcPr>
            <w:tcW w:w="1240" w:type="pct"/>
          </w:tcPr>
          <w:p w14:paraId="38AF949D" w14:textId="77777777" w:rsidR="00997623" w:rsidRPr="0021573D" w:rsidRDefault="00997623" w:rsidP="00997623">
            <w:pPr>
              <w:rPr>
                <w:rFonts w:eastAsia="Calibri"/>
                <w:b/>
                <w:szCs w:val="20"/>
              </w:rPr>
            </w:pPr>
            <w:r w:rsidRPr="0021573D">
              <w:rPr>
                <w:rFonts w:eastAsia="Calibri"/>
                <w:b/>
                <w:szCs w:val="20"/>
              </w:rPr>
              <w:t>Total – Year 2 and beyond</w:t>
            </w:r>
          </w:p>
        </w:tc>
        <w:tc>
          <w:tcPr>
            <w:tcW w:w="871" w:type="pct"/>
            <w:vAlign w:val="bottom"/>
          </w:tcPr>
          <w:p w14:paraId="42E52D44" w14:textId="77777777" w:rsidR="00997623" w:rsidRPr="0021573D" w:rsidRDefault="00997623" w:rsidP="00997623">
            <w:pPr>
              <w:jc w:val="right"/>
              <w:rPr>
                <w:rFonts w:eastAsia="Calibri"/>
                <w:b/>
                <w:szCs w:val="20"/>
              </w:rPr>
            </w:pPr>
            <w:r w:rsidRPr="0021573D">
              <w:rPr>
                <w:rFonts w:eastAsia="Calibri"/>
                <w:b/>
                <w:szCs w:val="20"/>
              </w:rPr>
              <w:t>-17</w:t>
            </w:r>
          </w:p>
        </w:tc>
        <w:tc>
          <w:tcPr>
            <w:tcW w:w="827" w:type="pct"/>
          </w:tcPr>
          <w:p w14:paraId="6D06688F" w14:textId="77777777" w:rsidR="00997623" w:rsidRDefault="00997623" w:rsidP="00997623">
            <w:pPr>
              <w:jc w:val="right"/>
              <w:rPr>
                <w:rFonts w:eastAsia="Calibri"/>
                <w:b/>
                <w:szCs w:val="20"/>
              </w:rPr>
            </w:pPr>
          </w:p>
          <w:p w14:paraId="29E63481" w14:textId="77777777" w:rsidR="00997623" w:rsidRPr="0021573D" w:rsidRDefault="00997623" w:rsidP="00997623">
            <w:pPr>
              <w:jc w:val="right"/>
              <w:rPr>
                <w:rFonts w:eastAsia="Calibri"/>
                <w:b/>
                <w:szCs w:val="20"/>
              </w:rPr>
            </w:pPr>
            <w:r>
              <w:rPr>
                <w:rFonts w:eastAsia="Calibri"/>
                <w:b/>
                <w:szCs w:val="20"/>
              </w:rPr>
              <w:t>4</w:t>
            </w:r>
          </w:p>
        </w:tc>
        <w:tc>
          <w:tcPr>
            <w:tcW w:w="996" w:type="pct"/>
            <w:gridSpan w:val="2"/>
            <w:vAlign w:val="bottom"/>
          </w:tcPr>
          <w:p w14:paraId="7F790AC2" w14:textId="77777777" w:rsidR="00997623" w:rsidRPr="0021573D" w:rsidRDefault="00997623" w:rsidP="00997623">
            <w:pPr>
              <w:jc w:val="right"/>
              <w:rPr>
                <w:rFonts w:eastAsia="Calibri"/>
                <w:b/>
                <w:szCs w:val="20"/>
              </w:rPr>
            </w:pPr>
            <w:r w:rsidRPr="0021573D">
              <w:rPr>
                <w:rFonts w:eastAsia="Calibri"/>
                <w:b/>
                <w:szCs w:val="20"/>
              </w:rPr>
              <w:t>-68</w:t>
            </w:r>
          </w:p>
        </w:tc>
        <w:tc>
          <w:tcPr>
            <w:tcW w:w="1066" w:type="pct"/>
            <w:shd w:val="clear" w:color="auto" w:fill="FFFFFF" w:themeFill="background1"/>
            <w:vAlign w:val="bottom"/>
          </w:tcPr>
          <w:p w14:paraId="619EA2C5" w14:textId="77777777" w:rsidR="00997623" w:rsidRPr="00772E85" w:rsidRDefault="00997623" w:rsidP="00997623">
            <w:pPr>
              <w:jc w:val="right"/>
              <w:rPr>
                <w:rFonts w:eastAsia="Calibri"/>
                <w:b/>
                <w:szCs w:val="20"/>
              </w:rPr>
            </w:pPr>
            <w:r w:rsidRPr="00772E85">
              <w:rPr>
                <w:rFonts w:eastAsia="Calibri"/>
                <w:b/>
                <w:szCs w:val="20"/>
              </w:rPr>
              <w:t>-$4,148</w:t>
            </w:r>
          </w:p>
        </w:tc>
      </w:tr>
    </w:tbl>
    <w:p w14:paraId="088FD218" w14:textId="77777777" w:rsidR="00BF01F7" w:rsidRDefault="00BF01F7" w:rsidP="00BF01F7">
      <w:pPr>
        <w:pStyle w:val="FERCparanumber"/>
        <w:numPr>
          <w:ilvl w:val="0"/>
          <w:numId w:val="0"/>
        </w:numPr>
        <w:rPr>
          <w:i/>
        </w:rPr>
      </w:pPr>
    </w:p>
    <w:p w14:paraId="4D2BFA2D" w14:textId="77777777" w:rsidR="004A60C2" w:rsidRPr="004A60C2" w:rsidRDefault="004A60C2" w:rsidP="00BF01F7">
      <w:pPr>
        <w:pStyle w:val="FERCparanumber"/>
        <w:numPr>
          <w:ilvl w:val="0"/>
          <w:numId w:val="0"/>
        </w:numPr>
      </w:pPr>
    </w:p>
    <w:p w14:paraId="107B8F4E" w14:textId="2B2962B2" w:rsidR="00BF01F7" w:rsidRPr="00327B09" w:rsidRDefault="00BF01F7" w:rsidP="00BF01F7">
      <w:pPr>
        <w:pStyle w:val="FERCparanumber"/>
        <w:numPr>
          <w:ilvl w:val="0"/>
          <w:numId w:val="0"/>
        </w:numPr>
      </w:pPr>
      <w:r w:rsidRPr="00327B09">
        <w:rPr>
          <w:i/>
        </w:rPr>
        <w:lastRenderedPageBreak/>
        <w:t>Title</w:t>
      </w:r>
      <w:r w:rsidRPr="00327B09">
        <w:t xml:space="preserve">: </w:t>
      </w:r>
      <w:r w:rsidR="004A60C2">
        <w:t xml:space="preserve"> </w:t>
      </w:r>
      <w:r w:rsidRPr="00327B09">
        <w:t>FERC-545, Gas Pipeline Rates: Non Formal</w:t>
      </w:r>
    </w:p>
    <w:p w14:paraId="6F3559BB" w14:textId="6DBC120A" w:rsidR="00BF01F7" w:rsidRPr="00327B09" w:rsidRDefault="00BF01F7" w:rsidP="00BF01F7">
      <w:pPr>
        <w:pStyle w:val="FERCparanumber"/>
        <w:numPr>
          <w:ilvl w:val="0"/>
          <w:numId w:val="0"/>
        </w:numPr>
      </w:pPr>
      <w:r w:rsidRPr="00327B09">
        <w:rPr>
          <w:i/>
        </w:rPr>
        <w:t>Action</w:t>
      </w:r>
      <w:r w:rsidRPr="00327B09">
        <w:t xml:space="preserve">: </w:t>
      </w:r>
      <w:r w:rsidR="004A60C2">
        <w:t xml:space="preserve"> </w:t>
      </w:r>
      <w:r w:rsidRPr="00327B09">
        <w:t>One-time filing and reduced future filings</w:t>
      </w:r>
    </w:p>
    <w:p w14:paraId="6CC05630" w14:textId="630CFF7E" w:rsidR="00BF01F7" w:rsidRPr="00327B09" w:rsidRDefault="00BF01F7" w:rsidP="00BF01F7">
      <w:pPr>
        <w:pStyle w:val="FERCparanumber"/>
        <w:numPr>
          <w:ilvl w:val="0"/>
          <w:numId w:val="0"/>
        </w:numPr>
      </w:pPr>
      <w:r w:rsidRPr="00327B09">
        <w:rPr>
          <w:i/>
        </w:rPr>
        <w:t>OMB Control Number</w:t>
      </w:r>
      <w:r w:rsidRPr="00327B09">
        <w:t xml:space="preserve">: </w:t>
      </w:r>
      <w:r w:rsidR="004A60C2">
        <w:t xml:space="preserve"> </w:t>
      </w:r>
      <w:r w:rsidRPr="00327B09">
        <w:t>1902-0154</w:t>
      </w:r>
    </w:p>
    <w:p w14:paraId="29B76800" w14:textId="04B27A57" w:rsidR="00BF01F7" w:rsidRPr="00327B09" w:rsidRDefault="00BF01F7" w:rsidP="00BF01F7">
      <w:pPr>
        <w:pStyle w:val="FERCparanumber"/>
        <w:numPr>
          <w:ilvl w:val="0"/>
          <w:numId w:val="0"/>
        </w:numPr>
      </w:pPr>
      <w:r w:rsidRPr="00327B09">
        <w:rPr>
          <w:i/>
        </w:rPr>
        <w:t>Respondents</w:t>
      </w:r>
      <w:r w:rsidRPr="00327B09">
        <w:t xml:space="preserve">: </w:t>
      </w:r>
      <w:r w:rsidR="004A60C2">
        <w:t xml:space="preserve"> </w:t>
      </w:r>
      <w:r w:rsidRPr="00327B09">
        <w:t>Natural Gas Pipelines</w:t>
      </w:r>
    </w:p>
    <w:p w14:paraId="7C1D8583" w14:textId="3FA2CAB0" w:rsidR="00BF01F7" w:rsidRPr="00327B09" w:rsidRDefault="00BF01F7" w:rsidP="00BF01F7">
      <w:pPr>
        <w:pStyle w:val="FERCparanumber"/>
        <w:numPr>
          <w:ilvl w:val="0"/>
          <w:numId w:val="0"/>
        </w:numPr>
      </w:pPr>
      <w:r w:rsidRPr="00327B09">
        <w:rPr>
          <w:i/>
        </w:rPr>
        <w:t>Frequency of Responses</w:t>
      </w:r>
      <w:r w:rsidRPr="00327B09">
        <w:t xml:space="preserve">: </w:t>
      </w:r>
      <w:r w:rsidR="004A60C2">
        <w:t xml:space="preserve"> </w:t>
      </w:r>
      <w:r w:rsidRPr="00327B09">
        <w:t xml:space="preserve">One-time implementation and future reduction in number of responses. </w:t>
      </w:r>
      <w:r w:rsidR="004A60C2">
        <w:t xml:space="preserve"> </w:t>
      </w:r>
      <w:r w:rsidRPr="00327B09">
        <w:t>Responses are mandatory.</w:t>
      </w:r>
    </w:p>
    <w:p w14:paraId="1397F7AA" w14:textId="6346A7B0" w:rsidR="00BF01F7" w:rsidRPr="00327B09" w:rsidRDefault="00BF01F7" w:rsidP="00BF01F7">
      <w:pPr>
        <w:pStyle w:val="FERCparanumber"/>
        <w:numPr>
          <w:ilvl w:val="0"/>
          <w:numId w:val="0"/>
        </w:numPr>
      </w:pPr>
      <w:r w:rsidRPr="00327B09">
        <w:rPr>
          <w:i/>
        </w:rPr>
        <w:t>Necessity of Information</w:t>
      </w:r>
      <w:r w:rsidRPr="00327B09">
        <w:t xml:space="preserve">: </w:t>
      </w:r>
      <w:r w:rsidR="004A60C2">
        <w:t xml:space="preserve"> </w:t>
      </w:r>
      <w:r w:rsidRPr="00327B09">
        <w:t>The proposals in this Proposed Rule would, if implemented, reduce the burden of interstate natural gas pipelines resulting from</w:t>
      </w:r>
      <w:r w:rsidR="007D5913" w:rsidRPr="00327B09">
        <w:t xml:space="preserve"> compliance with the Commission’</w:t>
      </w:r>
      <w:r w:rsidRPr="00327B09">
        <w:t>s regulations.</w:t>
      </w:r>
    </w:p>
    <w:p w14:paraId="4804FF03" w14:textId="289BFE67" w:rsidR="00BF01F7" w:rsidRPr="00327B09" w:rsidRDefault="00BF01F7" w:rsidP="00BF01F7">
      <w:pPr>
        <w:pStyle w:val="FERCparanumber"/>
        <w:numPr>
          <w:ilvl w:val="0"/>
          <w:numId w:val="0"/>
        </w:numPr>
      </w:pPr>
      <w:r w:rsidRPr="00327B09">
        <w:rPr>
          <w:i/>
        </w:rPr>
        <w:t>Internal Review</w:t>
      </w:r>
      <w:r w:rsidRPr="00327B09">
        <w:t xml:space="preserve">: </w:t>
      </w:r>
      <w:r w:rsidR="004A60C2">
        <w:t xml:space="preserve"> </w:t>
      </w:r>
      <w:r w:rsidRPr="00327B09">
        <w:t>The Commission has reviewed the requirements pertaining to proposed</w:t>
      </w:r>
      <w:r w:rsidR="00D35623" w:rsidRPr="00327B09">
        <w:t xml:space="preserve"> modification of the Commission’</w:t>
      </w:r>
      <w:r w:rsidRPr="00327B09">
        <w:t>s regulations and made a preliminary determination that the proposed revisions are necessary to reduce the burden imposed by the Commission on the natural gas industry.  The Commission has assured itself, by means of its internal review, that there is specific, objective support for the burden estimates associated with the information requirements.</w:t>
      </w:r>
    </w:p>
    <w:p w14:paraId="02B7F028" w14:textId="527DB077" w:rsidR="00BF01F7" w:rsidRPr="00327B09" w:rsidRDefault="00BF01F7" w:rsidP="006C0B36">
      <w:pPr>
        <w:pStyle w:val="FERCparanumber"/>
      </w:pPr>
      <w:r w:rsidRPr="00327B09">
        <w:t xml:space="preserve">Interested persons may obtain information on the reporting requirements by contacting the following: </w:t>
      </w:r>
      <w:r w:rsidR="006B6E3C">
        <w:t xml:space="preserve"> </w:t>
      </w:r>
      <w:r w:rsidRPr="00327B09">
        <w:t>Federal Energy Regulatory Commission, 888 First Street NE, Washington, DC  20426 [Attention:</w:t>
      </w:r>
      <w:r w:rsidR="005262E9">
        <w:t xml:space="preserve"> </w:t>
      </w:r>
      <w:r w:rsidRPr="00327B09">
        <w:t xml:space="preserve"> Ellen Brown, Office of the Executive Director, </w:t>
      </w:r>
      <w:r w:rsidR="007715FF">
        <w:br/>
      </w:r>
      <w:r w:rsidRPr="00327B09">
        <w:t xml:space="preserve">e-mail: </w:t>
      </w:r>
      <w:r w:rsidR="007715FF">
        <w:t xml:space="preserve"> </w:t>
      </w:r>
      <w:hyperlink r:id="rId19" w:history="1">
        <w:r w:rsidR="0021573D" w:rsidRPr="00D23A9E">
          <w:rPr>
            <w:rStyle w:val="Hyperlink"/>
            <w:u w:val="none"/>
          </w:rPr>
          <w:t>DataClearance@ferc.gov</w:t>
        </w:r>
      </w:hyperlink>
      <w:r w:rsidRPr="00327B09">
        <w:t>, phone:</w:t>
      </w:r>
      <w:r w:rsidR="004A60C2">
        <w:t xml:space="preserve"> </w:t>
      </w:r>
      <w:r w:rsidRPr="00327B09">
        <w:t xml:space="preserve"> (202) 502-8663, fax: </w:t>
      </w:r>
      <w:r w:rsidR="004A60C2">
        <w:t xml:space="preserve"> </w:t>
      </w:r>
      <w:r w:rsidRPr="00327B09">
        <w:t>(202) 273-0873].</w:t>
      </w:r>
    </w:p>
    <w:p w14:paraId="6584EEBE" w14:textId="392F826F" w:rsidR="00BF01F7" w:rsidRPr="00327B09" w:rsidRDefault="00BF01F7" w:rsidP="006C0B36">
      <w:pPr>
        <w:pStyle w:val="FERCparanumber"/>
      </w:pPr>
      <w:r w:rsidRPr="00327B09">
        <w:t xml:space="preserve">Comments concerning the collection of information and the associated burden estimate, should be sent to the Commission in this docket and to the Office of Management and Budget, Office of Information and Regulatory Affairs, </w:t>
      </w:r>
      <w:r w:rsidR="00D23A9E">
        <w:br/>
      </w:r>
      <w:r w:rsidRPr="00327B09">
        <w:lastRenderedPageBreak/>
        <w:t xml:space="preserve">Washington, DC </w:t>
      </w:r>
      <w:r w:rsidR="000E6569">
        <w:t xml:space="preserve"> </w:t>
      </w:r>
      <w:r w:rsidRPr="00327B09">
        <w:t xml:space="preserve">20503 [Attention: </w:t>
      </w:r>
      <w:r w:rsidR="007715FF">
        <w:t xml:space="preserve"> </w:t>
      </w:r>
      <w:r w:rsidRPr="00327B09">
        <w:t xml:space="preserve">Desk Officer for the Federal Energy Regulatory Commission, telephone: </w:t>
      </w:r>
      <w:r w:rsidR="004A60C2">
        <w:t xml:space="preserve"> </w:t>
      </w:r>
      <w:r w:rsidRPr="00327B09">
        <w:t xml:space="preserve">(202) 395-4638, fax: </w:t>
      </w:r>
      <w:r w:rsidR="005262E9">
        <w:t xml:space="preserve"> </w:t>
      </w:r>
      <w:r w:rsidRPr="00327B09">
        <w:t>(202) 395-4718].</w:t>
      </w:r>
    </w:p>
    <w:p w14:paraId="37C7E26B" w14:textId="77777777" w:rsidR="002E3682" w:rsidRPr="00327B09" w:rsidRDefault="002E3682" w:rsidP="004D55EB">
      <w:pPr>
        <w:pStyle w:val="Heading1"/>
      </w:pPr>
      <w:r w:rsidRPr="00327B09">
        <w:t>Environmental Analysis</w:t>
      </w:r>
      <w:bookmarkStart w:id="8" w:name="_bmk6"/>
    </w:p>
    <w:bookmarkEnd w:id="8"/>
    <w:p w14:paraId="0A45E2DD" w14:textId="27043FA7" w:rsidR="00053954" w:rsidRPr="00327B09" w:rsidRDefault="002E3682" w:rsidP="006C0B36">
      <w:pPr>
        <w:pStyle w:val="FERCparanumber"/>
      </w:pPr>
      <w:r w:rsidRPr="00327B09">
        <w:t xml:space="preserve">The </w:t>
      </w:r>
      <w:r w:rsidR="00053954" w:rsidRPr="00327B09">
        <w:t>Commission is required to prepare an Environmental Assessment or an Environmental Impact Statement for any action that may have a significant adverse effect</w:t>
      </w:r>
      <w:r w:rsidR="005D28D1" w:rsidRPr="00327B09">
        <w:t xml:space="preserve"> on the human environment.</w:t>
      </w:r>
      <w:r w:rsidR="00794F3A" w:rsidRPr="00327B09">
        <w:rPr>
          <w:rStyle w:val="FootnoteReference"/>
        </w:rPr>
        <w:footnoteReference w:id="19"/>
      </w:r>
      <w:r w:rsidR="005D28D1" w:rsidRPr="00327B09">
        <w:t xml:space="preserve">  </w:t>
      </w:r>
      <w:r w:rsidR="00053954" w:rsidRPr="00327B09">
        <w:t>The Commission has categorically excluded certain actions from these requirements as not having a significant effect</w:t>
      </w:r>
      <w:r w:rsidR="005D28D1" w:rsidRPr="00327B09">
        <w:t xml:space="preserve"> on the human environment.</w:t>
      </w:r>
      <w:r w:rsidR="00794F3A" w:rsidRPr="00327B09">
        <w:rPr>
          <w:rStyle w:val="FootnoteReference"/>
        </w:rPr>
        <w:footnoteReference w:id="20"/>
      </w:r>
      <w:r w:rsidR="005D28D1" w:rsidRPr="00327B09">
        <w:t xml:space="preserve">  </w:t>
      </w:r>
      <w:r w:rsidR="00053954" w:rsidRPr="00327B09">
        <w:t>The actions proposed here fall within categorical exclusions in the Commission</w:t>
      </w:r>
      <w:r w:rsidR="00D570FD">
        <w:t>’</w:t>
      </w:r>
      <w:r w:rsidR="00053954" w:rsidRPr="00327B09">
        <w:t>s regulations for rules that are clarifying, corrective, or procedural, for information gathering, analysis, and dissemination, and for sales, exchange, and transportation of natural gas that requires no</w:t>
      </w:r>
      <w:r w:rsidR="005D28D1" w:rsidRPr="00327B09">
        <w:t xml:space="preserve"> construction of facilities.</w:t>
      </w:r>
      <w:r w:rsidR="00794F3A" w:rsidRPr="00327B09">
        <w:rPr>
          <w:rStyle w:val="FootnoteReference"/>
        </w:rPr>
        <w:footnoteReference w:id="21"/>
      </w:r>
      <w:r w:rsidR="00053954" w:rsidRPr="00327B09">
        <w:t xml:space="preserve">  Therefore, an environmental assessment is unnecessary and has not been prepared as part of this NOPR.</w:t>
      </w:r>
    </w:p>
    <w:p w14:paraId="361CF068" w14:textId="77777777" w:rsidR="002E3682" w:rsidRPr="00327B09" w:rsidRDefault="005D28D1" w:rsidP="004D55EB">
      <w:pPr>
        <w:pStyle w:val="Heading1"/>
      </w:pPr>
      <w:r w:rsidRPr="00327B09">
        <w:t>Regulatory Flexibility</w:t>
      </w:r>
      <w:r w:rsidR="002E3682" w:rsidRPr="00327B09">
        <w:t xml:space="preserve"> Act </w:t>
      </w:r>
      <w:bookmarkStart w:id="9" w:name="_bmk7"/>
    </w:p>
    <w:bookmarkEnd w:id="9"/>
    <w:p w14:paraId="0F3FA17F" w14:textId="7FE5DE5B" w:rsidR="00053954" w:rsidRPr="00327B09" w:rsidRDefault="002E3682" w:rsidP="006C0B36">
      <w:pPr>
        <w:pStyle w:val="FERCparanumber"/>
      </w:pPr>
      <w:r w:rsidRPr="00327B09">
        <w:t xml:space="preserve">The Regulatory </w:t>
      </w:r>
      <w:r w:rsidR="00053954" w:rsidRPr="00327B09">
        <w:t>Fl</w:t>
      </w:r>
      <w:r w:rsidR="005D28D1" w:rsidRPr="00327B09">
        <w:t>exibility Act of 1980 (RFA)</w:t>
      </w:r>
      <w:r w:rsidR="00794F3A" w:rsidRPr="00327B09">
        <w:rPr>
          <w:rStyle w:val="FootnoteReference"/>
        </w:rPr>
        <w:footnoteReference w:id="22"/>
      </w:r>
      <w:r w:rsidR="005D28D1" w:rsidRPr="00327B09">
        <w:t xml:space="preserve"> </w:t>
      </w:r>
      <w:r w:rsidR="00053954" w:rsidRPr="00327B09">
        <w:t xml:space="preserve">generally requires a description and analysis of final rules that will have significant economic impact on a substantial number of small entities. </w:t>
      </w:r>
      <w:r w:rsidR="005D28D1" w:rsidRPr="00327B09">
        <w:t xml:space="preserve"> </w:t>
      </w:r>
      <w:r w:rsidR="00053954" w:rsidRPr="00327B09">
        <w:t xml:space="preserve">The RFA mandates consideration of regulatory alternatives that </w:t>
      </w:r>
      <w:r w:rsidR="00053954" w:rsidRPr="00327B09">
        <w:lastRenderedPageBreak/>
        <w:t xml:space="preserve">accomplish the stated objectives of a proposed rule and that minimize any significant economic impact on a substantial number of small entities. </w:t>
      </w:r>
      <w:r w:rsidR="004A60C2">
        <w:t xml:space="preserve"> </w:t>
      </w:r>
      <w:r w:rsidR="00053954" w:rsidRPr="00327B09">
        <w:t>Th</w:t>
      </w:r>
      <w:r w:rsidR="00D35623" w:rsidRPr="00327B09">
        <w:t>e Small Business Administration’</w:t>
      </w:r>
      <w:r w:rsidR="00053954" w:rsidRPr="00327B09">
        <w:t>s (SBA) Office of Size Standards develops the numerical de</w:t>
      </w:r>
      <w:r w:rsidR="005D28D1" w:rsidRPr="00327B09">
        <w:t>finition of a small business.</w:t>
      </w:r>
      <w:r w:rsidR="00794F3A" w:rsidRPr="00327B09">
        <w:rPr>
          <w:rStyle w:val="FootnoteReference"/>
        </w:rPr>
        <w:footnoteReference w:id="23"/>
      </w:r>
      <w:r w:rsidR="00053954" w:rsidRPr="00327B09">
        <w:t xml:space="preserve">  The SBA has established a size standard for pipelines transporting natural gas, stating that a firm is small if its annual receipts are less </w:t>
      </w:r>
      <w:r w:rsidR="005D28D1" w:rsidRPr="00327B09">
        <w:t>than $25.5 million.</w:t>
      </w:r>
      <w:r w:rsidR="00794F3A" w:rsidRPr="00327B09">
        <w:rPr>
          <w:rStyle w:val="FootnoteReference"/>
        </w:rPr>
        <w:footnoteReference w:id="24"/>
      </w:r>
      <w:r w:rsidR="00053954" w:rsidRPr="00327B09">
        <w:t xml:space="preserve"> </w:t>
      </w:r>
    </w:p>
    <w:p w14:paraId="17234534" w14:textId="7ED0605F" w:rsidR="002E3682" w:rsidRPr="00327B09" w:rsidRDefault="007D5913" w:rsidP="006C0B36">
      <w:pPr>
        <w:pStyle w:val="FERCparanumber"/>
      </w:pPr>
      <w:r w:rsidRPr="00327B09">
        <w:t xml:space="preserve">The changes proposed here only impact interstate pipelines.  Approximately </w:t>
      </w:r>
      <w:r w:rsidR="000E6569">
        <w:br/>
      </w:r>
      <w:r w:rsidRPr="00327B09">
        <w:t xml:space="preserve">165 entities would be potential respondents subject to data collection FERC-545 reporting requirements.  More than half of these entities are large entities.  Using </w:t>
      </w:r>
      <w:r w:rsidR="000E6569">
        <w:br/>
      </w:r>
      <w:r w:rsidRPr="00327B09">
        <w:t>2013 revenue data from the Form 2 and 2A, the Commission estimates that 19</w:t>
      </w:r>
      <w:r w:rsidR="00D23A9E">
        <w:t xml:space="preserve"> percent</w:t>
      </w:r>
      <w:r w:rsidRPr="00327B09">
        <w:t xml:space="preserve"> or </w:t>
      </w:r>
      <w:r w:rsidR="000E6569">
        <w:br/>
      </w:r>
      <w:r w:rsidRPr="00327B09">
        <w:t xml:space="preserve">26 total pipelines not affiliated with larger companies had annual revenues of less than </w:t>
      </w:r>
      <w:r w:rsidR="00D23A9E">
        <w:br/>
      </w:r>
      <w:r w:rsidRPr="00327B09">
        <w:t>$25.5 million.  Moreover, these changes are designed to benefit all customers, including small businesses.  The Commission estimates that the one-time cost per small entity is $1,024.</w:t>
      </w:r>
      <w:r w:rsidRPr="00327B09">
        <w:rPr>
          <w:rStyle w:val="FootnoteReference"/>
        </w:rPr>
        <w:footnoteReference w:id="25"/>
      </w:r>
      <w:r w:rsidRPr="00327B09">
        <w:t xml:space="preserve">  In the future, small entities should see a cost savings related to avoiding filing requirements related to system maps.  The Commission does not consider the estimated $1,024 impact per entity to be significant.  Accordingly, pursuant to §605(b) of the RFA, the Commission certifies that this proposed rule should not have a significant economic impact on a substantial number of small entities</w:t>
      </w:r>
      <w:r w:rsidR="00053954" w:rsidRPr="00327B09">
        <w:t>.</w:t>
      </w:r>
    </w:p>
    <w:p w14:paraId="3F229AFB" w14:textId="77777777" w:rsidR="002E3682" w:rsidRPr="00327B09" w:rsidRDefault="002E3682" w:rsidP="004D55EB">
      <w:pPr>
        <w:pStyle w:val="Heading1"/>
      </w:pPr>
      <w:r w:rsidRPr="00327B09">
        <w:lastRenderedPageBreak/>
        <w:t>Comment Procedures</w:t>
      </w:r>
      <w:bookmarkStart w:id="10" w:name="_bmk8"/>
    </w:p>
    <w:bookmarkEnd w:id="10"/>
    <w:p w14:paraId="2DA066C7" w14:textId="3090473D" w:rsidR="00053954" w:rsidRPr="00327B09" w:rsidRDefault="002E3682" w:rsidP="006C0B36">
      <w:pPr>
        <w:pStyle w:val="FERCparanumber"/>
      </w:pPr>
      <w:r w:rsidRPr="00327B09">
        <w:t xml:space="preserve">The Commission </w:t>
      </w:r>
      <w:r w:rsidR="00053954" w:rsidRPr="00327B09">
        <w:t xml:space="preserve">invites interested persons to submit written comments on the proposed regulation modifications promulgated in this NOPR, as well as any related matters or alternative proposals that commenters may wish to discuss. </w:t>
      </w:r>
      <w:r w:rsidR="005D28D1" w:rsidRPr="00327B09">
        <w:t xml:space="preserve"> </w:t>
      </w:r>
      <w:r w:rsidR="00053954" w:rsidRPr="00327B09">
        <w:t xml:space="preserve">Comments are due </w:t>
      </w:r>
      <w:r w:rsidR="0039254A">
        <w:t xml:space="preserve">[Insert Date </w:t>
      </w:r>
      <w:r w:rsidR="00A53CA9">
        <w:t>6</w:t>
      </w:r>
      <w:r w:rsidR="005C1D4A" w:rsidRPr="00327B09">
        <w:t>0 days after publication in the Federal Register</w:t>
      </w:r>
      <w:r w:rsidR="002B7103">
        <w:t>]</w:t>
      </w:r>
      <w:r w:rsidR="00053954" w:rsidRPr="00327B09">
        <w:t>.</w:t>
      </w:r>
      <w:r w:rsidR="005D28D1" w:rsidRPr="00327B09">
        <w:t xml:space="preserve"> </w:t>
      </w:r>
      <w:r w:rsidR="00053954" w:rsidRPr="00327B09">
        <w:t xml:space="preserve"> Comments must refer to Docket No. RM14-</w:t>
      </w:r>
      <w:r w:rsidR="00080AFA" w:rsidRPr="00327B09">
        <w:t>21</w:t>
      </w:r>
      <w:r w:rsidR="00053954" w:rsidRPr="00327B09">
        <w:t>-000,</w:t>
      </w:r>
      <w:r w:rsidR="00293072" w:rsidRPr="00327B09">
        <w:t xml:space="preserve"> and must include the commenter’</w:t>
      </w:r>
      <w:r w:rsidR="00053954" w:rsidRPr="00327B09">
        <w:t xml:space="preserve">s name, the organization they represent, if applicable, and their address. </w:t>
      </w:r>
      <w:r w:rsidR="00293072" w:rsidRPr="00327B09">
        <w:t xml:space="preserve"> </w:t>
      </w:r>
      <w:r w:rsidR="00053954" w:rsidRPr="00327B09">
        <w:t>Comments may be filed either in electronic or paper format.</w:t>
      </w:r>
    </w:p>
    <w:p w14:paraId="7D93A0BA" w14:textId="2A09C481" w:rsidR="00053954" w:rsidRPr="00327B09" w:rsidRDefault="00053954" w:rsidP="006C0B36">
      <w:pPr>
        <w:pStyle w:val="FERCparanumber"/>
      </w:pPr>
      <w:r w:rsidRPr="00327B09">
        <w:t>The Commission encourages comments to be filed electronically via the eFilin</w:t>
      </w:r>
      <w:r w:rsidR="00293072" w:rsidRPr="00327B09">
        <w:t>g link on the Commission’</w:t>
      </w:r>
      <w:r w:rsidRPr="00327B09">
        <w:t>s website at &lt;</w:t>
      </w:r>
      <w:hyperlink r:id="rId20" w:history="1">
        <w:r w:rsidRPr="0011166A">
          <w:rPr>
            <w:rStyle w:val="Hyperlink"/>
            <w:u w:val="none"/>
          </w:rPr>
          <w:t>http://www.ferc.gov</w:t>
        </w:r>
      </w:hyperlink>
      <w:r w:rsidRPr="00327B09">
        <w:t xml:space="preserve">&gt;. </w:t>
      </w:r>
      <w:r w:rsidR="005D28D1" w:rsidRPr="00327B09">
        <w:t xml:space="preserve"> </w:t>
      </w:r>
      <w:r w:rsidRPr="00327B09">
        <w:t xml:space="preserve">The Commission accepts most standard word processing formats. </w:t>
      </w:r>
      <w:r w:rsidR="005D28D1" w:rsidRPr="00327B09">
        <w:t xml:space="preserve"> </w:t>
      </w:r>
      <w:r w:rsidRPr="00327B09">
        <w:t xml:space="preserve">Documents created electronically using word processing software should be filed in native applications or print-to-PDF format and not in a scanned format. </w:t>
      </w:r>
      <w:r w:rsidR="004A60C2">
        <w:t xml:space="preserve"> </w:t>
      </w:r>
      <w:r w:rsidRPr="00327B09">
        <w:t>Commenters filing electronically do not need to make a paper filing.</w:t>
      </w:r>
    </w:p>
    <w:p w14:paraId="238A07DE" w14:textId="194EF64C" w:rsidR="00053954" w:rsidRPr="00327B09" w:rsidRDefault="00053954" w:rsidP="006C0B36">
      <w:pPr>
        <w:pStyle w:val="FERCparanumber"/>
      </w:pPr>
      <w:r w:rsidRPr="00327B09">
        <w:t xml:space="preserve">Commenters that are not able to file comments electronically must send an original of their comments to: </w:t>
      </w:r>
      <w:r w:rsidR="004A60C2">
        <w:t xml:space="preserve"> </w:t>
      </w:r>
      <w:r w:rsidRPr="00327B09">
        <w:t xml:space="preserve">Federal Energy Regulatory Commission, Secretary of the Commission, 888 First Street NE, Washington, DC </w:t>
      </w:r>
      <w:r w:rsidR="0011166A">
        <w:t xml:space="preserve"> </w:t>
      </w:r>
      <w:r w:rsidRPr="00327B09">
        <w:t>20426.</w:t>
      </w:r>
    </w:p>
    <w:p w14:paraId="015C92B7" w14:textId="77777777" w:rsidR="002E3682" w:rsidRPr="00327B09" w:rsidRDefault="00053954" w:rsidP="006C0B36">
      <w:pPr>
        <w:pStyle w:val="FERCparanumber"/>
      </w:pPr>
      <w:r w:rsidRPr="00327B09">
        <w:t>All comments will be placed in the Commission's public files and may be viewed, printed, or downloaded remotely as described in the Document Availability Section below.</w:t>
      </w:r>
      <w:r w:rsidR="005D28D1" w:rsidRPr="00327B09">
        <w:t xml:space="preserve"> </w:t>
      </w:r>
      <w:r w:rsidRPr="00327B09">
        <w:t xml:space="preserve"> Commenters on this proposal are not required to serve copies of their comments on other commenters.</w:t>
      </w:r>
    </w:p>
    <w:p w14:paraId="57751965" w14:textId="77777777" w:rsidR="002E3682" w:rsidRPr="00327B09" w:rsidRDefault="002E3682" w:rsidP="004D55EB">
      <w:pPr>
        <w:pStyle w:val="Heading1"/>
      </w:pPr>
      <w:r w:rsidRPr="00327B09">
        <w:lastRenderedPageBreak/>
        <w:t>Document Availability</w:t>
      </w:r>
      <w:bookmarkStart w:id="11" w:name="_bmk9"/>
    </w:p>
    <w:bookmarkEnd w:id="11"/>
    <w:p w14:paraId="425C2A42" w14:textId="054B7F81" w:rsidR="002E3682" w:rsidRPr="00327B09" w:rsidRDefault="002E3682" w:rsidP="006C0B36">
      <w:pPr>
        <w:pStyle w:val="FERCparanumber"/>
      </w:pPr>
      <w:r w:rsidRPr="00327B09">
        <w:t xml:space="preserve">In addition to publishing the full text of this document in the </w:t>
      </w:r>
      <w:r w:rsidRPr="00327B09">
        <w:rPr>
          <w:i/>
        </w:rPr>
        <w:t>Federal Register</w:t>
      </w:r>
      <w:r w:rsidRPr="00327B09">
        <w:t xml:space="preserve">, the Commission provides all interested persons an opportunity to view and/or print the contents of this document via the </w:t>
      </w:r>
      <w:r w:rsidR="00293072" w:rsidRPr="00327B09">
        <w:t>Internet through the Commission’</w:t>
      </w:r>
      <w:r w:rsidRPr="00327B09">
        <w:t xml:space="preserve">s Home Page </w:t>
      </w:r>
      <w:r w:rsidR="0021573D" w:rsidRPr="00327B09">
        <w:t>&lt;</w:t>
      </w:r>
      <w:hyperlink r:id="rId21" w:history="1">
        <w:r w:rsidRPr="00604845">
          <w:rPr>
            <w:rStyle w:val="Hyperlink"/>
            <w:u w:val="none"/>
          </w:rPr>
          <w:t>http://www.ferc.gov</w:t>
        </w:r>
      </w:hyperlink>
      <w:r w:rsidR="0021573D" w:rsidRPr="00ED32F0">
        <w:rPr>
          <w:rStyle w:val="Hyperlink"/>
          <w:u w:val="none"/>
        </w:rPr>
        <w:t>&gt;</w:t>
      </w:r>
      <w:r w:rsidR="007D5913" w:rsidRPr="00327B09">
        <w:t xml:space="preserve"> and in the Commission’</w:t>
      </w:r>
      <w:r w:rsidRPr="00327B09">
        <w:t xml:space="preserve">s Public Reference Room during normal business hours (8:30 a.m. to 5:00 p.m. Eastern time) at 888 First Street NE, Room 2A, Washington DC </w:t>
      </w:r>
      <w:r w:rsidR="0011166A">
        <w:t xml:space="preserve"> </w:t>
      </w:r>
      <w:r w:rsidRPr="00327B09">
        <w:t>20426.</w:t>
      </w:r>
    </w:p>
    <w:p w14:paraId="64CE00DD" w14:textId="0E9F15AA" w:rsidR="002E3682" w:rsidRPr="00327B09" w:rsidRDefault="0021573D" w:rsidP="006C0B36">
      <w:pPr>
        <w:pStyle w:val="FERCparanumber"/>
      </w:pPr>
      <w:r w:rsidRPr="00327B09">
        <w:t>From the Commission’</w:t>
      </w:r>
      <w:r w:rsidR="002E3682" w:rsidRPr="00327B09">
        <w:t xml:space="preserve">s Home Page on the Internet, this information is available on eLibrary.  The full text of this document is available on eLibrary in PDF and Microsoft Word format for viewing, printing, and/or downloading. </w:t>
      </w:r>
      <w:r w:rsidR="005D28D1" w:rsidRPr="00327B09">
        <w:t xml:space="preserve"> </w:t>
      </w:r>
      <w:r w:rsidR="002E3682" w:rsidRPr="00327B09">
        <w:t>To access this document in eLibrary, type the docket number excluding the last three digits of this document in the docket number field.</w:t>
      </w:r>
    </w:p>
    <w:p w14:paraId="4E0404C9" w14:textId="28ADD65E" w:rsidR="002E3682" w:rsidRPr="00327B09" w:rsidRDefault="002E3682" w:rsidP="006C0B36">
      <w:pPr>
        <w:pStyle w:val="FERCparanumber"/>
      </w:pPr>
      <w:r w:rsidRPr="00327B09">
        <w:t xml:space="preserve">User assistance is available for eLibrary and the Commission’s website during normal business hours from the Commission’s Online Support at </w:t>
      </w:r>
      <w:r w:rsidR="0011166A">
        <w:t>(</w:t>
      </w:r>
      <w:r w:rsidRPr="00327B09">
        <w:t>202</w:t>
      </w:r>
      <w:r w:rsidR="0011166A">
        <w:t xml:space="preserve">) </w:t>
      </w:r>
      <w:r w:rsidRPr="00327B09">
        <w:t xml:space="preserve">502-6652 (toll free at 1-866-208-3676) or email at </w:t>
      </w:r>
      <w:hyperlink r:id="rId22" w:history="1">
        <w:r w:rsidRPr="00604845">
          <w:rPr>
            <w:rStyle w:val="Hyperlink"/>
            <w:u w:val="none"/>
          </w:rPr>
          <w:t>ferconlinesupport@ferc.gov</w:t>
        </w:r>
      </w:hyperlink>
      <w:r w:rsidRPr="00327B09">
        <w:t>, or the Public Reference Room at (202) 502-8371, TTY (202)</w:t>
      </w:r>
      <w:r w:rsidR="0011166A">
        <w:t xml:space="preserve"> </w:t>
      </w:r>
      <w:r w:rsidRPr="00327B09">
        <w:t xml:space="preserve">502-8659.  E-mail the Public Reference Room at </w:t>
      </w:r>
      <w:hyperlink r:id="rId23" w:history="1">
        <w:r w:rsidRPr="00604845">
          <w:rPr>
            <w:rStyle w:val="Hyperlink"/>
            <w:u w:val="none"/>
          </w:rPr>
          <w:t>public.referenceroom@ferc.gov</w:t>
        </w:r>
      </w:hyperlink>
      <w:r w:rsidRPr="00327B09">
        <w:t>.</w:t>
      </w:r>
    </w:p>
    <w:p w14:paraId="1E0F5B9F" w14:textId="77777777" w:rsidR="004A60C2" w:rsidRDefault="004A60C2">
      <w:pPr>
        <w:widowControl/>
        <w:autoSpaceDE/>
        <w:autoSpaceDN/>
        <w:adjustRightInd/>
        <w:rPr>
          <w:u w:val="single"/>
        </w:rPr>
      </w:pPr>
      <w:r>
        <w:rPr>
          <w:u w:val="single"/>
        </w:rPr>
        <w:br w:type="page"/>
      </w:r>
    </w:p>
    <w:p w14:paraId="0B387F72" w14:textId="747DED8E" w:rsidR="002E3682" w:rsidRPr="00327B09" w:rsidRDefault="002E3682" w:rsidP="00450E17">
      <w:r w:rsidRPr="00327B09">
        <w:rPr>
          <w:u w:val="single"/>
        </w:rPr>
        <w:lastRenderedPageBreak/>
        <w:t xml:space="preserve">List of subjects in 18 CFR Part </w:t>
      </w:r>
      <w:r w:rsidR="00E91BAF" w:rsidRPr="00327B09">
        <w:rPr>
          <w:u w:val="single"/>
        </w:rPr>
        <w:t>154</w:t>
      </w:r>
      <w:r w:rsidRPr="00327B09">
        <w:rPr>
          <w:u w:val="single"/>
        </w:rPr>
        <w:t xml:space="preserve"> </w:t>
      </w:r>
    </w:p>
    <w:p w14:paraId="117DE586" w14:textId="77777777" w:rsidR="002E3682" w:rsidRPr="00327B09" w:rsidRDefault="002E3682" w:rsidP="00450E17"/>
    <w:p w14:paraId="1B0E10A7" w14:textId="539FEEB1" w:rsidR="000E6569" w:rsidRDefault="000E6569" w:rsidP="00450E17">
      <w:r>
        <w:t>Natural Gas, Pipelines, Reporting and recordkeeping requirements.</w:t>
      </w:r>
    </w:p>
    <w:p w14:paraId="05A19EFA" w14:textId="77777777" w:rsidR="000E6569" w:rsidRDefault="000E6569" w:rsidP="00450E17"/>
    <w:p w14:paraId="25DB067F" w14:textId="77777777" w:rsidR="002E3682" w:rsidRPr="00327B09" w:rsidRDefault="002E3682" w:rsidP="00450E17">
      <w:r w:rsidRPr="00327B09">
        <w:t>By direction of the Commission.</w:t>
      </w:r>
    </w:p>
    <w:p w14:paraId="5E94EE2E" w14:textId="77777777" w:rsidR="002E3682" w:rsidRPr="00327B09" w:rsidRDefault="002E3682" w:rsidP="00450E17"/>
    <w:p w14:paraId="3A421D98" w14:textId="6E52CB7D" w:rsidR="007715FF" w:rsidRDefault="007715FF" w:rsidP="007715FF">
      <w:pPr>
        <w:widowControl/>
      </w:pPr>
      <w:r w:rsidRPr="007715FF">
        <w:t>( S E A L )</w:t>
      </w:r>
    </w:p>
    <w:p w14:paraId="79556627" w14:textId="5C3CEE03" w:rsidR="007715FF" w:rsidRDefault="007715FF" w:rsidP="007715FF">
      <w:pPr>
        <w:widowControl/>
      </w:pPr>
    </w:p>
    <w:p w14:paraId="2883CF12" w14:textId="63ABA12E" w:rsidR="007715FF" w:rsidRDefault="007715FF" w:rsidP="007715FF">
      <w:pPr>
        <w:widowControl/>
      </w:pPr>
    </w:p>
    <w:p w14:paraId="4A535207" w14:textId="797EBB18" w:rsidR="007715FF" w:rsidRDefault="007715FF" w:rsidP="007715FF">
      <w:pPr>
        <w:widowControl/>
      </w:pPr>
    </w:p>
    <w:p w14:paraId="4E3A9FFA" w14:textId="77777777" w:rsidR="004A60C2" w:rsidRDefault="004A60C2" w:rsidP="007715FF">
      <w:pPr>
        <w:widowControl/>
      </w:pPr>
    </w:p>
    <w:p w14:paraId="0DDC7EC8" w14:textId="7AA6EF24" w:rsidR="007715FF" w:rsidRPr="007715FF" w:rsidRDefault="007715FF" w:rsidP="007715FF">
      <w:pPr>
        <w:widowControl/>
        <w:ind w:firstLine="2606"/>
        <w:jc w:val="center"/>
      </w:pPr>
      <w:r w:rsidRPr="007715FF">
        <w:t>Nathaniel J. Davis, Sr.,</w:t>
      </w:r>
    </w:p>
    <w:p w14:paraId="7FDCEA60" w14:textId="7131283E" w:rsidR="007715FF" w:rsidRPr="007715FF" w:rsidRDefault="007715FF" w:rsidP="007715FF">
      <w:pPr>
        <w:widowControl/>
        <w:ind w:firstLine="2606"/>
        <w:jc w:val="center"/>
      </w:pPr>
      <w:r w:rsidRPr="007715FF">
        <w:t>Deputy Secretary.</w:t>
      </w:r>
    </w:p>
    <w:p w14:paraId="1A34E7A2" w14:textId="77777777" w:rsidR="007715FF" w:rsidRPr="00327B09" w:rsidRDefault="007715FF" w:rsidP="007715FF">
      <w:pPr>
        <w:widowControl/>
      </w:pPr>
    </w:p>
    <w:p w14:paraId="2D231D7A" w14:textId="77777777" w:rsidR="000B7D7C" w:rsidRPr="00327B09" w:rsidRDefault="000B7D7C">
      <w:pPr>
        <w:widowControl/>
        <w:autoSpaceDE/>
        <w:autoSpaceDN/>
        <w:adjustRightInd/>
      </w:pPr>
      <w:r w:rsidRPr="00327B09">
        <w:br w:type="page"/>
      </w:r>
    </w:p>
    <w:p w14:paraId="372E9009" w14:textId="568D1249" w:rsidR="002E3682" w:rsidRPr="00327B09" w:rsidRDefault="002E3682" w:rsidP="00450E17">
      <w:r w:rsidRPr="00327B09">
        <w:lastRenderedPageBreak/>
        <w:tab/>
        <w:t xml:space="preserve">In consideration of the foregoing, the Commission proposes to amend Part </w:t>
      </w:r>
      <w:r w:rsidR="00E91BAF" w:rsidRPr="00327B09">
        <w:t>154.106</w:t>
      </w:r>
      <w:r w:rsidRPr="00327B09">
        <w:t xml:space="preserve">, </w:t>
      </w:r>
      <w:r w:rsidR="00E91BAF" w:rsidRPr="00327B09">
        <w:t xml:space="preserve">Chapter I, </w:t>
      </w:r>
      <w:r w:rsidR="002B7103">
        <w:t>T</w:t>
      </w:r>
      <w:r w:rsidR="002B7103" w:rsidRPr="00327B09">
        <w:t xml:space="preserve">itle </w:t>
      </w:r>
      <w:r w:rsidRPr="00327B09">
        <w:t xml:space="preserve">18, </w:t>
      </w:r>
      <w:r w:rsidRPr="00327B09">
        <w:rPr>
          <w:i/>
        </w:rPr>
        <w:t>Code of Federal Regulations</w:t>
      </w:r>
      <w:r w:rsidR="00E91BAF" w:rsidRPr="00327B09">
        <w:t>, as follows:</w:t>
      </w:r>
    </w:p>
    <w:p w14:paraId="10588463" w14:textId="77777777" w:rsidR="002E3682" w:rsidRPr="00327B09" w:rsidRDefault="002E3682" w:rsidP="00450E17"/>
    <w:p w14:paraId="2EDB78A6" w14:textId="77777777" w:rsidR="00E91BAF" w:rsidRPr="00327B09" w:rsidRDefault="00E91BAF" w:rsidP="00E91BAF">
      <w:pPr>
        <w:pStyle w:val="FERCparanumber"/>
        <w:numPr>
          <w:ilvl w:val="0"/>
          <w:numId w:val="0"/>
        </w:numPr>
      </w:pPr>
      <w:r w:rsidRPr="00327B09">
        <w:t>PART 154—RATE SCHEDULES AND TARIFFS</w:t>
      </w:r>
    </w:p>
    <w:p w14:paraId="34B03200" w14:textId="77777777" w:rsidR="00E91BAF" w:rsidRPr="00327B09" w:rsidRDefault="00E91BAF" w:rsidP="00E91BAF">
      <w:pPr>
        <w:pStyle w:val="FERCparanumber"/>
        <w:numPr>
          <w:ilvl w:val="0"/>
          <w:numId w:val="0"/>
        </w:numPr>
      </w:pPr>
      <w:r w:rsidRPr="00327B09">
        <w:t>1.  The authority citation for part 154 continues to read as follows:</w:t>
      </w:r>
    </w:p>
    <w:p w14:paraId="667AFE98" w14:textId="253FAF55" w:rsidR="00E91BAF" w:rsidRPr="00327B09" w:rsidRDefault="00E91BAF" w:rsidP="00E91BAF">
      <w:pPr>
        <w:pStyle w:val="FERCparanumber"/>
        <w:numPr>
          <w:ilvl w:val="0"/>
          <w:numId w:val="0"/>
        </w:numPr>
      </w:pPr>
      <w:r w:rsidRPr="00327B09">
        <w:t>Authority: 15 U.S.C. 717 -717w; 31 U.S.C. 9701; 42 U.S.C. 7102 -7352.</w:t>
      </w:r>
    </w:p>
    <w:p w14:paraId="1785E9D5" w14:textId="17360EAC" w:rsidR="00241BF1" w:rsidRPr="00327B09" w:rsidRDefault="00E91BAF" w:rsidP="00E91BAF">
      <w:pPr>
        <w:pStyle w:val="FERCparanumber"/>
        <w:numPr>
          <w:ilvl w:val="0"/>
          <w:numId w:val="0"/>
        </w:numPr>
      </w:pPr>
      <w:r w:rsidRPr="00327B09">
        <w:t xml:space="preserve">2.  </w:t>
      </w:r>
      <w:r w:rsidR="00241BF1" w:rsidRPr="00327B09">
        <w:t xml:space="preserve">Revise </w:t>
      </w:r>
      <w:r w:rsidR="002B7103">
        <w:t>§</w:t>
      </w:r>
      <w:r w:rsidR="00241BF1" w:rsidRPr="00327B09">
        <w:t xml:space="preserve"> 154.103(a) to read as follows:</w:t>
      </w:r>
    </w:p>
    <w:p w14:paraId="07685757" w14:textId="0FDD9835" w:rsidR="00F90E3A" w:rsidRPr="00327B09" w:rsidRDefault="00F90E3A" w:rsidP="00E91BAF">
      <w:pPr>
        <w:pStyle w:val="FERCparanumber"/>
        <w:numPr>
          <w:ilvl w:val="0"/>
          <w:numId w:val="0"/>
        </w:numPr>
        <w:rPr>
          <w:b/>
        </w:rPr>
      </w:pPr>
      <w:r w:rsidRPr="00327B09">
        <w:rPr>
          <w:b/>
        </w:rPr>
        <w:t>§154.103 Composition of tariff.</w:t>
      </w:r>
    </w:p>
    <w:p w14:paraId="48EB589B" w14:textId="77777777" w:rsidR="00241BF1" w:rsidRPr="00327B09" w:rsidRDefault="00241BF1" w:rsidP="00E91BAF">
      <w:pPr>
        <w:pStyle w:val="FERCparanumber"/>
        <w:numPr>
          <w:ilvl w:val="0"/>
          <w:numId w:val="0"/>
        </w:numPr>
      </w:pPr>
      <w:r w:rsidRPr="00327B09">
        <w:t xml:space="preserve">(a) The tariff must contain sections, in the following order: A table of contents, a preliminary statement, </w:t>
      </w:r>
      <w:r w:rsidR="00F90E3A" w:rsidRPr="00327B09">
        <w:t>a uniform resource locator for the Internet address of</w:t>
      </w:r>
      <w:r w:rsidR="00F90E3A" w:rsidRPr="00327B09">
        <w:rPr>
          <w:b/>
        </w:rPr>
        <w:t xml:space="preserve"> </w:t>
      </w:r>
      <w:r w:rsidRPr="00327B09">
        <w:t>a map of the system, currently effective rates, composition of rate schedules, general terms and conditions, form of service agreement, and an index of customers.</w:t>
      </w:r>
    </w:p>
    <w:p w14:paraId="6E67FA09" w14:textId="41292F89" w:rsidR="002B7103" w:rsidRDefault="002B7103" w:rsidP="00E91BAF">
      <w:pPr>
        <w:pStyle w:val="FERCparanumber"/>
        <w:numPr>
          <w:ilvl w:val="0"/>
          <w:numId w:val="0"/>
        </w:numPr>
      </w:pPr>
      <w:r>
        <w:t>*****</w:t>
      </w:r>
    </w:p>
    <w:p w14:paraId="07B30E66" w14:textId="76DEB2FE" w:rsidR="00E91BAF" w:rsidRPr="00327B09" w:rsidRDefault="002B7103" w:rsidP="00E91BAF">
      <w:pPr>
        <w:pStyle w:val="FERCparanumber"/>
        <w:numPr>
          <w:ilvl w:val="0"/>
          <w:numId w:val="0"/>
        </w:numPr>
      </w:pPr>
      <w:r>
        <w:t>3</w:t>
      </w:r>
      <w:r w:rsidR="00241BF1" w:rsidRPr="00327B09">
        <w:t xml:space="preserve">.  </w:t>
      </w:r>
      <w:r w:rsidR="00E91BAF" w:rsidRPr="00327B09">
        <w:t xml:space="preserve">Revise </w:t>
      </w:r>
      <w:r>
        <w:t>§</w:t>
      </w:r>
      <w:r w:rsidR="00E91BAF" w:rsidRPr="00327B09">
        <w:t xml:space="preserve"> 154.106 to read as follows:</w:t>
      </w:r>
    </w:p>
    <w:p w14:paraId="7B3C1B98" w14:textId="5885B1B5" w:rsidR="00E91BAF" w:rsidRPr="00327B09" w:rsidRDefault="00E91BAF" w:rsidP="00E91BAF">
      <w:pPr>
        <w:pStyle w:val="FERCparanumber"/>
        <w:numPr>
          <w:ilvl w:val="0"/>
          <w:numId w:val="0"/>
        </w:numPr>
        <w:rPr>
          <w:b/>
        </w:rPr>
      </w:pPr>
      <w:r w:rsidRPr="00327B09">
        <w:rPr>
          <w:b/>
        </w:rPr>
        <w:t>§154.106 Map.</w:t>
      </w:r>
    </w:p>
    <w:p w14:paraId="4BFB8D6E" w14:textId="7D1D897D" w:rsidR="00E91BAF" w:rsidRPr="00327B09" w:rsidRDefault="00E91BAF" w:rsidP="00E91BAF">
      <w:pPr>
        <w:pStyle w:val="FERCparanumber"/>
        <w:numPr>
          <w:ilvl w:val="0"/>
          <w:numId w:val="0"/>
        </w:numPr>
      </w:pPr>
      <w:r w:rsidRPr="00327B09">
        <w:t xml:space="preserve">(a) The tariff must </w:t>
      </w:r>
      <w:r w:rsidR="005F75CC" w:rsidRPr="00327B09">
        <w:t>state a uniform resource locator</w:t>
      </w:r>
      <w:r w:rsidRPr="00327B09">
        <w:t xml:space="preserve"> on the pipeline’s Internet website, </w:t>
      </w:r>
      <w:r w:rsidR="005F75CC" w:rsidRPr="00327B09">
        <w:t>at which the general public may display and download system map(s)</w:t>
      </w:r>
      <w:r w:rsidRPr="00327B09">
        <w:t>.</w:t>
      </w:r>
    </w:p>
    <w:p w14:paraId="0C6D8E81" w14:textId="77777777" w:rsidR="00E91BAF" w:rsidRPr="00327B09" w:rsidRDefault="00E91BAF" w:rsidP="00E91BAF">
      <w:pPr>
        <w:pStyle w:val="FERCparanumber"/>
        <w:numPr>
          <w:ilvl w:val="0"/>
          <w:numId w:val="0"/>
        </w:numPr>
      </w:pPr>
      <w:r w:rsidRPr="00327B09">
        <w:t>(b) The map must show the general geographic location of the company</w:t>
      </w:r>
      <w:r w:rsidR="005F75CC" w:rsidRPr="00327B09">
        <w:t>’</w:t>
      </w:r>
      <w:r w:rsidRPr="00327B09">
        <w:t xml:space="preserve">s principal pipeline facilities and of the points at which service is rendered under the tariff. The boundaries of any rate zones or rate areas must be shown and the areas or zones identified. </w:t>
      </w:r>
      <w:r w:rsidR="002A27FD" w:rsidRPr="00327B09">
        <w:t xml:space="preserve"> </w:t>
      </w:r>
      <w:r w:rsidRPr="00327B09">
        <w:t xml:space="preserve">The entire system should be displayed on a single map. </w:t>
      </w:r>
      <w:r w:rsidR="00241BF1" w:rsidRPr="00327B09">
        <w:t xml:space="preserve"> </w:t>
      </w:r>
      <w:r w:rsidRPr="00327B09">
        <w:t>In addition, a separate map should be provided for each zone.</w:t>
      </w:r>
    </w:p>
    <w:p w14:paraId="6200A0A9" w14:textId="79E8B57B" w:rsidR="008A6F07" w:rsidRPr="0021573D" w:rsidRDefault="00E91BAF" w:rsidP="00F56768">
      <w:pPr>
        <w:pStyle w:val="FERCparanumber"/>
        <w:numPr>
          <w:ilvl w:val="0"/>
          <w:numId w:val="0"/>
        </w:numPr>
      </w:pPr>
      <w:r w:rsidRPr="00327B09">
        <w:lastRenderedPageBreak/>
        <w:t>(</w:t>
      </w:r>
      <w:r w:rsidR="005F75CC" w:rsidRPr="00327B09">
        <w:t>c</w:t>
      </w:r>
      <w:r w:rsidRPr="00327B09">
        <w:t xml:space="preserve">) </w:t>
      </w:r>
      <w:r w:rsidR="005C1D4A" w:rsidRPr="00327B09">
        <w:t xml:space="preserve">The map must be revised to reflect any major change </w:t>
      </w:r>
      <w:r w:rsidR="00231F92">
        <w:t>no later than</w:t>
      </w:r>
      <w:r w:rsidR="00231F92" w:rsidRPr="00327B09">
        <w:t xml:space="preserve"> </w:t>
      </w:r>
      <w:r w:rsidR="005C1D4A" w:rsidRPr="00327B09">
        <w:t>the end of the calendar quarter of the major change.</w:t>
      </w:r>
    </w:p>
    <w:sectPr w:rsidR="008A6F07" w:rsidRPr="0021573D" w:rsidSect="002E3682">
      <w:headerReference w:type="default" r:id="rId24"/>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75AF5" w14:textId="77777777" w:rsidR="00307E4E" w:rsidRDefault="00307E4E">
      <w:r>
        <w:separator/>
      </w:r>
    </w:p>
  </w:endnote>
  <w:endnote w:type="continuationSeparator" w:id="0">
    <w:p w14:paraId="368DCAEB" w14:textId="77777777" w:rsidR="00307E4E" w:rsidRDefault="00307E4E">
      <w:r>
        <w:continuationSeparator/>
      </w:r>
    </w:p>
  </w:endnote>
  <w:endnote w:type="continuationNotice" w:id="1">
    <w:p w14:paraId="588684C7" w14:textId="77777777" w:rsidR="00307E4E" w:rsidRDefault="0030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023B0" w14:textId="77777777" w:rsidR="00307E4E" w:rsidRDefault="00307E4E">
      <w:r>
        <w:separator/>
      </w:r>
    </w:p>
  </w:footnote>
  <w:footnote w:type="continuationSeparator" w:id="0">
    <w:p w14:paraId="6D9173A2" w14:textId="77777777" w:rsidR="00307E4E" w:rsidRDefault="00307E4E">
      <w:r>
        <w:continuationSeparator/>
      </w:r>
    </w:p>
  </w:footnote>
  <w:footnote w:type="continuationNotice" w:id="1">
    <w:p w14:paraId="3141BA41" w14:textId="77777777" w:rsidR="00307E4E" w:rsidRDefault="00307E4E"/>
    <w:p w14:paraId="41932449" w14:textId="77777777" w:rsidR="00307E4E" w:rsidRDefault="00307E4E" w:rsidP="00B32D19">
      <w:pPr>
        <w:jc w:val="right"/>
      </w:pPr>
      <w:r>
        <w:t>(continued…)</w:t>
      </w:r>
    </w:p>
  </w:footnote>
  <w:footnote w:id="2">
    <w:p w14:paraId="31A44AF1" w14:textId="1BFF5B20" w:rsidR="009B554D" w:rsidRDefault="009B554D">
      <w:pPr>
        <w:pStyle w:val="FootnoteText"/>
      </w:pPr>
      <w:r>
        <w:rPr>
          <w:rStyle w:val="FootnoteReference"/>
        </w:rPr>
        <w:footnoteRef/>
      </w:r>
      <w:r>
        <w:t xml:space="preserve"> </w:t>
      </w:r>
      <w:r w:rsidR="00640593" w:rsidRPr="00640593">
        <w:t>15 U.S.C. 717</w:t>
      </w:r>
      <w:r w:rsidR="00640593">
        <w:t>.</w:t>
      </w:r>
    </w:p>
  </w:footnote>
  <w:footnote w:id="3">
    <w:p w14:paraId="6685B56C" w14:textId="284A9BE6" w:rsidR="00080AFA" w:rsidRPr="007D5913" w:rsidRDefault="00080AFA">
      <w:pPr>
        <w:pStyle w:val="FootnoteText"/>
      </w:pPr>
      <w:r w:rsidRPr="007D5913">
        <w:rPr>
          <w:rStyle w:val="FootnoteReference"/>
        </w:rPr>
        <w:footnoteRef/>
      </w:r>
      <w:r w:rsidRPr="007D5913">
        <w:t xml:space="preserve"> 18 CFR</w:t>
      </w:r>
      <w:r w:rsidR="00A53CA9">
        <w:t xml:space="preserve"> </w:t>
      </w:r>
      <w:r w:rsidRPr="007D5913">
        <w:t xml:space="preserve">154.103 </w:t>
      </w:r>
      <w:r w:rsidR="0039254A">
        <w:t>and</w:t>
      </w:r>
      <w:r w:rsidR="0039254A" w:rsidRPr="007D5913">
        <w:t xml:space="preserve"> </w:t>
      </w:r>
      <w:r w:rsidRPr="007D5913">
        <w:t>154.106 (2013).</w:t>
      </w:r>
    </w:p>
  </w:footnote>
  <w:footnote w:id="4">
    <w:p w14:paraId="0FCF6269" w14:textId="6770F4CE" w:rsidR="00080AFA" w:rsidRPr="007D5913" w:rsidRDefault="00080AFA">
      <w:pPr>
        <w:pStyle w:val="FootnoteText"/>
      </w:pPr>
      <w:r w:rsidRPr="007D5913">
        <w:rPr>
          <w:rStyle w:val="FootnoteReference"/>
        </w:rPr>
        <w:footnoteRef/>
      </w:r>
      <w:r w:rsidR="00192CF7">
        <w:t xml:space="preserve"> 18 CFR</w:t>
      </w:r>
      <w:r w:rsidR="00A53CA9">
        <w:t xml:space="preserve"> </w:t>
      </w:r>
      <w:r w:rsidR="00192CF7">
        <w:t>284.12(a)(1)(</w:t>
      </w:r>
      <w:r w:rsidRPr="007D5913">
        <w:t>v) (2013).</w:t>
      </w:r>
    </w:p>
  </w:footnote>
  <w:footnote w:id="5">
    <w:p w14:paraId="7B97EC68" w14:textId="1C44F788" w:rsidR="00DE3DFF" w:rsidRPr="007D5913" w:rsidRDefault="00DE3DFF">
      <w:pPr>
        <w:pStyle w:val="FootnoteText"/>
      </w:pPr>
      <w:r w:rsidRPr="007D5913">
        <w:rPr>
          <w:rStyle w:val="FootnoteReference"/>
        </w:rPr>
        <w:footnoteRef/>
      </w:r>
      <w:r w:rsidRPr="007D5913">
        <w:t xml:space="preserve"> </w:t>
      </w:r>
      <w:r w:rsidRPr="007D5913">
        <w:rPr>
          <w:i/>
        </w:rPr>
        <w:t>Amendment of Regulations and Approved Forms Under the Natural Gas Act, to Prescribe Revised Rules Governing the Form, Composition, Filing, and Posting of Rate Schedules and Tariffs for the Transportation or Sale of Natural Gas Subject to the Jurisdiction of the Commission</w:t>
      </w:r>
      <w:r w:rsidRPr="007D5913">
        <w:t xml:space="preserve">, </w:t>
      </w:r>
      <w:hyperlink r:id="rId1" w:history="1">
        <w:r w:rsidRPr="007D5913">
          <w:rPr>
            <w:rStyle w:val="Hyperlink"/>
          </w:rPr>
          <w:t>Order No. 144</w:t>
        </w:r>
      </w:hyperlink>
      <w:r w:rsidRPr="007D5913">
        <w:t>, 13 FR 6371</w:t>
      </w:r>
      <w:r w:rsidR="0021209F" w:rsidRPr="007D5913">
        <w:t>, 6374</w:t>
      </w:r>
      <w:r w:rsidRPr="007D5913">
        <w:t xml:space="preserve"> (issued Oct. 28, 1948, published Oct. 30, 1948, corrected Nov. 12, 1948).</w:t>
      </w:r>
    </w:p>
  </w:footnote>
  <w:footnote w:id="6">
    <w:p w14:paraId="0E554925" w14:textId="77777777" w:rsidR="00BB04A8" w:rsidRPr="007D5913" w:rsidRDefault="00BB04A8">
      <w:pPr>
        <w:pStyle w:val="FootnoteText"/>
      </w:pPr>
      <w:r w:rsidRPr="007D5913">
        <w:rPr>
          <w:rStyle w:val="FootnoteReference"/>
        </w:rPr>
        <w:footnoteRef/>
      </w:r>
      <w:r w:rsidRPr="007D5913">
        <w:t xml:space="preserve"> </w:t>
      </w:r>
      <w:r w:rsidR="00106C94" w:rsidRPr="007D5913">
        <w:rPr>
          <w:i/>
          <w:iCs/>
        </w:rPr>
        <w:t>Filing and Reporting Requirements for Interstate Natural Gas Company Rate Schedules and Tariffs</w:t>
      </w:r>
      <w:r w:rsidR="00106C94" w:rsidRPr="007D5913">
        <w:t xml:space="preserve">, </w:t>
      </w:r>
      <w:r w:rsidR="00106C94" w:rsidRPr="007D5913">
        <w:rPr>
          <w:rStyle w:val="docsearchterm"/>
        </w:rPr>
        <w:t>Order</w:t>
      </w:r>
      <w:r w:rsidR="00106C94" w:rsidRPr="007D5913">
        <w:t xml:space="preserve"> </w:t>
      </w:r>
      <w:r w:rsidR="00106C94" w:rsidRPr="007D5913">
        <w:rPr>
          <w:rStyle w:val="docsearchterm"/>
        </w:rPr>
        <w:t>No</w:t>
      </w:r>
      <w:r w:rsidR="00106C94" w:rsidRPr="007D5913">
        <w:t xml:space="preserve">. </w:t>
      </w:r>
      <w:r w:rsidR="00106C94" w:rsidRPr="007D5913">
        <w:rPr>
          <w:rStyle w:val="docsearchterm"/>
        </w:rPr>
        <w:t>582</w:t>
      </w:r>
      <w:r w:rsidR="00106C94" w:rsidRPr="007D5913">
        <w:t xml:space="preserve">, </w:t>
      </w:r>
      <w:r w:rsidR="00236E65" w:rsidRPr="007D5913">
        <w:t xml:space="preserve">60 FR 52,960, </w:t>
      </w:r>
      <w:r w:rsidR="00106C94" w:rsidRPr="007D5913">
        <w:rPr>
          <w:iCs/>
        </w:rPr>
        <w:t>FERC Stats</w:t>
      </w:r>
      <w:r w:rsidR="00CA2EB5" w:rsidRPr="007D5913">
        <w:rPr>
          <w:iCs/>
        </w:rPr>
        <w:t>.</w:t>
      </w:r>
      <w:r w:rsidR="00AB5C8F" w:rsidRPr="007D5913">
        <w:rPr>
          <w:iCs/>
        </w:rPr>
        <w:t xml:space="preserve"> &amp;</w:t>
      </w:r>
      <w:r w:rsidR="00106C94" w:rsidRPr="007D5913">
        <w:rPr>
          <w:iCs/>
        </w:rPr>
        <w:t xml:space="preserve"> Regs</w:t>
      </w:r>
      <w:r w:rsidR="00CA2EB5" w:rsidRPr="007D5913">
        <w:rPr>
          <w:iCs/>
        </w:rPr>
        <w:t>.</w:t>
      </w:r>
      <w:r w:rsidR="00106C94" w:rsidRPr="007D5913">
        <w:t xml:space="preserve"> ¶ 31,025 (1995).</w:t>
      </w:r>
    </w:p>
  </w:footnote>
  <w:footnote w:id="7">
    <w:p w14:paraId="78E3D18D" w14:textId="4E0303B9" w:rsidR="00B034AF" w:rsidRPr="007D5913" w:rsidRDefault="00B034AF">
      <w:pPr>
        <w:pStyle w:val="FootnoteText"/>
      </w:pPr>
      <w:r w:rsidRPr="007D5913">
        <w:rPr>
          <w:rStyle w:val="FootnoteReference"/>
        </w:rPr>
        <w:footnoteRef/>
      </w:r>
      <w:r w:rsidRPr="007D5913">
        <w:t xml:space="preserve"> </w:t>
      </w:r>
      <w:r w:rsidRPr="007D5913">
        <w:rPr>
          <w:i/>
          <w:iCs/>
        </w:rPr>
        <w:t>Electronic Tariff Filings</w:t>
      </w:r>
      <w:r w:rsidRPr="007D5913">
        <w:t xml:space="preserve">, Order No. 714, 73 FR 57,515, FERC Stats. &amp; Regs. </w:t>
      </w:r>
      <w:r w:rsidR="00B32D19">
        <w:br/>
      </w:r>
      <w:r w:rsidRPr="007D5913">
        <w:t>¶ 31,276 (2008)</w:t>
      </w:r>
      <w:r w:rsidR="00110C2A" w:rsidRPr="00110C2A">
        <w:t xml:space="preserve"> </w:t>
      </w:r>
      <w:r w:rsidR="00110C2A">
        <w:rPr>
          <w:i/>
        </w:rPr>
        <w:t>clarified</w:t>
      </w:r>
      <w:r w:rsidR="00110C2A">
        <w:t>, Order No. 714-A, 147 FERC ¶ 61,115 (2014)</w:t>
      </w:r>
      <w:r w:rsidR="005B2A45" w:rsidRPr="007D5913">
        <w:t>.</w:t>
      </w:r>
    </w:p>
  </w:footnote>
  <w:footnote w:id="8">
    <w:p w14:paraId="11B2277D" w14:textId="2F8ECADD" w:rsidR="000C4EE4" w:rsidRPr="007D5913" w:rsidRDefault="000C4EE4">
      <w:pPr>
        <w:pStyle w:val="FootnoteText"/>
      </w:pPr>
      <w:r w:rsidRPr="007D5913">
        <w:rPr>
          <w:rStyle w:val="FootnoteReference"/>
        </w:rPr>
        <w:footnoteRef/>
      </w:r>
      <w:r w:rsidRPr="007D5913">
        <w:t xml:space="preserve"> 18 CFR 154.106.</w:t>
      </w:r>
    </w:p>
  </w:footnote>
  <w:footnote w:id="9">
    <w:p w14:paraId="7AA1AC17" w14:textId="034FADD8" w:rsidR="004421EC" w:rsidRPr="007D5913" w:rsidRDefault="004421EC">
      <w:pPr>
        <w:pStyle w:val="FootnoteText"/>
      </w:pPr>
      <w:r w:rsidRPr="007D5913">
        <w:rPr>
          <w:rStyle w:val="FootnoteReference"/>
        </w:rPr>
        <w:footnoteRef/>
      </w:r>
      <w:r w:rsidR="00A53CA9">
        <w:rPr>
          <w:szCs w:val="24"/>
        </w:rPr>
        <w:t xml:space="preserve"> </w:t>
      </w:r>
      <w:r w:rsidRPr="007D5913">
        <w:rPr>
          <w:szCs w:val="24"/>
        </w:rPr>
        <w:t>Order No. 714</w:t>
      </w:r>
      <w:r w:rsidR="00B32D19">
        <w:rPr>
          <w:szCs w:val="24"/>
        </w:rPr>
        <w:t xml:space="preserve">, </w:t>
      </w:r>
      <w:r w:rsidR="00B32D19" w:rsidRPr="007D5913">
        <w:t>FERC Stats. &amp; Regs. ¶ 31,276</w:t>
      </w:r>
      <w:r w:rsidR="00110C2A">
        <w:rPr>
          <w:szCs w:val="24"/>
        </w:rPr>
        <w:t xml:space="preserve"> at P 1</w:t>
      </w:r>
      <w:r w:rsidR="00A33BF9">
        <w:rPr>
          <w:szCs w:val="24"/>
        </w:rPr>
        <w:t>.</w:t>
      </w:r>
    </w:p>
  </w:footnote>
  <w:footnote w:id="10">
    <w:p w14:paraId="2753EBB6" w14:textId="11B598BC" w:rsidR="00665BFC" w:rsidRPr="007D5913" w:rsidRDefault="00665BFC">
      <w:pPr>
        <w:pStyle w:val="FootnoteText"/>
      </w:pPr>
      <w:r w:rsidRPr="007D5913">
        <w:rPr>
          <w:rStyle w:val="FootnoteReference"/>
        </w:rPr>
        <w:footnoteRef/>
      </w:r>
      <w:r w:rsidRPr="007D5913">
        <w:t xml:space="preserve"> 18</w:t>
      </w:r>
      <w:r w:rsidR="0021573D">
        <w:t xml:space="preserve"> CFR 284.12(a)(1)(v).</w:t>
      </w:r>
    </w:p>
  </w:footnote>
  <w:footnote w:id="11">
    <w:p w14:paraId="59867A9C" w14:textId="1995C0C1" w:rsidR="00665BFC" w:rsidRPr="007D5913" w:rsidRDefault="00665BFC">
      <w:pPr>
        <w:pStyle w:val="FootnoteText"/>
      </w:pPr>
      <w:r w:rsidRPr="007D5913">
        <w:rPr>
          <w:rStyle w:val="FootnoteReference"/>
        </w:rPr>
        <w:footnoteRef/>
      </w:r>
      <w:r w:rsidRPr="007D5913">
        <w:t xml:space="preserve"> </w:t>
      </w:r>
      <w:r w:rsidRPr="007D5913">
        <w:rPr>
          <w:i/>
        </w:rPr>
        <w:t>See Implementation Guide for Electronic Filing of Parts 35, 154, 284, 300, and 341 Tariff Filings</w:t>
      </w:r>
      <w:r w:rsidRPr="007D5913">
        <w:t xml:space="preserve"> (April 29, 2014) Data Dictionary, Record Binary Data, </w:t>
      </w:r>
      <w:r w:rsidRPr="0072492D">
        <w:rPr>
          <w:i/>
        </w:rPr>
        <w:t>available at</w:t>
      </w:r>
      <w:r w:rsidRPr="007D5913">
        <w:t xml:space="preserve"> </w:t>
      </w:r>
      <w:r w:rsidR="0021573D">
        <w:t>&lt;</w:t>
      </w:r>
      <w:hyperlink r:id="rId2" w:history="1">
        <w:r w:rsidRPr="00B32D19">
          <w:rPr>
            <w:rStyle w:val="Hyperlink"/>
            <w:u w:val="none"/>
          </w:rPr>
          <w:t>http://www.ferc.gov/docs-filing/etariff/implementation-guide.pdf</w:t>
        </w:r>
      </w:hyperlink>
      <w:r w:rsidR="0021573D">
        <w:t>&gt;</w:t>
      </w:r>
      <w:r w:rsidRPr="007D5913">
        <w:t xml:space="preserve">. </w:t>
      </w:r>
    </w:p>
  </w:footnote>
  <w:footnote w:id="12">
    <w:p w14:paraId="171A962E" w14:textId="77777777" w:rsidR="004421EC" w:rsidRPr="007D5913" w:rsidRDefault="004421EC">
      <w:pPr>
        <w:pStyle w:val="FootnoteText"/>
      </w:pPr>
      <w:r w:rsidRPr="007D5913">
        <w:rPr>
          <w:rStyle w:val="FootnoteReference"/>
        </w:rPr>
        <w:footnoteRef/>
      </w:r>
      <w:r w:rsidRPr="007D5913">
        <w:t xml:space="preserve"> </w:t>
      </w:r>
      <w:r w:rsidR="00665BFC" w:rsidRPr="007D5913">
        <w:rPr>
          <w:i/>
        </w:rPr>
        <w:t xml:space="preserve">Id. </w:t>
      </w:r>
      <w:r w:rsidR="00665BFC" w:rsidRPr="007D5913">
        <w:t xml:space="preserve">at Data Dictionary, Record Content Type Code.  </w:t>
      </w:r>
      <w:r w:rsidRPr="007D5913">
        <w:rPr>
          <w:szCs w:val="24"/>
        </w:rPr>
        <w:t>RTF refers to Rich Text Format which is a standardized textual formal that can be produced by a number of word processors.  PDF refers to Portable Document Format, which is a format used for representing documents that closely resembles the original formatting of the document.</w:t>
      </w:r>
      <w:r w:rsidR="00EE3D1B" w:rsidRPr="007D5913">
        <w:rPr>
          <w:szCs w:val="24"/>
        </w:rPr>
        <w:t xml:space="preserve"> </w:t>
      </w:r>
    </w:p>
  </w:footnote>
  <w:footnote w:id="13">
    <w:p w14:paraId="5F9FC500" w14:textId="0ADDDB43" w:rsidR="00327B09" w:rsidRPr="00327B09" w:rsidRDefault="00327B09">
      <w:pPr>
        <w:pStyle w:val="FootnoteText"/>
      </w:pPr>
      <w:r>
        <w:rPr>
          <w:rStyle w:val="FootnoteReference"/>
        </w:rPr>
        <w:footnoteRef/>
      </w:r>
      <w:r>
        <w:t xml:space="preserve"> </w:t>
      </w:r>
      <w:r w:rsidRPr="0021573D">
        <w:t xml:space="preserve">Currently, section 4 of the Natural Gas Act obligates pipelines to announce the proposed tariff changes to terms, conditions, and rates at least 30 days </w:t>
      </w:r>
      <w:r w:rsidRPr="005C1D4A">
        <w:rPr>
          <w:i/>
        </w:rPr>
        <w:t xml:space="preserve">before </w:t>
      </w:r>
      <w:r w:rsidRPr="0021573D">
        <w:t>the change goes into effect</w:t>
      </w:r>
      <w:r>
        <w:t xml:space="preserve">.  Pipelines often include maps with these filings in order to meet the burden of demonstrating justness and reasonableness.  Most filings under section 7 of </w:t>
      </w:r>
      <w:r w:rsidR="003C4053">
        <w:br/>
      </w:r>
      <w:r>
        <w:t xml:space="preserve">the Natural Gas Act expressly require a map, as per Commission regulations.  </w:t>
      </w:r>
      <w:r>
        <w:rPr>
          <w:i/>
        </w:rPr>
        <w:t>E.g.</w:t>
      </w:r>
      <w:r>
        <w:t xml:space="preserve">, </w:t>
      </w:r>
      <w:r w:rsidR="003C4053">
        <w:br/>
      </w:r>
      <w:r>
        <w:t>18 CFR</w:t>
      </w:r>
      <w:r w:rsidR="00A53CA9">
        <w:t xml:space="preserve"> </w:t>
      </w:r>
      <w:r>
        <w:t>157.208, 157.211, 157.213, 157.214, 157.215, 157.216 (2013).</w:t>
      </w:r>
    </w:p>
  </w:footnote>
  <w:footnote w:id="14">
    <w:p w14:paraId="72001E93" w14:textId="7C315CB2" w:rsidR="00EE3D1B" w:rsidRPr="007D5913" w:rsidRDefault="00EE3D1B">
      <w:pPr>
        <w:pStyle w:val="FootnoteText"/>
      </w:pPr>
      <w:r w:rsidRPr="007D5913">
        <w:rPr>
          <w:rStyle w:val="FootnoteReference"/>
        </w:rPr>
        <w:footnoteRef/>
      </w:r>
      <w:r w:rsidRPr="007D5913">
        <w:t xml:space="preserve"> </w:t>
      </w:r>
      <w:r w:rsidR="00D35623" w:rsidRPr="007D5913">
        <w:t xml:space="preserve">“Calendar quarter” has its standard meaning, as used, </w:t>
      </w:r>
      <w:r w:rsidR="00D35623" w:rsidRPr="007D5913">
        <w:rPr>
          <w:i/>
        </w:rPr>
        <w:t>e.g.</w:t>
      </w:r>
      <w:r w:rsidR="00D35623" w:rsidRPr="007D5913">
        <w:t>, in 18 CFR 141.400 and 284.126</w:t>
      </w:r>
      <w:r w:rsidR="00383868" w:rsidRPr="007D5913">
        <w:t xml:space="preserve"> (2013)</w:t>
      </w:r>
      <w:r w:rsidR="00080AFA" w:rsidRPr="007D5913">
        <w:t xml:space="preserve">: </w:t>
      </w:r>
      <w:r w:rsidR="003C4053">
        <w:t xml:space="preserve"> </w:t>
      </w:r>
      <w:r w:rsidR="00D35623" w:rsidRPr="007D5913">
        <w:t>January 1 through March 31, April 1 through June 30, July 1 through September 30, and October 1 through December 31.</w:t>
      </w:r>
    </w:p>
  </w:footnote>
  <w:footnote w:id="15">
    <w:p w14:paraId="09A1F2A1" w14:textId="1AFC8ECF" w:rsidR="001D18FE" w:rsidRPr="007D5913" w:rsidRDefault="001D18FE">
      <w:pPr>
        <w:pStyle w:val="FootnoteText"/>
      </w:pPr>
      <w:r w:rsidRPr="007D5913">
        <w:rPr>
          <w:rStyle w:val="FootnoteReference"/>
        </w:rPr>
        <w:footnoteRef/>
      </w:r>
      <w:r w:rsidRPr="007D5913">
        <w:t xml:space="preserve"> 18 CFR 260.8 (2013)</w:t>
      </w:r>
    </w:p>
  </w:footnote>
  <w:footnote w:id="16">
    <w:p w14:paraId="24E5BC51" w14:textId="1FC61AD2" w:rsidR="001D18FE" w:rsidRPr="007D5913" w:rsidRDefault="001D18FE">
      <w:pPr>
        <w:pStyle w:val="FootnoteText"/>
      </w:pPr>
      <w:r w:rsidRPr="007D5913">
        <w:rPr>
          <w:rStyle w:val="FootnoteReference"/>
        </w:rPr>
        <w:footnoteRef/>
      </w:r>
      <w:r w:rsidRPr="007D5913">
        <w:t xml:space="preserve"> 18 CFR 157.14(a)(6) through (9) (2013).</w:t>
      </w:r>
    </w:p>
  </w:footnote>
  <w:footnote w:id="17">
    <w:p w14:paraId="1C764140" w14:textId="003F4E46" w:rsidR="001D18FE" w:rsidRPr="007D5913" w:rsidRDefault="001D18FE">
      <w:pPr>
        <w:pStyle w:val="FootnoteText"/>
      </w:pPr>
      <w:r w:rsidRPr="007D5913">
        <w:rPr>
          <w:rStyle w:val="FootnoteReference"/>
        </w:rPr>
        <w:footnoteRef/>
      </w:r>
      <w:r w:rsidRPr="007D5913">
        <w:t xml:space="preserve"> 18 CFR</w:t>
      </w:r>
      <w:r w:rsidR="00A53CA9">
        <w:t xml:space="preserve"> </w:t>
      </w:r>
      <w:r w:rsidRPr="007D5913">
        <w:t>157.18(c) and (g) (2013).</w:t>
      </w:r>
    </w:p>
  </w:footnote>
  <w:footnote w:id="18">
    <w:p w14:paraId="66EA039F" w14:textId="3AC0509A" w:rsidR="00997623" w:rsidRPr="007D5913" w:rsidRDefault="00997623" w:rsidP="00997623">
      <w:pPr>
        <w:pStyle w:val="FootnoteText"/>
        <w:rPr>
          <w:sz w:val="20"/>
        </w:rPr>
      </w:pPr>
      <w:r w:rsidRPr="00FD7016">
        <w:rPr>
          <w:rStyle w:val="FootnoteReference"/>
        </w:rPr>
        <w:footnoteRef/>
      </w:r>
      <w:r w:rsidRPr="00500492">
        <w:rPr>
          <w:b/>
          <w:szCs w:val="26"/>
          <w:vertAlign w:val="superscript"/>
        </w:rPr>
        <w:t xml:space="preserve"> </w:t>
      </w:r>
      <w:r w:rsidRPr="00500492">
        <w:rPr>
          <w:szCs w:val="26"/>
        </w:rPr>
        <w:t xml:space="preserve">The estimates for Total Annual Cost are derived using the following formula: </w:t>
      </w:r>
      <w:r w:rsidR="007715FF">
        <w:rPr>
          <w:szCs w:val="26"/>
        </w:rPr>
        <w:t xml:space="preserve"> </w:t>
      </w:r>
      <w:r w:rsidRPr="00500492">
        <w:rPr>
          <w:szCs w:val="26"/>
        </w:rPr>
        <w:t xml:space="preserve">Total Annual Burden Hours * $ per Hour = Total Annual Cost.  For the one-time tariff filing the hourly loaded (wage plus benefits) wage is $128 and is based on the loaded wage of an attorney.  For the burden reduction and additional updates the hourly loaded wage is $61 and is based on the loaded wage of a civil engineer and a computer/math specialist.  The hourly wage figures come from the Bureau of Labor Statistics (BLS) at </w:t>
      </w:r>
      <w:hyperlink r:id="rId3" w:history="1">
        <w:r w:rsidRPr="00E76860">
          <w:rPr>
            <w:rStyle w:val="Hyperlink"/>
            <w:szCs w:val="26"/>
            <w:u w:val="none"/>
          </w:rPr>
          <w:t>http://www.bls.gov/oes/current/naics2_22.htm</w:t>
        </w:r>
      </w:hyperlink>
      <w:r w:rsidRPr="00500492">
        <w:rPr>
          <w:szCs w:val="26"/>
        </w:rPr>
        <w:t xml:space="preserve">&gt; and the benefits are calculated using BLS information at </w:t>
      </w:r>
      <w:hyperlink r:id="rId4" w:history="1">
        <w:r w:rsidRPr="00E76860">
          <w:rPr>
            <w:rStyle w:val="Hyperlink"/>
            <w:szCs w:val="26"/>
            <w:u w:val="none"/>
          </w:rPr>
          <w:t>http://www.bls.gov/news.release/ecec.nr0.htm</w:t>
        </w:r>
      </w:hyperlink>
      <w:r w:rsidRPr="00500492">
        <w:rPr>
          <w:szCs w:val="26"/>
        </w:rPr>
        <w:t xml:space="preserve">&gt;. </w:t>
      </w:r>
      <w:r w:rsidR="007715FF">
        <w:rPr>
          <w:szCs w:val="26"/>
        </w:rPr>
        <w:t xml:space="preserve"> </w:t>
      </w:r>
      <w:r w:rsidRPr="00500492">
        <w:rPr>
          <w:szCs w:val="26"/>
        </w:rPr>
        <w:t>Each response to the proposed regulation in Column A is expected to correspond to a unique respondent.  As a result, total number of responses equals the expected total number of respondents.</w:t>
      </w:r>
      <w:r>
        <w:rPr>
          <w:sz w:val="20"/>
        </w:rPr>
        <w:t xml:space="preserve"> </w:t>
      </w:r>
    </w:p>
  </w:footnote>
  <w:footnote w:id="19">
    <w:p w14:paraId="691904F6" w14:textId="2BD359C1" w:rsidR="00794F3A" w:rsidRPr="007D5913" w:rsidRDefault="00794F3A">
      <w:pPr>
        <w:pStyle w:val="FootnoteText"/>
      </w:pPr>
      <w:r w:rsidRPr="007D5913">
        <w:rPr>
          <w:rStyle w:val="FootnoteReference"/>
        </w:rPr>
        <w:footnoteRef/>
      </w:r>
      <w:r w:rsidRPr="007D5913">
        <w:t xml:space="preserve"> </w:t>
      </w:r>
      <w:r w:rsidRPr="007D5913">
        <w:rPr>
          <w:i/>
          <w:iCs/>
          <w:szCs w:val="26"/>
        </w:rPr>
        <w:t>Regulations Implementing the National Environmental Policy Act of 1969</w:t>
      </w:r>
      <w:r w:rsidRPr="007D5913">
        <w:rPr>
          <w:szCs w:val="26"/>
        </w:rPr>
        <w:t xml:space="preserve">, </w:t>
      </w:r>
      <w:hyperlink r:id="rId5" w:history="1">
        <w:r w:rsidRPr="007D5913">
          <w:rPr>
            <w:szCs w:val="24"/>
          </w:rPr>
          <w:t>Order No. 486</w:t>
        </w:r>
      </w:hyperlink>
      <w:r w:rsidRPr="007D5913">
        <w:rPr>
          <w:szCs w:val="26"/>
        </w:rPr>
        <w:t xml:space="preserve">, </w:t>
      </w:r>
      <w:r w:rsidR="007D5913" w:rsidRPr="007D5913">
        <w:rPr>
          <w:szCs w:val="26"/>
        </w:rPr>
        <w:t xml:space="preserve">FERC Stats. &amp; Regs. ¶ </w:t>
      </w:r>
      <w:hyperlink r:id="rId6" w:history="1">
        <w:r w:rsidRPr="007D5913">
          <w:rPr>
            <w:szCs w:val="24"/>
          </w:rPr>
          <w:t>30,783</w:t>
        </w:r>
      </w:hyperlink>
      <w:r w:rsidRPr="007D5913">
        <w:rPr>
          <w:szCs w:val="26"/>
        </w:rPr>
        <w:t xml:space="preserve"> (1987).</w:t>
      </w:r>
    </w:p>
  </w:footnote>
  <w:footnote w:id="20">
    <w:p w14:paraId="7FE0443B" w14:textId="49FED2DB" w:rsidR="00794F3A" w:rsidRPr="007D5913" w:rsidRDefault="00794F3A">
      <w:pPr>
        <w:pStyle w:val="FootnoteText"/>
      </w:pPr>
      <w:r w:rsidRPr="007D5913">
        <w:rPr>
          <w:rStyle w:val="FootnoteReference"/>
        </w:rPr>
        <w:footnoteRef/>
      </w:r>
      <w:r w:rsidRPr="007D5913">
        <w:t xml:space="preserve"> </w:t>
      </w:r>
      <w:r w:rsidRPr="007D5913">
        <w:rPr>
          <w:szCs w:val="26"/>
          <w:u w:color="0000FF"/>
        </w:rPr>
        <w:t>18 CFR</w:t>
      </w:r>
      <w:r w:rsidR="00192CF7">
        <w:rPr>
          <w:szCs w:val="26"/>
          <w:u w:color="0000FF"/>
        </w:rPr>
        <w:t xml:space="preserve"> </w:t>
      </w:r>
      <w:r w:rsidRPr="007D5913">
        <w:rPr>
          <w:szCs w:val="26"/>
          <w:u w:color="0000FF"/>
        </w:rPr>
        <w:t>380.4</w:t>
      </w:r>
      <w:r w:rsidR="007D5913" w:rsidRPr="007D5913">
        <w:rPr>
          <w:szCs w:val="26"/>
          <w:u w:color="0000FF"/>
        </w:rPr>
        <w:t xml:space="preserve"> (2013)</w:t>
      </w:r>
      <w:r w:rsidRPr="007D5913">
        <w:rPr>
          <w:szCs w:val="26"/>
        </w:rPr>
        <w:t>.</w:t>
      </w:r>
    </w:p>
  </w:footnote>
  <w:footnote w:id="21">
    <w:p w14:paraId="59A676BB" w14:textId="43F174EC" w:rsidR="00794F3A" w:rsidRPr="007D5913" w:rsidRDefault="000B7D7C" w:rsidP="000B7D7C">
      <w:pPr>
        <w:pStyle w:val="FootnoteText"/>
        <w:rPr>
          <w:rFonts w:ascii="Times" w:hAnsi="Times" w:cs="Times"/>
          <w:sz w:val="11"/>
          <w:szCs w:val="11"/>
        </w:rPr>
      </w:pPr>
      <w:r w:rsidRPr="007D5913">
        <w:rPr>
          <w:rStyle w:val="FootnoteReference"/>
        </w:rPr>
        <w:footnoteRef/>
      </w:r>
      <w:r w:rsidRPr="007D5913">
        <w:t xml:space="preserve"> </w:t>
      </w:r>
      <w:r w:rsidRPr="007D5913">
        <w:rPr>
          <w:i/>
          <w:iCs/>
        </w:rPr>
        <w:t>See</w:t>
      </w:r>
      <w:r w:rsidRPr="007D5913">
        <w:t xml:space="preserve"> 18 CFR</w:t>
      </w:r>
      <w:r w:rsidR="00A53CA9">
        <w:t xml:space="preserve"> </w:t>
      </w:r>
      <w:r w:rsidRPr="007D5913">
        <w:t>380.4(a)(2)(ii), 380.4(a)(5), 380.4(a)(27)</w:t>
      </w:r>
      <w:r w:rsidR="007D5913">
        <w:t xml:space="preserve"> (2013).</w:t>
      </w:r>
    </w:p>
  </w:footnote>
  <w:footnote w:id="22">
    <w:p w14:paraId="6225C1F8" w14:textId="4B7BE2E7" w:rsidR="00794F3A" w:rsidRPr="007D5913" w:rsidRDefault="00794F3A" w:rsidP="00794F3A">
      <w:pPr>
        <w:pStyle w:val="FootnoteText"/>
      </w:pPr>
      <w:r w:rsidRPr="007D5913">
        <w:rPr>
          <w:rStyle w:val="FootnoteReference"/>
        </w:rPr>
        <w:footnoteRef/>
      </w:r>
      <w:r w:rsidRPr="007D5913">
        <w:t xml:space="preserve"> </w:t>
      </w:r>
      <w:r w:rsidRPr="007D5913">
        <w:rPr>
          <w:szCs w:val="26"/>
        </w:rPr>
        <w:t>5 U.S.C. 601-612.</w:t>
      </w:r>
    </w:p>
  </w:footnote>
  <w:footnote w:id="23">
    <w:p w14:paraId="5D8F1F5C" w14:textId="55C7DD78" w:rsidR="00794F3A" w:rsidRPr="007D5913" w:rsidRDefault="00794F3A">
      <w:pPr>
        <w:pStyle w:val="FootnoteText"/>
      </w:pPr>
      <w:r w:rsidRPr="007D5913">
        <w:rPr>
          <w:rStyle w:val="FootnoteReference"/>
        </w:rPr>
        <w:footnoteRef/>
      </w:r>
      <w:r w:rsidRPr="007D5913">
        <w:t xml:space="preserve"> </w:t>
      </w:r>
      <w:r w:rsidRPr="007D5913">
        <w:rPr>
          <w:szCs w:val="26"/>
        </w:rPr>
        <w:t>13 CFR</w:t>
      </w:r>
      <w:r w:rsidR="00A53CA9">
        <w:rPr>
          <w:szCs w:val="26"/>
        </w:rPr>
        <w:t xml:space="preserve"> </w:t>
      </w:r>
      <w:r w:rsidRPr="007D5913">
        <w:rPr>
          <w:szCs w:val="26"/>
        </w:rPr>
        <w:t>121.101</w:t>
      </w:r>
      <w:r w:rsidR="007D5913">
        <w:rPr>
          <w:szCs w:val="26"/>
        </w:rPr>
        <w:t xml:space="preserve"> (2013)</w:t>
      </w:r>
      <w:r w:rsidRPr="007D5913">
        <w:rPr>
          <w:szCs w:val="26"/>
        </w:rPr>
        <w:t>.</w:t>
      </w:r>
    </w:p>
  </w:footnote>
  <w:footnote w:id="24">
    <w:p w14:paraId="56B2E536" w14:textId="4DB81277" w:rsidR="00794F3A" w:rsidRPr="007D5913" w:rsidRDefault="00794F3A">
      <w:pPr>
        <w:pStyle w:val="FootnoteText"/>
      </w:pPr>
      <w:r w:rsidRPr="007D5913">
        <w:rPr>
          <w:rStyle w:val="FootnoteReference"/>
        </w:rPr>
        <w:footnoteRef/>
      </w:r>
      <w:r w:rsidRPr="007D5913">
        <w:t xml:space="preserve"> </w:t>
      </w:r>
      <w:r w:rsidRPr="007D5913">
        <w:rPr>
          <w:szCs w:val="26"/>
        </w:rPr>
        <w:t>13 CFR</w:t>
      </w:r>
      <w:r w:rsidR="00A53CA9">
        <w:rPr>
          <w:szCs w:val="26"/>
        </w:rPr>
        <w:t xml:space="preserve"> </w:t>
      </w:r>
      <w:r w:rsidRPr="007D5913">
        <w:rPr>
          <w:szCs w:val="26"/>
        </w:rPr>
        <w:t>121.201, subsection 486.</w:t>
      </w:r>
    </w:p>
  </w:footnote>
  <w:footnote w:id="25">
    <w:p w14:paraId="772060AE" w14:textId="77777777" w:rsidR="007D5913" w:rsidRDefault="007D5913" w:rsidP="007D5913">
      <w:pPr>
        <w:pStyle w:val="FootnoteText"/>
      </w:pPr>
      <w:r w:rsidRPr="000B7D7C">
        <w:rPr>
          <w:rStyle w:val="FootnoteReference"/>
        </w:rPr>
        <w:footnoteRef/>
      </w:r>
      <w:r>
        <w:t xml:space="preserve"> </w:t>
      </w:r>
      <w:r w:rsidRPr="00CC311D">
        <w:rPr>
          <w:i/>
          <w:color w:val="000000"/>
          <w:szCs w:val="26"/>
        </w:rPr>
        <w:t>See</w:t>
      </w:r>
      <w:r>
        <w:rPr>
          <w:color w:val="000000"/>
          <w:szCs w:val="26"/>
        </w:rPr>
        <w:t xml:space="preserve"> the Information Collection section for further explanation.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052CC" w14:textId="77777777" w:rsidR="002E3682" w:rsidRDefault="002E3682" w:rsidP="00450E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736B">
      <w:rPr>
        <w:rStyle w:val="PageNumber"/>
        <w:noProof/>
      </w:rPr>
      <w:t>- 16 -</w:t>
    </w:r>
    <w:r>
      <w:rPr>
        <w:rStyle w:val="PageNumber"/>
      </w:rPr>
      <w:fldChar w:fldCharType="end"/>
    </w:r>
  </w:p>
  <w:p w14:paraId="142558DE" w14:textId="77777777" w:rsidR="002E3682" w:rsidRDefault="002E3682" w:rsidP="00450E1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CF096" w14:textId="77777777" w:rsidR="002E3682" w:rsidRDefault="002E3682" w:rsidP="00450E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736B">
      <w:rPr>
        <w:rStyle w:val="PageNumber"/>
        <w:noProof/>
      </w:rPr>
      <w:t>16</w:t>
    </w:r>
    <w:r>
      <w:rPr>
        <w:rStyle w:val="PageNumber"/>
      </w:rPr>
      <w:fldChar w:fldCharType="end"/>
    </w:r>
  </w:p>
  <w:p w14:paraId="178689BB" w14:textId="77777777" w:rsidR="002E3682" w:rsidRDefault="002E3682" w:rsidP="00450E17">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DFCBE" w14:textId="77777777" w:rsidR="002E3682" w:rsidRPr="00E349E6" w:rsidRDefault="002E3682" w:rsidP="00450E17">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11DA8" w14:textId="77777777" w:rsidR="002E3682" w:rsidRPr="0043529B" w:rsidRDefault="002E3682" w:rsidP="0043529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A0FAA" w14:textId="50E22336" w:rsidR="00692769" w:rsidRDefault="0043529B" w:rsidP="0025400C">
    <w:pPr>
      <w:pStyle w:val="Header"/>
      <w:spacing w:after="240"/>
    </w:pPr>
    <w:r w:rsidRPr="0043529B">
      <w:t>D</w:t>
    </w:r>
    <w:r>
      <w:t xml:space="preserve">ocket No. </w:t>
    </w:r>
    <w:r w:rsidRPr="0043529B">
      <w:t>RM14-</w:t>
    </w:r>
    <w:r w:rsidR="006C0B36">
      <w:t>21</w:t>
    </w:r>
    <w:r w:rsidRPr="0043529B">
      <w:t>-000</w:t>
    </w:r>
    <w:r w:rsidR="0025400C">
      <w:tab/>
    </w:r>
    <w:r w:rsidR="0025400C">
      <w:fldChar w:fldCharType="begin"/>
    </w:r>
    <w:r w:rsidR="0025400C">
      <w:instrText xml:space="preserve"> PAGE  \* MERGEFORMAT </w:instrText>
    </w:r>
    <w:r w:rsidR="0025400C">
      <w:fldChar w:fldCharType="separate"/>
    </w:r>
    <w:r w:rsidR="00BB59FF">
      <w:rPr>
        <w:noProof/>
      </w:rPr>
      <w:t>- 18 -</w:t>
    </w:r>
    <w:r w:rsidR="0025400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1E416194"/>
    <w:multiLevelType w:val="multilevel"/>
    <w:tmpl w:val="ACDCF5A0"/>
    <w:lvl w:ilvl="0">
      <w:start w:val="1"/>
      <w:numFmt w:val="upperRoman"/>
      <w:lvlRestart w:val="0"/>
      <w:lvlText w:val="%1."/>
      <w:lvlJc w:val="left"/>
      <w:pPr>
        <w:tabs>
          <w:tab w:val="num" w:pos="720"/>
        </w:tabs>
        <w:ind w:left="720" w:hanging="720"/>
      </w:pPr>
      <w:rPr>
        <w:b/>
      </w:r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tplc="F6A24E1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tplc="C41C00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202536"/>
    <w:multiLevelType w:val="multilevel"/>
    <w:tmpl w:val="A4087ACE"/>
    <w:lvl w:ilvl="0">
      <w:start w:val="1"/>
      <w:numFmt w:val="upperRoman"/>
      <w:lvlRestart w:val="0"/>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080"/>
        </w:tabs>
        <w:ind w:left="1440" w:hanging="72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lowerLetter"/>
      <w:pStyle w:val="Heading4"/>
      <w:lvlText w:val="%4."/>
      <w:lvlJc w:val="left"/>
      <w:pPr>
        <w:tabs>
          <w:tab w:val="num" w:pos="1800"/>
        </w:tabs>
        <w:ind w:left="1800" w:hanging="720"/>
      </w:pPr>
      <w:rPr>
        <w:rFonts w:hint="default"/>
      </w:rPr>
    </w:lvl>
    <w:lvl w:ilvl="4">
      <w:start w:val="1"/>
      <w:numFmt w:val="lowerRoman"/>
      <w:pStyle w:val="Heading5"/>
      <w:lvlText w:val="%5."/>
      <w:lvlJc w:val="left"/>
      <w:pPr>
        <w:tabs>
          <w:tab w:val="num" w:pos="2160"/>
        </w:tabs>
        <w:ind w:left="2160" w:hanging="720"/>
      </w:pPr>
      <w:rPr>
        <w:rFonts w:hint="default"/>
      </w:rPr>
    </w:lvl>
    <w:lvl w:ilvl="5">
      <w:start w:val="1"/>
      <w:numFmt w:val="lowerLetter"/>
      <w:pStyle w:val="Heading6"/>
      <w:lvlText w:val="(%6)"/>
      <w:lvlJc w:val="left"/>
      <w:pPr>
        <w:tabs>
          <w:tab w:val="num" w:pos="2520"/>
        </w:tabs>
        <w:ind w:left="2520" w:hanging="720"/>
      </w:pPr>
      <w:rPr>
        <w:rFonts w:hint="default"/>
      </w:rPr>
    </w:lvl>
    <w:lvl w:ilvl="6">
      <w:start w:val="1"/>
      <w:numFmt w:val="decimal"/>
      <w:pStyle w:val="Heading7"/>
      <w:lvlText w:val="(%7)"/>
      <w:lvlJc w:val="left"/>
      <w:pPr>
        <w:tabs>
          <w:tab w:val="num" w:pos="2880"/>
        </w:tabs>
        <w:ind w:left="2880" w:hanging="720"/>
      </w:pPr>
      <w:rPr>
        <w:rFonts w:hint="default"/>
      </w:rPr>
    </w:lvl>
    <w:lvl w:ilvl="7">
      <w:start w:val="1"/>
      <w:numFmt w:val="lowerRoman"/>
      <w:pStyle w:val="Heading8"/>
      <w:lvlText w:val="(%8)"/>
      <w:lvlJc w:val="left"/>
      <w:pPr>
        <w:tabs>
          <w:tab w:val="num" w:pos="3240"/>
        </w:tabs>
        <w:ind w:left="3240" w:hanging="720"/>
      </w:pPr>
      <w:rPr>
        <w:rFonts w:hint="default"/>
      </w:rPr>
    </w:lvl>
    <w:lvl w:ilvl="8">
      <w:start w:val="1"/>
      <w:numFmt w:val="decimalZero"/>
      <w:pStyle w:val="Heading9"/>
      <w:lvlText w:val="(%9)"/>
      <w:lvlJc w:val="left"/>
      <w:pPr>
        <w:tabs>
          <w:tab w:val="num" w:pos="3600"/>
        </w:tabs>
        <w:ind w:left="3600" w:hanging="720"/>
      </w:pPr>
      <w:rPr>
        <w:rFonts w:hint="default"/>
      </w:rPr>
    </w:lvl>
  </w:abstractNum>
  <w:abstractNum w:abstractNumId="15">
    <w:nsid w:val="4BEF59D1"/>
    <w:multiLevelType w:val="hybridMultilevel"/>
    <w:tmpl w:val="8F10E850"/>
    <w:lvl w:ilvl="0" w:tplc="3C32BE6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EE719D3"/>
    <w:multiLevelType w:val="hybridMultilevel"/>
    <w:tmpl w:val="B9A2F77C"/>
    <w:lvl w:ilvl="0" w:tplc="E4FAF836">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674FD5"/>
    <w:multiLevelType w:val="hybridMultilevel"/>
    <w:tmpl w:val="D5A6E014"/>
    <w:lvl w:ilvl="0" w:tplc="84FE6AD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19">
    <w:nsid w:val="7E4E4DD3"/>
    <w:multiLevelType w:val="hybridMultilevel"/>
    <w:tmpl w:val="FF6685F2"/>
    <w:lvl w:ilvl="0" w:tplc="2CF65846">
      <w:start w:val="1"/>
      <w:numFmt w:val="decimal"/>
      <w:pStyle w:val="FERCparanumber"/>
      <w:lvlText w:val="%1."/>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7"/>
  </w:num>
  <w:num w:numId="4">
    <w:abstractNumId w:val="12"/>
  </w:num>
  <w:num w:numId="5">
    <w:abstractNumId w:val="19"/>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8"/>
  </w:num>
  <w:num w:numId="27">
    <w:abstractNumId w:val="11"/>
  </w:num>
  <w:num w:numId="28">
    <w:abstractNumId w:val="14"/>
  </w:num>
  <w:num w:numId="29">
    <w:abstractNumId w:val="14"/>
  </w:num>
  <w:num w:numId="30">
    <w:abstractNumId w:val="19"/>
  </w:num>
  <w:num w:numId="31">
    <w:abstractNumId w:val="14"/>
  </w:num>
  <w:num w:numId="32">
    <w:abstractNumId w:val="1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682"/>
    <w:rsid w:val="000060FC"/>
    <w:rsid w:val="00006E79"/>
    <w:rsid w:val="00007013"/>
    <w:rsid w:val="0001111E"/>
    <w:rsid w:val="00012FDE"/>
    <w:rsid w:val="00015BA4"/>
    <w:rsid w:val="00015E09"/>
    <w:rsid w:val="00017BC9"/>
    <w:rsid w:val="00020927"/>
    <w:rsid w:val="0002233B"/>
    <w:rsid w:val="000270CE"/>
    <w:rsid w:val="000306AF"/>
    <w:rsid w:val="00036021"/>
    <w:rsid w:val="00042BCC"/>
    <w:rsid w:val="00053954"/>
    <w:rsid w:val="0005406C"/>
    <w:rsid w:val="00054F23"/>
    <w:rsid w:val="00055B09"/>
    <w:rsid w:val="00055CBF"/>
    <w:rsid w:val="00057E42"/>
    <w:rsid w:val="00060AEC"/>
    <w:rsid w:val="00061F05"/>
    <w:rsid w:val="000630E3"/>
    <w:rsid w:val="00063363"/>
    <w:rsid w:val="00064D88"/>
    <w:rsid w:val="0006768F"/>
    <w:rsid w:val="0007369D"/>
    <w:rsid w:val="00080AFA"/>
    <w:rsid w:val="00094059"/>
    <w:rsid w:val="000964CE"/>
    <w:rsid w:val="000973D0"/>
    <w:rsid w:val="00097A16"/>
    <w:rsid w:val="000A684D"/>
    <w:rsid w:val="000B15E2"/>
    <w:rsid w:val="000B310C"/>
    <w:rsid w:val="000B32DC"/>
    <w:rsid w:val="000B3933"/>
    <w:rsid w:val="000B5FB2"/>
    <w:rsid w:val="000B7D7C"/>
    <w:rsid w:val="000C00F3"/>
    <w:rsid w:val="000C4EE4"/>
    <w:rsid w:val="000D709F"/>
    <w:rsid w:val="000E314D"/>
    <w:rsid w:val="000E5DA1"/>
    <w:rsid w:val="000E6569"/>
    <w:rsid w:val="000E6E42"/>
    <w:rsid w:val="000F1A65"/>
    <w:rsid w:val="000F40DE"/>
    <w:rsid w:val="00101744"/>
    <w:rsid w:val="00106C94"/>
    <w:rsid w:val="00107D5A"/>
    <w:rsid w:val="0011005F"/>
    <w:rsid w:val="00110C2A"/>
    <w:rsid w:val="0011166A"/>
    <w:rsid w:val="001128A5"/>
    <w:rsid w:val="001278B8"/>
    <w:rsid w:val="00127B80"/>
    <w:rsid w:val="0013289A"/>
    <w:rsid w:val="00144766"/>
    <w:rsid w:val="001450B0"/>
    <w:rsid w:val="001457CD"/>
    <w:rsid w:val="00145BF3"/>
    <w:rsid w:val="001460E5"/>
    <w:rsid w:val="00146A35"/>
    <w:rsid w:val="00147246"/>
    <w:rsid w:val="001541A7"/>
    <w:rsid w:val="001566B0"/>
    <w:rsid w:val="00157D66"/>
    <w:rsid w:val="001619AF"/>
    <w:rsid w:val="001672B7"/>
    <w:rsid w:val="001701EA"/>
    <w:rsid w:val="001722E3"/>
    <w:rsid w:val="00173327"/>
    <w:rsid w:val="00176FE3"/>
    <w:rsid w:val="00177390"/>
    <w:rsid w:val="0018046A"/>
    <w:rsid w:val="00183FD6"/>
    <w:rsid w:val="001853F5"/>
    <w:rsid w:val="00192CF7"/>
    <w:rsid w:val="00196908"/>
    <w:rsid w:val="001A12DE"/>
    <w:rsid w:val="001A3237"/>
    <w:rsid w:val="001A4C5E"/>
    <w:rsid w:val="001A5D72"/>
    <w:rsid w:val="001A68C8"/>
    <w:rsid w:val="001A7F44"/>
    <w:rsid w:val="001B2B5C"/>
    <w:rsid w:val="001B4D9E"/>
    <w:rsid w:val="001C139A"/>
    <w:rsid w:val="001C17A3"/>
    <w:rsid w:val="001C5E36"/>
    <w:rsid w:val="001D0604"/>
    <w:rsid w:val="001D18FE"/>
    <w:rsid w:val="001D3568"/>
    <w:rsid w:val="001D6113"/>
    <w:rsid w:val="001D75C1"/>
    <w:rsid w:val="001D7F9B"/>
    <w:rsid w:val="001E1B1A"/>
    <w:rsid w:val="001E4A71"/>
    <w:rsid w:val="001E66DE"/>
    <w:rsid w:val="001F7FC3"/>
    <w:rsid w:val="00200B82"/>
    <w:rsid w:val="00202422"/>
    <w:rsid w:val="00204512"/>
    <w:rsid w:val="00206D7D"/>
    <w:rsid w:val="002106AD"/>
    <w:rsid w:val="0021209F"/>
    <w:rsid w:val="0021573D"/>
    <w:rsid w:val="00215AC5"/>
    <w:rsid w:val="00215DA9"/>
    <w:rsid w:val="002246EF"/>
    <w:rsid w:val="00231F92"/>
    <w:rsid w:val="0023489A"/>
    <w:rsid w:val="00236E65"/>
    <w:rsid w:val="00240066"/>
    <w:rsid w:val="00241BF1"/>
    <w:rsid w:val="002426C3"/>
    <w:rsid w:val="00246530"/>
    <w:rsid w:val="00252506"/>
    <w:rsid w:val="0025400C"/>
    <w:rsid w:val="002553AC"/>
    <w:rsid w:val="00255663"/>
    <w:rsid w:val="00257194"/>
    <w:rsid w:val="0026424F"/>
    <w:rsid w:val="00264564"/>
    <w:rsid w:val="0026605C"/>
    <w:rsid w:val="00266808"/>
    <w:rsid w:val="00270872"/>
    <w:rsid w:val="002747B3"/>
    <w:rsid w:val="002756B8"/>
    <w:rsid w:val="00277D1A"/>
    <w:rsid w:val="00277F12"/>
    <w:rsid w:val="0028132C"/>
    <w:rsid w:val="00281B3C"/>
    <w:rsid w:val="00282B1D"/>
    <w:rsid w:val="00282D15"/>
    <w:rsid w:val="0028697E"/>
    <w:rsid w:val="002875D8"/>
    <w:rsid w:val="00293072"/>
    <w:rsid w:val="002A253B"/>
    <w:rsid w:val="002A27FD"/>
    <w:rsid w:val="002A5520"/>
    <w:rsid w:val="002B0C7A"/>
    <w:rsid w:val="002B6530"/>
    <w:rsid w:val="002B7103"/>
    <w:rsid w:val="002C1C5D"/>
    <w:rsid w:val="002C3028"/>
    <w:rsid w:val="002C3700"/>
    <w:rsid w:val="002C4EF3"/>
    <w:rsid w:val="002C57C0"/>
    <w:rsid w:val="002D0338"/>
    <w:rsid w:val="002D1319"/>
    <w:rsid w:val="002D1796"/>
    <w:rsid w:val="002D52AE"/>
    <w:rsid w:val="002D7D08"/>
    <w:rsid w:val="002E068C"/>
    <w:rsid w:val="002E1E26"/>
    <w:rsid w:val="002E3682"/>
    <w:rsid w:val="002E4290"/>
    <w:rsid w:val="002E6C23"/>
    <w:rsid w:val="002E7495"/>
    <w:rsid w:val="002E770C"/>
    <w:rsid w:val="002F59AF"/>
    <w:rsid w:val="00301152"/>
    <w:rsid w:val="003023C7"/>
    <w:rsid w:val="00302619"/>
    <w:rsid w:val="00307E4E"/>
    <w:rsid w:val="00320784"/>
    <w:rsid w:val="00324EFC"/>
    <w:rsid w:val="00327B09"/>
    <w:rsid w:val="003303B3"/>
    <w:rsid w:val="003350BC"/>
    <w:rsid w:val="0033571D"/>
    <w:rsid w:val="0035446A"/>
    <w:rsid w:val="00354D8B"/>
    <w:rsid w:val="00356443"/>
    <w:rsid w:val="00356DE0"/>
    <w:rsid w:val="003616F2"/>
    <w:rsid w:val="003618AE"/>
    <w:rsid w:val="003734FE"/>
    <w:rsid w:val="00380088"/>
    <w:rsid w:val="0038167D"/>
    <w:rsid w:val="00381F65"/>
    <w:rsid w:val="00382564"/>
    <w:rsid w:val="00383868"/>
    <w:rsid w:val="00385528"/>
    <w:rsid w:val="00386BAB"/>
    <w:rsid w:val="00387B47"/>
    <w:rsid w:val="00387FB2"/>
    <w:rsid w:val="0039254A"/>
    <w:rsid w:val="00392E66"/>
    <w:rsid w:val="00395734"/>
    <w:rsid w:val="00395E13"/>
    <w:rsid w:val="003A16CB"/>
    <w:rsid w:val="003A1A81"/>
    <w:rsid w:val="003A3A1A"/>
    <w:rsid w:val="003A7663"/>
    <w:rsid w:val="003B0BF6"/>
    <w:rsid w:val="003B11E7"/>
    <w:rsid w:val="003B708B"/>
    <w:rsid w:val="003C1F74"/>
    <w:rsid w:val="003C31A8"/>
    <w:rsid w:val="003C4053"/>
    <w:rsid w:val="003D3C82"/>
    <w:rsid w:val="003D3EF2"/>
    <w:rsid w:val="003E36DD"/>
    <w:rsid w:val="003E5C8D"/>
    <w:rsid w:val="003F0247"/>
    <w:rsid w:val="003F54FC"/>
    <w:rsid w:val="003F590E"/>
    <w:rsid w:val="003F6EDE"/>
    <w:rsid w:val="0040193F"/>
    <w:rsid w:val="00411412"/>
    <w:rsid w:val="0041687B"/>
    <w:rsid w:val="004210A2"/>
    <w:rsid w:val="00426D49"/>
    <w:rsid w:val="00431B06"/>
    <w:rsid w:val="0043427F"/>
    <w:rsid w:val="0043529B"/>
    <w:rsid w:val="00435317"/>
    <w:rsid w:val="00435F5E"/>
    <w:rsid w:val="004421EC"/>
    <w:rsid w:val="00443B68"/>
    <w:rsid w:val="004457FF"/>
    <w:rsid w:val="00447165"/>
    <w:rsid w:val="004504FE"/>
    <w:rsid w:val="00450972"/>
    <w:rsid w:val="00450E17"/>
    <w:rsid w:val="004512E0"/>
    <w:rsid w:val="00453C14"/>
    <w:rsid w:val="0045406D"/>
    <w:rsid w:val="004561CC"/>
    <w:rsid w:val="00456DF6"/>
    <w:rsid w:val="004576FF"/>
    <w:rsid w:val="00461B52"/>
    <w:rsid w:val="0046225D"/>
    <w:rsid w:val="004675D3"/>
    <w:rsid w:val="00472AED"/>
    <w:rsid w:val="00472C0E"/>
    <w:rsid w:val="00476E2C"/>
    <w:rsid w:val="00481C81"/>
    <w:rsid w:val="00491C49"/>
    <w:rsid w:val="0049353F"/>
    <w:rsid w:val="004943A1"/>
    <w:rsid w:val="00494BF5"/>
    <w:rsid w:val="00495B6D"/>
    <w:rsid w:val="00495D49"/>
    <w:rsid w:val="004A0C80"/>
    <w:rsid w:val="004A2E84"/>
    <w:rsid w:val="004A60C2"/>
    <w:rsid w:val="004B4F19"/>
    <w:rsid w:val="004D0548"/>
    <w:rsid w:val="004D4304"/>
    <w:rsid w:val="004D55EB"/>
    <w:rsid w:val="004D723B"/>
    <w:rsid w:val="004E021C"/>
    <w:rsid w:val="004E0FFD"/>
    <w:rsid w:val="004E1EEC"/>
    <w:rsid w:val="004E23FB"/>
    <w:rsid w:val="004E50F6"/>
    <w:rsid w:val="004F0FB4"/>
    <w:rsid w:val="004F3359"/>
    <w:rsid w:val="005000C5"/>
    <w:rsid w:val="00500492"/>
    <w:rsid w:val="00502A03"/>
    <w:rsid w:val="00510866"/>
    <w:rsid w:val="005120DC"/>
    <w:rsid w:val="00512F51"/>
    <w:rsid w:val="0052383E"/>
    <w:rsid w:val="005262E9"/>
    <w:rsid w:val="00531C65"/>
    <w:rsid w:val="005334B1"/>
    <w:rsid w:val="0053381C"/>
    <w:rsid w:val="0053745E"/>
    <w:rsid w:val="00542F37"/>
    <w:rsid w:val="00546996"/>
    <w:rsid w:val="00554A45"/>
    <w:rsid w:val="00555578"/>
    <w:rsid w:val="00556EBF"/>
    <w:rsid w:val="0055757A"/>
    <w:rsid w:val="0056269C"/>
    <w:rsid w:val="005662D9"/>
    <w:rsid w:val="00570E0E"/>
    <w:rsid w:val="00572737"/>
    <w:rsid w:val="005747BF"/>
    <w:rsid w:val="0057509C"/>
    <w:rsid w:val="00576F39"/>
    <w:rsid w:val="00576F77"/>
    <w:rsid w:val="00577AED"/>
    <w:rsid w:val="005808F6"/>
    <w:rsid w:val="005813EB"/>
    <w:rsid w:val="00585DED"/>
    <w:rsid w:val="00587397"/>
    <w:rsid w:val="00590C43"/>
    <w:rsid w:val="00592454"/>
    <w:rsid w:val="00597BE5"/>
    <w:rsid w:val="005A3527"/>
    <w:rsid w:val="005A389A"/>
    <w:rsid w:val="005A4BB1"/>
    <w:rsid w:val="005A77EE"/>
    <w:rsid w:val="005B2A45"/>
    <w:rsid w:val="005B7E3F"/>
    <w:rsid w:val="005C1D4A"/>
    <w:rsid w:val="005C403F"/>
    <w:rsid w:val="005C4D56"/>
    <w:rsid w:val="005C5EC8"/>
    <w:rsid w:val="005C7358"/>
    <w:rsid w:val="005C79C7"/>
    <w:rsid w:val="005D28D1"/>
    <w:rsid w:val="005D36C6"/>
    <w:rsid w:val="005D7D38"/>
    <w:rsid w:val="005E1AA5"/>
    <w:rsid w:val="005E4526"/>
    <w:rsid w:val="005E77AD"/>
    <w:rsid w:val="005F037C"/>
    <w:rsid w:val="005F25F1"/>
    <w:rsid w:val="005F29EC"/>
    <w:rsid w:val="005F6418"/>
    <w:rsid w:val="005F6DD0"/>
    <w:rsid w:val="005F75CC"/>
    <w:rsid w:val="00604845"/>
    <w:rsid w:val="00605E2F"/>
    <w:rsid w:val="0060755E"/>
    <w:rsid w:val="0061075E"/>
    <w:rsid w:val="00614B9A"/>
    <w:rsid w:val="00617427"/>
    <w:rsid w:val="00626675"/>
    <w:rsid w:val="006273CD"/>
    <w:rsid w:val="0063214F"/>
    <w:rsid w:val="006330EA"/>
    <w:rsid w:val="00636C6F"/>
    <w:rsid w:val="00640593"/>
    <w:rsid w:val="00640844"/>
    <w:rsid w:val="0064657D"/>
    <w:rsid w:val="00653C3F"/>
    <w:rsid w:val="00656F9C"/>
    <w:rsid w:val="006575F9"/>
    <w:rsid w:val="00660543"/>
    <w:rsid w:val="006630B7"/>
    <w:rsid w:val="0066511C"/>
    <w:rsid w:val="00665BFC"/>
    <w:rsid w:val="00666626"/>
    <w:rsid w:val="00676722"/>
    <w:rsid w:val="00676EFA"/>
    <w:rsid w:val="00677583"/>
    <w:rsid w:val="00680B5A"/>
    <w:rsid w:val="0068394F"/>
    <w:rsid w:val="00685599"/>
    <w:rsid w:val="00686DC3"/>
    <w:rsid w:val="006875F9"/>
    <w:rsid w:val="00692769"/>
    <w:rsid w:val="00693007"/>
    <w:rsid w:val="006960C2"/>
    <w:rsid w:val="006A0444"/>
    <w:rsid w:val="006B19A6"/>
    <w:rsid w:val="006B6E3C"/>
    <w:rsid w:val="006C0B36"/>
    <w:rsid w:val="006C1639"/>
    <w:rsid w:val="006C67BF"/>
    <w:rsid w:val="006E031B"/>
    <w:rsid w:val="006E1532"/>
    <w:rsid w:val="006E1C49"/>
    <w:rsid w:val="006E28A5"/>
    <w:rsid w:val="006E5AF2"/>
    <w:rsid w:val="006E7280"/>
    <w:rsid w:val="006F3629"/>
    <w:rsid w:val="006F3994"/>
    <w:rsid w:val="006F5D76"/>
    <w:rsid w:val="006F7801"/>
    <w:rsid w:val="00705721"/>
    <w:rsid w:val="00706F67"/>
    <w:rsid w:val="0070707C"/>
    <w:rsid w:val="00707F34"/>
    <w:rsid w:val="00712AF9"/>
    <w:rsid w:val="007232DD"/>
    <w:rsid w:val="00723A08"/>
    <w:rsid w:val="0072492D"/>
    <w:rsid w:val="007251C1"/>
    <w:rsid w:val="00726AB4"/>
    <w:rsid w:val="00730373"/>
    <w:rsid w:val="00731A9B"/>
    <w:rsid w:val="00744876"/>
    <w:rsid w:val="00745DCF"/>
    <w:rsid w:val="00750123"/>
    <w:rsid w:val="007503BE"/>
    <w:rsid w:val="00751675"/>
    <w:rsid w:val="00755061"/>
    <w:rsid w:val="007554D2"/>
    <w:rsid w:val="007605A6"/>
    <w:rsid w:val="007612C7"/>
    <w:rsid w:val="00761496"/>
    <w:rsid w:val="00763AB9"/>
    <w:rsid w:val="00765474"/>
    <w:rsid w:val="00765527"/>
    <w:rsid w:val="00765D80"/>
    <w:rsid w:val="00766734"/>
    <w:rsid w:val="00766EED"/>
    <w:rsid w:val="007672A3"/>
    <w:rsid w:val="007715FF"/>
    <w:rsid w:val="00775174"/>
    <w:rsid w:val="007760DB"/>
    <w:rsid w:val="00780B6B"/>
    <w:rsid w:val="00784577"/>
    <w:rsid w:val="00794F3A"/>
    <w:rsid w:val="007974D5"/>
    <w:rsid w:val="007A1743"/>
    <w:rsid w:val="007A684A"/>
    <w:rsid w:val="007A7C44"/>
    <w:rsid w:val="007B06D8"/>
    <w:rsid w:val="007B224A"/>
    <w:rsid w:val="007B3D9E"/>
    <w:rsid w:val="007B56E5"/>
    <w:rsid w:val="007B6C2A"/>
    <w:rsid w:val="007C07A4"/>
    <w:rsid w:val="007C2A9E"/>
    <w:rsid w:val="007C7542"/>
    <w:rsid w:val="007D0129"/>
    <w:rsid w:val="007D4408"/>
    <w:rsid w:val="007D44D1"/>
    <w:rsid w:val="007D5651"/>
    <w:rsid w:val="007D5913"/>
    <w:rsid w:val="007E26D4"/>
    <w:rsid w:val="007E5582"/>
    <w:rsid w:val="007E6BEE"/>
    <w:rsid w:val="007E6EC4"/>
    <w:rsid w:val="007E784B"/>
    <w:rsid w:val="007F026A"/>
    <w:rsid w:val="007F5B13"/>
    <w:rsid w:val="007F63AD"/>
    <w:rsid w:val="00800274"/>
    <w:rsid w:val="00800DA5"/>
    <w:rsid w:val="0080177E"/>
    <w:rsid w:val="0080457E"/>
    <w:rsid w:val="00813DC7"/>
    <w:rsid w:val="00814337"/>
    <w:rsid w:val="008161C6"/>
    <w:rsid w:val="008218E9"/>
    <w:rsid w:val="00823B3F"/>
    <w:rsid w:val="0082741E"/>
    <w:rsid w:val="00832487"/>
    <w:rsid w:val="0083383A"/>
    <w:rsid w:val="00834CCC"/>
    <w:rsid w:val="00841F97"/>
    <w:rsid w:val="008437B4"/>
    <w:rsid w:val="00844606"/>
    <w:rsid w:val="0085185D"/>
    <w:rsid w:val="00852557"/>
    <w:rsid w:val="00861ED1"/>
    <w:rsid w:val="00864064"/>
    <w:rsid w:val="00866E97"/>
    <w:rsid w:val="00872517"/>
    <w:rsid w:val="0087529D"/>
    <w:rsid w:val="00875D6C"/>
    <w:rsid w:val="00876A75"/>
    <w:rsid w:val="008776B4"/>
    <w:rsid w:val="008803E8"/>
    <w:rsid w:val="008823F6"/>
    <w:rsid w:val="00882F9A"/>
    <w:rsid w:val="00885696"/>
    <w:rsid w:val="0088645D"/>
    <w:rsid w:val="008869A8"/>
    <w:rsid w:val="00893545"/>
    <w:rsid w:val="00894FF0"/>
    <w:rsid w:val="00896950"/>
    <w:rsid w:val="008A2BA0"/>
    <w:rsid w:val="008A3127"/>
    <w:rsid w:val="008A3608"/>
    <w:rsid w:val="008A6D34"/>
    <w:rsid w:val="008A6F07"/>
    <w:rsid w:val="008A7EBF"/>
    <w:rsid w:val="008B0FD5"/>
    <w:rsid w:val="008C127E"/>
    <w:rsid w:val="008C3621"/>
    <w:rsid w:val="008D6546"/>
    <w:rsid w:val="008D6DF8"/>
    <w:rsid w:val="008F0280"/>
    <w:rsid w:val="008F3326"/>
    <w:rsid w:val="008F35CE"/>
    <w:rsid w:val="008F3A97"/>
    <w:rsid w:val="008F7061"/>
    <w:rsid w:val="00901B84"/>
    <w:rsid w:val="009052C9"/>
    <w:rsid w:val="00907891"/>
    <w:rsid w:val="00911681"/>
    <w:rsid w:val="0091237B"/>
    <w:rsid w:val="009172CD"/>
    <w:rsid w:val="0092158A"/>
    <w:rsid w:val="00926267"/>
    <w:rsid w:val="00937667"/>
    <w:rsid w:val="00944A60"/>
    <w:rsid w:val="009450DA"/>
    <w:rsid w:val="00952745"/>
    <w:rsid w:val="009545B4"/>
    <w:rsid w:val="009558F3"/>
    <w:rsid w:val="0096018B"/>
    <w:rsid w:val="00961780"/>
    <w:rsid w:val="00972AAC"/>
    <w:rsid w:val="0097498F"/>
    <w:rsid w:val="009766EB"/>
    <w:rsid w:val="009770AA"/>
    <w:rsid w:val="00982C57"/>
    <w:rsid w:val="00992CAC"/>
    <w:rsid w:val="0099342F"/>
    <w:rsid w:val="009963AE"/>
    <w:rsid w:val="009965CE"/>
    <w:rsid w:val="00997623"/>
    <w:rsid w:val="009A1C9E"/>
    <w:rsid w:val="009A2444"/>
    <w:rsid w:val="009A5EA0"/>
    <w:rsid w:val="009B0E7F"/>
    <w:rsid w:val="009B554D"/>
    <w:rsid w:val="009B7AE7"/>
    <w:rsid w:val="009B7D12"/>
    <w:rsid w:val="009C0A09"/>
    <w:rsid w:val="009C1EC8"/>
    <w:rsid w:val="009C34B8"/>
    <w:rsid w:val="009D00A9"/>
    <w:rsid w:val="009D2CC3"/>
    <w:rsid w:val="009E0976"/>
    <w:rsid w:val="009F6F90"/>
    <w:rsid w:val="00A050F9"/>
    <w:rsid w:val="00A1021A"/>
    <w:rsid w:val="00A152AE"/>
    <w:rsid w:val="00A236C8"/>
    <w:rsid w:val="00A23CB5"/>
    <w:rsid w:val="00A2517A"/>
    <w:rsid w:val="00A30B24"/>
    <w:rsid w:val="00A30BCA"/>
    <w:rsid w:val="00A31D97"/>
    <w:rsid w:val="00A32891"/>
    <w:rsid w:val="00A33BF9"/>
    <w:rsid w:val="00A40C40"/>
    <w:rsid w:val="00A42908"/>
    <w:rsid w:val="00A45077"/>
    <w:rsid w:val="00A509AD"/>
    <w:rsid w:val="00A51AA5"/>
    <w:rsid w:val="00A53CA9"/>
    <w:rsid w:val="00A54FE6"/>
    <w:rsid w:val="00A60B91"/>
    <w:rsid w:val="00A63013"/>
    <w:rsid w:val="00A70CA8"/>
    <w:rsid w:val="00A717E0"/>
    <w:rsid w:val="00A722CB"/>
    <w:rsid w:val="00A7447E"/>
    <w:rsid w:val="00A75A54"/>
    <w:rsid w:val="00A85234"/>
    <w:rsid w:val="00A94C8B"/>
    <w:rsid w:val="00A96723"/>
    <w:rsid w:val="00AB16BD"/>
    <w:rsid w:val="00AB1A40"/>
    <w:rsid w:val="00AB2BD5"/>
    <w:rsid w:val="00AB5C8F"/>
    <w:rsid w:val="00AC060A"/>
    <w:rsid w:val="00AC0A0C"/>
    <w:rsid w:val="00AC1654"/>
    <w:rsid w:val="00AC4D29"/>
    <w:rsid w:val="00AD5047"/>
    <w:rsid w:val="00AE12C7"/>
    <w:rsid w:val="00AE217F"/>
    <w:rsid w:val="00AE457D"/>
    <w:rsid w:val="00AE4D79"/>
    <w:rsid w:val="00AE55C0"/>
    <w:rsid w:val="00AE617C"/>
    <w:rsid w:val="00AF0A6E"/>
    <w:rsid w:val="00AF6DFA"/>
    <w:rsid w:val="00B034AF"/>
    <w:rsid w:val="00B06834"/>
    <w:rsid w:val="00B06C56"/>
    <w:rsid w:val="00B070B7"/>
    <w:rsid w:val="00B072C8"/>
    <w:rsid w:val="00B13E21"/>
    <w:rsid w:val="00B16BCF"/>
    <w:rsid w:val="00B22A30"/>
    <w:rsid w:val="00B2426C"/>
    <w:rsid w:val="00B250FA"/>
    <w:rsid w:val="00B30196"/>
    <w:rsid w:val="00B32D19"/>
    <w:rsid w:val="00B3544A"/>
    <w:rsid w:val="00B44677"/>
    <w:rsid w:val="00B47977"/>
    <w:rsid w:val="00B505B1"/>
    <w:rsid w:val="00B54DCA"/>
    <w:rsid w:val="00B61DED"/>
    <w:rsid w:val="00B63C36"/>
    <w:rsid w:val="00B70C77"/>
    <w:rsid w:val="00B71CBE"/>
    <w:rsid w:val="00B72858"/>
    <w:rsid w:val="00B763F1"/>
    <w:rsid w:val="00B802A1"/>
    <w:rsid w:val="00B86965"/>
    <w:rsid w:val="00B923EE"/>
    <w:rsid w:val="00BA0FE6"/>
    <w:rsid w:val="00BA1434"/>
    <w:rsid w:val="00BA23E3"/>
    <w:rsid w:val="00BA6703"/>
    <w:rsid w:val="00BB04A8"/>
    <w:rsid w:val="00BB59FF"/>
    <w:rsid w:val="00BB7AC9"/>
    <w:rsid w:val="00BC265B"/>
    <w:rsid w:val="00BC7600"/>
    <w:rsid w:val="00BD1087"/>
    <w:rsid w:val="00BD2B87"/>
    <w:rsid w:val="00BD38C9"/>
    <w:rsid w:val="00BD5782"/>
    <w:rsid w:val="00BD6329"/>
    <w:rsid w:val="00BD64F5"/>
    <w:rsid w:val="00BE0FDE"/>
    <w:rsid w:val="00BE140B"/>
    <w:rsid w:val="00BE5080"/>
    <w:rsid w:val="00BF01F7"/>
    <w:rsid w:val="00BF02AE"/>
    <w:rsid w:val="00BF5507"/>
    <w:rsid w:val="00BF736B"/>
    <w:rsid w:val="00C0003C"/>
    <w:rsid w:val="00C014F6"/>
    <w:rsid w:val="00C01DA2"/>
    <w:rsid w:val="00C04438"/>
    <w:rsid w:val="00C04BFE"/>
    <w:rsid w:val="00C06C1B"/>
    <w:rsid w:val="00C0714C"/>
    <w:rsid w:val="00C07E8D"/>
    <w:rsid w:val="00C11B80"/>
    <w:rsid w:val="00C16CFA"/>
    <w:rsid w:val="00C20D04"/>
    <w:rsid w:val="00C21D9F"/>
    <w:rsid w:val="00C22E39"/>
    <w:rsid w:val="00C23226"/>
    <w:rsid w:val="00C2391F"/>
    <w:rsid w:val="00C315B9"/>
    <w:rsid w:val="00C31BFE"/>
    <w:rsid w:val="00C34176"/>
    <w:rsid w:val="00C35CF5"/>
    <w:rsid w:val="00C367F9"/>
    <w:rsid w:val="00C4261F"/>
    <w:rsid w:val="00C43DFD"/>
    <w:rsid w:val="00C444F0"/>
    <w:rsid w:val="00C5256F"/>
    <w:rsid w:val="00C53F6A"/>
    <w:rsid w:val="00C54098"/>
    <w:rsid w:val="00C608E1"/>
    <w:rsid w:val="00C658BA"/>
    <w:rsid w:val="00C673F9"/>
    <w:rsid w:val="00C67E23"/>
    <w:rsid w:val="00C70DC1"/>
    <w:rsid w:val="00C7399D"/>
    <w:rsid w:val="00C7695A"/>
    <w:rsid w:val="00C7728C"/>
    <w:rsid w:val="00C802C1"/>
    <w:rsid w:val="00C822C2"/>
    <w:rsid w:val="00C8351F"/>
    <w:rsid w:val="00C86407"/>
    <w:rsid w:val="00C948F4"/>
    <w:rsid w:val="00C966FA"/>
    <w:rsid w:val="00C96AD2"/>
    <w:rsid w:val="00C97535"/>
    <w:rsid w:val="00CA199C"/>
    <w:rsid w:val="00CA2EB5"/>
    <w:rsid w:val="00CA4DFC"/>
    <w:rsid w:val="00CB1209"/>
    <w:rsid w:val="00CB1700"/>
    <w:rsid w:val="00CB3BBD"/>
    <w:rsid w:val="00CC2BB7"/>
    <w:rsid w:val="00CC311D"/>
    <w:rsid w:val="00CD24EE"/>
    <w:rsid w:val="00CD2859"/>
    <w:rsid w:val="00CE0BFD"/>
    <w:rsid w:val="00CE3A20"/>
    <w:rsid w:val="00CE4DE3"/>
    <w:rsid w:val="00CE5A75"/>
    <w:rsid w:val="00CF15D4"/>
    <w:rsid w:val="00D00F19"/>
    <w:rsid w:val="00D00F99"/>
    <w:rsid w:val="00D026CF"/>
    <w:rsid w:val="00D1062D"/>
    <w:rsid w:val="00D169AE"/>
    <w:rsid w:val="00D17C3F"/>
    <w:rsid w:val="00D2376A"/>
    <w:rsid w:val="00D23A9E"/>
    <w:rsid w:val="00D24990"/>
    <w:rsid w:val="00D258EC"/>
    <w:rsid w:val="00D27403"/>
    <w:rsid w:val="00D305C0"/>
    <w:rsid w:val="00D3301D"/>
    <w:rsid w:val="00D35623"/>
    <w:rsid w:val="00D35EEF"/>
    <w:rsid w:val="00D405E9"/>
    <w:rsid w:val="00D43BC8"/>
    <w:rsid w:val="00D45130"/>
    <w:rsid w:val="00D463C2"/>
    <w:rsid w:val="00D50308"/>
    <w:rsid w:val="00D54FA2"/>
    <w:rsid w:val="00D55B21"/>
    <w:rsid w:val="00D566A9"/>
    <w:rsid w:val="00D570FD"/>
    <w:rsid w:val="00D615FF"/>
    <w:rsid w:val="00D6389E"/>
    <w:rsid w:val="00D67F2F"/>
    <w:rsid w:val="00D70928"/>
    <w:rsid w:val="00D7158A"/>
    <w:rsid w:val="00D73C44"/>
    <w:rsid w:val="00D764C8"/>
    <w:rsid w:val="00D811FB"/>
    <w:rsid w:val="00D8140E"/>
    <w:rsid w:val="00D83AF9"/>
    <w:rsid w:val="00D86475"/>
    <w:rsid w:val="00D86673"/>
    <w:rsid w:val="00D93E04"/>
    <w:rsid w:val="00DA2267"/>
    <w:rsid w:val="00DA455A"/>
    <w:rsid w:val="00DA7990"/>
    <w:rsid w:val="00DB292C"/>
    <w:rsid w:val="00DB3338"/>
    <w:rsid w:val="00DB674A"/>
    <w:rsid w:val="00DB7789"/>
    <w:rsid w:val="00DC1EE7"/>
    <w:rsid w:val="00DC2CE0"/>
    <w:rsid w:val="00DC2ED9"/>
    <w:rsid w:val="00DC30CC"/>
    <w:rsid w:val="00DC3F09"/>
    <w:rsid w:val="00DD2C64"/>
    <w:rsid w:val="00DD5B6C"/>
    <w:rsid w:val="00DD6F64"/>
    <w:rsid w:val="00DD7707"/>
    <w:rsid w:val="00DE0986"/>
    <w:rsid w:val="00DE3DFF"/>
    <w:rsid w:val="00DE635F"/>
    <w:rsid w:val="00DF0B39"/>
    <w:rsid w:val="00DF0CB9"/>
    <w:rsid w:val="00DF5DDB"/>
    <w:rsid w:val="00E04CFE"/>
    <w:rsid w:val="00E16A64"/>
    <w:rsid w:val="00E20B75"/>
    <w:rsid w:val="00E24691"/>
    <w:rsid w:val="00E358A2"/>
    <w:rsid w:val="00E408C4"/>
    <w:rsid w:val="00E44066"/>
    <w:rsid w:val="00E4702A"/>
    <w:rsid w:val="00E524EF"/>
    <w:rsid w:val="00E54A4F"/>
    <w:rsid w:val="00E617E0"/>
    <w:rsid w:val="00E62C99"/>
    <w:rsid w:val="00E76860"/>
    <w:rsid w:val="00E7774A"/>
    <w:rsid w:val="00E83E2E"/>
    <w:rsid w:val="00E9151D"/>
    <w:rsid w:val="00E9182F"/>
    <w:rsid w:val="00E91BAF"/>
    <w:rsid w:val="00E93235"/>
    <w:rsid w:val="00E93B37"/>
    <w:rsid w:val="00E95852"/>
    <w:rsid w:val="00E9773F"/>
    <w:rsid w:val="00EA3B0E"/>
    <w:rsid w:val="00EB2E2E"/>
    <w:rsid w:val="00EB6D73"/>
    <w:rsid w:val="00EB6FBC"/>
    <w:rsid w:val="00EC0650"/>
    <w:rsid w:val="00EC39CD"/>
    <w:rsid w:val="00EC5467"/>
    <w:rsid w:val="00EC6E3A"/>
    <w:rsid w:val="00ED32F0"/>
    <w:rsid w:val="00ED7C7F"/>
    <w:rsid w:val="00EE3D1B"/>
    <w:rsid w:val="00EE4898"/>
    <w:rsid w:val="00EF07EC"/>
    <w:rsid w:val="00EF110B"/>
    <w:rsid w:val="00EF38D3"/>
    <w:rsid w:val="00EF65F4"/>
    <w:rsid w:val="00EF70BB"/>
    <w:rsid w:val="00EF79E4"/>
    <w:rsid w:val="00F00411"/>
    <w:rsid w:val="00F11FC1"/>
    <w:rsid w:val="00F12F8F"/>
    <w:rsid w:val="00F13C63"/>
    <w:rsid w:val="00F1518D"/>
    <w:rsid w:val="00F1555E"/>
    <w:rsid w:val="00F158AD"/>
    <w:rsid w:val="00F1688F"/>
    <w:rsid w:val="00F20575"/>
    <w:rsid w:val="00F20C03"/>
    <w:rsid w:val="00F21CF3"/>
    <w:rsid w:val="00F23830"/>
    <w:rsid w:val="00F2787D"/>
    <w:rsid w:val="00F30BE7"/>
    <w:rsid w:val="00F31058"/>
    <w:rsid w:val="00F32310"/>
    <w:rsid w:val="00F32664"/>
    <w:rsid w:val="00F331BD"/>
    <w:rsid w:val="00F37FCB"/>
    <w:rsid w:val="00F43F58"/>
    <w:rsid w:val="00F476DC"/>
    <w:rsid w:val="00F50502"/>
    <w:rsid w:val="00F5585D"/>
    <w:rsid w:val="00F55884"/>
    <w:rsid w:val="00F56768"/>
    <w:rsid w:val="00F5769D"/>
    <w:rsid w:val="00F6087F"/>
    <w:rsid w:val="00F610F0"/>
    <w:rsid w:val="00F702D6"/>
    <w:rsid w:val="00F721FE"/>
    <w:rsid w:val="00F728AD"/>
    <w:rsid w:val="00F730B3"/>
    <w:rsid w:val="00F816D2"/>
    <w:rsid w:val="00F840E4"/>
    <w:rsid w:val="00F84CA3"/>
    <w:rsid w:val="00F854B1"/>
    <w:rsid w:val="00F87E6D"/>
    <w:rsid w:val="00F9087D"/>
    <w:rsid w:val="00F90E3A"/>
    <w:rsid w:val="00F92007"/>
    <w:rsid w:val="00F95625"/>
    <w:rsid w:val="00F96041"/>
    <w:rsid w:val="00F9624D"/>
    <w:rsid w:val="00F968D6"/>
    <w:rsid w:val="00F97367"/>
    <w:rsid w:val="00FA2B3B"/>
    <w:rsid w:val="00FA3139"/>
    <w:rsid w:val="00FA4D66"/>
    <w:rsid w:val="00FA69A4"/>
    <w:rsid w:val="00FB47F9"/>
    <w:rsid w:val="00FB561E"/>
    <w:rsid w:val="00FB566E"/>
    <w:rsid w:val="00FB781F"/>
    <w:rsid w:val="00FB7CBD"/>
    <w:rsid w:val="00FD1C10"/>
    <w:rsid w:val="00FD3AAC"/>
    <w:rsid w:val="00FD6DC4"/>
    <w:rsid w:val="00FD7016"/>
    <w:rsid w:val="00FE2EBA"/>
    <w:rsid w:val="00FF01B7"/>
    <w:rsid w:val="00FF3034"/>
    <w:rsid w:val="00FF702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81B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2E3682"/>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2E3682"/>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2E3682"/>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2E3682"/>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2E3682"/>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2E3682"/>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2E3682"/>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2E3682"/>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2E3682"/>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1">
    <w:name w:val="1"/>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6C0B36"/>
    <w:pPr>
      <w:widowControl/>
      <w:numPr>
        <w:numId w:val="5"/>
      </w:numPr>
      <w:spacing w:line="480" w:lineRule="auto"/>
    </w:pPr>
  </w:style>
  <w:style w:type="character" w:customStyle="1" w:styleId="Heading1Char">
    <w:name w:val="Heading 1 Char"/>
    <w:basedOn w:val="DefaultParagraphFont"/>
    <w:link w:val="Heading1"/>
    <w:rsid w:val="002E3682"/>
    <w:rPr>
      <w:b/>
      <w:bCs/>
      <w:kern w:val="32"/>
      <w:sz w:val="26"/>
      <w:szCs w:val="32"/>
      <w:u w:val="single"/>
      <w:lang w:bidi="ar-SA"/>
    </w:rPr>
  </w:style>
  <w:style w:type="character" w:customStyle="1" w:styleId="Heading2Char">
    <w:name w:val="Heading 2 Char"/>
    <w:basedOn w:val="DefaultParagraphFont"/>
    <w:link w:val="Heading2"/>
    <w:rsid w:val="002E3682"/>
    <w:rPr>
      <w:b/>
      <w:bCs/>
      <w:iCs/>
      <w:kern w:val="32"/>
      <w:sz w:val="26"/>
      <w:szCs w:val="28"/>
      <w:u w:val="single"/>
      <w:lang w:bidi="ar-SA"/>
    </w:rPr>
  </w:style>
  <w:style w:type="character" w:customStyle="1" w:styleId="Heading3Char">
    <w:name w:val="Heading 3 Char"/>
    <w:basedOn w:val="DefaultParagraphFont"/>
    <w:link w:val="Heading3"/>
    <w:rsid w:val="002E3682"/>
    <w:rPr>
      <w:b/>
      <w:bCs/>
      <w:kern w:val="32"/>
      <w:sz w:val="26"/>
      <w:szCs w:val="26"/>
      <w:u w:val="single"/>
      <w:lang w:bidi="ar-SA"/>
    </w:rPr>
  </w:style>
  <w:style w:type="character" w:customStyle="1" w:styleId="Heading4Char">
    <w:name w:val="Heading 4 Char"/>
    <w:basedOn w:val="DefaultParagraphFont"/>
    <w:link w:val="Heading4"/>
    <w:rsid w:val="002E3682"/>
    <w:rPr>
      <w:b/>
      <w:bCs/>
      <w:kern w:val="32"/>
      <w:sz w:val="26"/>
      <w:szCs w:val="28"/>
      <w:u w:val="single"/>
      <w:lang w:bidi="ar-SA"/>
    </w:rPr>
  </w:style>
  <w:style w:type="character" w:customStyle="1" w:styleId="Heading5Char">
    <w:name w:val="Heading 5 Char"/>
    <w:basedOn w:val="DefaultParagraphFont"/>
    <w:link w:val="Heading5"/>
    <w:rsid w:val="002E3682"/>
    <w:rPr>
      <w:b/>
      <w:bCs/>
      <w:iCs/>
      <w:kern w:val="32"/>
      <w:sz w:val="26"/>
      <w:szCs w:val="26"/>
      <w:u w:val="single"/>
      <w:lang w:bidi="ar-SA"/>
    </w:rPr>
  </w:style>
  <w:style w:type="character" w:customStyle="1" w:styleId="Heading6Char">
    <w:name w:val="Heading 6 Char"/>
    <w:basedOn w:val="DefaultParagraphFont"/>
    <w:link w:val="Heading6"/>
    <w:rsid w:val="002E3682"/>
    <w:rPr>
      <w:b/>
      <w:bCs/>
      <w:kern w:val="32"/>
      <w:sz w:val="26"/>
      <w:szCs w:val="22"/>
      <w:u w:val="single"/>
      <w:lang w:bidi="ar-SA"/>
    </w:rPr>
  </w:style>
  <w:style w:type="character" w:customStyle="1" w:styleId="Heading7Char">
    <w:name w:val="Heading 7 Char"/>
    <w:basedOn w:val="DefaultParagraphFont"/>
    <w:link w:val="Heading7"/>
    <w:rsid w:val="002E3682"/>
    <w:rPr>
      <w:b/>
      <w:kern w:val="32"/>
      <w:sz w:val="26"/>
      <w:szCs w:val="24"/>
      <w:u w:val="single"/>
      <w:lang w:bidi="ar-SA"/>
    </w:rPr>
  </w:style>
  <w:style w:type="character" w:customStyle="1" w:styleId="Heading8Char">
    <w:name w:val="Heading 8 Char"/>
    <w:basedOn w:val="DefaultParagraphFont"/>
    <w:link w:val="Heading8"/>
    <w:rsid w:val="002E3682"/>
    <w:rPr>
      <w:b/>
      <w:iCs/>
      <w:kern w:val="32"/>
      <w:sz w:val="26"/>
      <w:szCs w:val="24"/>
      <w:u w:val="single"/>
      <w:lang w:bidi="ar-SA"/>
    </w:rPr>
  </w:style>
  <w:style w:type="character" w:customStyle="1" w:styleId="Heading9Char">
    <w:name w:val="Heading 9 Char"/>
    <w:basedOn w:val="DefaultParagraphFont"/>
    <w:link w:val="Heading9"/>
    <w:rsid w:val="002E3682"/>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rsid w:val="0025400C"/>
    <w:rPr>
      <w:color w:val="0000FF"/>
      <w:u w:val="single"/>
    </w:rPr>
  </w:style>
  <w:style w:type="character" w:customStyle="1" w:styleId="apple-converted-space">
    <w:name w:val="apple-converted-space"/>
    <w:basedOn w:val="DefaultParagraphFont"/>
    <w:rsid w:val="00AC0A0C"/>
  </w:style>
  <w:style w:type="character" w:styleId="EndnoteReference">
    <w:name w:val="endnote reference"/>
    <w:basedOn w:val="DefaultParagraphFont"/>
    <w:uiPriority w:val="99"/>
    <w:semiHidden/>
    <w:unhideWhenUsed/>
    <w:rsid w:val="004421EC"/>
    <w:rPr>
      <w:vertAlign w:val="superscript"/>
    </w:rPr>
  </w:style>
  <w:style w:type="character" w:customStyle="1" w:styleId="docsearchterm">
    <w:name w:val="docsearchterm"/>
    <w:basedOn w:val="DefaultParagraphFont"/>
    <w:rsid w:val="00106C94"/>
  </w:style>
  <w:style w:type="character" w:styleId="CommentReference">
    <w:name w:val="annotation reference"/>
    <w:basedOn w:val="DefaultParagraphFont"/>
    <w:uiPriority w:val="99"/>
    <w:semiHidden/>
    <w:unhideWhenUsed/>
    <w:rsid w:val="001E66DE"/>
    <w:rPr>
      <w:sz w:val="16"/>
      <w:szCs w:val="16"/>
    </w:rPr>
  </w:style>
  <w:style w:type="character" w:styleId="FollowedHyperlink">
    <w:name w:val="FollowedHyperlink"/>
    <w:basedOn w:val="DefaultParagraphFont"/>
    <w:uiPriority w:val="99"/>
    <w:semiHidden/>
    <w:unhideWhenUsed/>
    <w:rsid w:val="00241BF1"/>
    <w:rPr>
      <w:color w:val="800080" w:themeColor="followedHyperlink"/>
      <w:u w:val="single"/>
    </w:rPr>
  </w:style>
  <w:style w:type="paragraph" w:styleId="Revision">
    <w:name w:val="Revision"/>
    <w:hidden/>
    <w:uiPriority w:val="99"/>
    <w:semiHidden/>
    <w:rsid w:val="0039254A"/>
    <w:rPr>
      <w:sz w:val="26"/>
      <w:szCs w:val="24"/>
      <w:lang w:bidi="ar-SA"/>
    </w:rPr>
  </w:style>
  <w:style w:type="character" w:customStyle="1" w:styleId="FootnoteTextChar">
    <w:name w:val="Footnote Text Char"/>
    <w:basedOn w:val="DefaultParagraphFont"/>
    <w:link w:val="FootnoteText"/>
    <w:rsid w:val="00997623"/>
    <w:rPr>
      <w:sz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2E3682"/>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2E3682"/>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2E3682"/>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2E3682"/>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2E3682"/>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2E3682"/>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2E3682"/>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2E3682"/>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2E3682"/>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1">
    <w:name w:val="1"/>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6C0B36"/>
    <w:pPr>
      <w:widowControl/>
      <w:numPr>
        <w:numId w:val="5"/>
      </w:numPr>
      <w:spacing w:line="480" w:lineRule="auto"/>
    </w:pPr>
  </w:style>
  <w:style w:type="character" w:customStyle="1" w:styleId="Heading1Char">
    <w:name w:val="Heading 1 Char"/>
    <w:basedOn w:val="DefaultParagraphFont"/>
    <w:link w:val="Heading1"/>
    <w:rsid w:val="002E3682"/>
    <w:rPr>
      <w:b/>
      <w:bCs/>
      <w:kern w:val="32"/>
      <w:sz w:val="26"/>
      <w:szCs w:val="32"/>
      <w:u w:val="single"/>
      <w:lang w:bidi="ar-SA"/>
    </w:rPr>
  </w:style>
  <w:style w:type="character" w:customStyle="1" w:styleId="Heading2Char">
    <w:name w:val="Heading 2 Char"/>
    <w:basedOn w:val="DefaultParagraphFont"/>
    <w:link w:val="Heading2"/>
    <w:rsid w:val="002E3682"/>
    <w:rPr>
      <w:b/>
      <w:bCs/>
      <w:iCs/>
      <w:kern w:val="32"/>
      <w:sz w:val="26"/>
      <w:szCs w:val="28"/>
      <w:u w:val="single"/>
      <w:lang w:bidi="ar-SA"/>
    </w:rPr>
  </w:style>
  <w:style w:type="character" w:customStyle="1" w:styleId="Heading3Char">
    <w:name w:val="Heading 3 Char"/>
    <w:basedOn w:val="DefaultParagraphFont"/>
    <w:link w:val="Heading3"/>
    <w:rsid w:val="002E3682"/>
    <w:rPr>
      <w:b/>
      <w:bCs/>
      <w:kern w:val="32"/>
      <w:sz w:val="26"/>
      <w:szCs w:val="26"/>
      <w:u w:val="single"/>
      <w:lang w:bidi="ar-SA"/>
    </w:rPr>
  </w:style>
  <w:style w:type="character" w:customStyle="1" w:styleId="Heading4Char">
    <w:name w:val="Heading 4 Char"/>
    <w:basedOn w:val="DefaultParagraphFont"/>
    <w:link w:val="Heading4"/>
    <w:rsid w:val="002E3682"/>
    <w:rPr>
      <w:b/>
      <w:bCs/>
      <w:kern w:val="32"/>
      <w:sz w:val="26"/>
      <w:szCs w:val="28"/>
      <w:u w:val="single"/>
      <w:lang w:bidi="ar-SA"/>
    </w:rPr>
  </w:style>
  <w:style w:type="character" w:customStyle="1" w:styleId="Heading5Char">
    <w:name w:val="Heading 5 Char"/>
    <w:basedOn w:val="DefaultParagraphFont"/>
    <w:link w:val="Heading5"/>
    <w:rsid w:val="002E3682"/>
    <w:rPr>
      <w:b/>
      <w:bCs/>
      <w:iCs/>
      <w:kern w:val="32"/>
      <w:sz w:val="26"/>
      <w:szCs w:val="26"/>
      <w:u w:val="single"/>
      <w:lang w:bidi="ar-SA"/>
    </w:rPr>
  </w:style>
  <w:style w:type="character" w:customStyle="1" w:styleId="Heading6Char">
    <w:name w:val="Heading 6 Char"/>
    <w:basedOn w:val="DefaultParagraphFont"/>
    <w:link w:val="Heading6"/>
    <w:rsid w:val="002E3682"/>
    <w:rPr>
      <w:b/>
      <w:bCs/>
      <w:kern w:val="32"/>
      <w:sz w:val="26"/>
      <w:szCs w:val="22"/>
      <w:u w:val="single"/>
      <w:lang w:bidi="ar-SA"/>
    </w:rPr>
  </w:style>
  <w:style w:type="character" w:customStyle="1" w:styleId="Heading7Char">
    <w:name w:val="Heading 7 Char"/>
    <w:basedOn w:val="DefaultParagraphFont"/>
    <w:link w:val="Heading7"/>
    <w:rsid w:val="002E3682"/>
    <w:rPr>
      <w:b/>
      <w:kern w:val="32"/>
      <w:sz w:val="26"/>
      <w:szCs w:val="24"/>
      <w:u w:val="single"/>
      <w:lang w:bidi="ar-SA"/>
    </w:rPr>
  </w:style>
  <w:style w:type="character" w:customStyle="1" w:styleId="Heading8Char">
    <w:name w:val="Heading 8 Char"/>
    <w:basedOn w:val="DefaultParagraphFont"/>
    <w:link w:val="Heading8"/>
    <w:rsid w:val="002E3682"/>
    <w:rPr>
      <w:b/>
      <w:iCs/>
      <w:kern w:val="32"/>
      <w:sz w:val="26"/>
      <w:szCs w:val="24"/>
      <w:u w:val="single"/>
      <w:lang w:bidi="ar-SA"/>
    </w:rPr>
  </w:style>
  <w:style w:type="character" w:customStyle="1" w:styleId="Heading9Char">
    <w:name w:val="Heading 9 Char"/>
    <w:basedOn w:val="DefaultParagraphFont"/>
    <w:link w:val="Heading9"/>
    <w:rsid w:val="002E3682"/>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rsid w:val="0025400C"/>
    <w:rPr>
      <w:color w:val="0000FF"/>
      <w:u w:val="single"/>
    </w:rPr>
  </w:style>
  <w:style w:type="character" w:customStyle="1" w:styleId="apple-converted-space">
    <w:name w:val="apple-converted-space"/>
    <w:basedOn w:val="DefaultParagraphFont"/>
    <w:rsid w:val="00AC0A0C"/>
  </w:style>
  <w:style w:type="character" w:styleId="EndnoteReference">
    <w:name w:val="endnote reference"/>
    <w:basedOn w:val="DefaultParagraphFont"/>
    <w:uiPriority w:val="99"/>
    <w:semiHidden/>
    <w:unhideWhenUsed/>
    <w:rsid w:val="004421EC"/>
    <w:rPr>
      <w:vertAlign w:val="superscript"/>
    </w:rPr>
  </w:style>
  <w:style w:type="character" w:customStyle="1" w:styleId="docsearchterm">
    <w:name w:val="docsearchterm"/>
    <w:basedOn w:val="DefaultParagraphFont"/>
    <w:rsid w:val="00106C94"/>
  </w:style>
  <w:style w:type="character" w:styleId="CommentReference">
    <w:name w:val="annotation reference"/>
    <w:basedOn w:val="DefaultParagraphFont"/>
    <w:uiPriority w:val="99"/>
    <w:semiHidden/>
    <w:unhideWhenUsed/>
    <w:rsid w:val="001E66DE"/>
    <w:rPr>
      <w:sz w:val="16"/>
      <w:szCs w:val="16"/>
    </w:rPr>
  </w:style>
  <w:style w:type="character" w:styleId="FollowedHyperlink">
    <w:name w:val="FollowedHyperlink"/>
    <w:basedOn w:val="DefaultParagraphFont"/>
    <w:uiPriority w:val="99"/>
    <w:semiHidden/>
    <w:unhideWhenUsed/>
    <w:rsid w:val="00241BF1"/>
    <w:rPr>
      <w:color w:val="800080" w:themeColor="followedHyperlink"/>
      <w:u w:val="single"/>
    </w:rPr>
  </w:style>
  <w:style w:type="paragraph" w:styleId="Revision">
    <w:name w:val="Revision"/>
    <w:hidden/>
    <w:uiPriority w:val="99"/>
    <w:semiHidden/>
    <w:rsid w:val="0039254A"/>
    <w:rPr>
      <w:sz w:val="26"/>
      <w:szCs w:val="24"/>
      <w:lang w:bidi="ar-SA"/>
    </w:rPr>
  </w:style>
  <w:style w:type="character" w:customStyle="1" w:styleId="FootnoteTextChar">
    <w:name w:val="Footnote Text Char"/>
    <w:basedOn w:val="DefaultParagraphFont"/>
    <w:link w:val="FootnoteText"/>
    <w:rsid w:val="00997623"/>
    <w:rPr>
      <w:sz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316598">
      <w:bodyDiv w:val="1"/>
      <w:marLeft w:val="0"/>
      <w:marRight w:val="0"/>
      <w:marTop w:val="0"/>
      <w:marBottom w:val="0"/>
      <w:divBdr>
        <w:top w:val="none" w:sz="0" w:space="0" w:color="auto"/>
        <w:left w:val="none" w:sz="0" w:space="0" w:color="auto"/>
        <w:bottom w:val="none" w:sz="0" w:space="0" w:color="auto"/>
        <w:right w:val="none" w:sz="0" w:space="0" w:color="auto"/>
      </w:divBdr>
    </w:div>
    <w:div w:id="1179731232">
      <w:bodyDiv w:val="1"/>
      <w:marLeft w:val="0"/>
      <w:marRight w:val="0"/>
      <w:marTop w:val="0"/>
      <w:marBottom w:val="0"/>
      <w:divBdr>
        <w:top w:val="none" w:sz="0" w:space="0" w:color="auto"/>
        <w:left w:val="none" w:sz="0" w:space="0" w:color="auto"/>
        <w:bottom w:val="none" w:sz="0" w:space="0" w:color="auto"/>
        <w:right w:val="none" w:sz="0" w:space="0" w:color="auto"/>
      </w:divBdr>
    </w:div>
    <w:div w:id="191319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mien.Gaul@ferc.gov"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erc.gov" TargetMode="External"/><Relationship Id="rId7" Type="http://schemas.microsoft.com/office/2007/relationships/stylesWithEffects" Target="stylesWithEffects.xml"/><Relationship Id="rId12" Type="http://schemas.openxmlformats.org/officeDocument/2006/relationships/hyperlink" Target="http://www.ferc.gov"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ferc.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public.referenceroom@ferc.gov" TargetMode="External"/><Relationship Id="rId10" Type="http://schemas.openxmlformats.org/officeDocument/2006/relationships/footnotes" Target="footnotes.xml"/><Relationship Id="rId19" Type="http://schemas.openxmlformats.org/officeDocument/2006/relationships/hyperlink" Target="mailto:DataClearance@fer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nce.Mareino@ferc.gov" TargetMode="External"/><Relationship Id="rId22" Type="http://schemas.openxmlformats.org/officeDocument/2006/relationships/hyperlink" Target="mailto:ferconlinesupport@ferc.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naics2_22.htm" TargetMode="External"/><Relationship Id="rId2" Type="http://schemas.openxmlformats.org/officeDocument/2006/relationships/hyperlink" Target="http://www.ferc.gov/docs-filing/etariff/implementation-guide.pdf" TargetMode="External"/><Relationship Id="rId1" Type="http://schemas.openxmlformats.org/officeDocument/2006/relationships/hyperlink" Target="http://elibrary.ferc.gov/idmws/common/opennat.asp?fileID=13455123" TargetMode="External"/><Relationship Id="rId6" Type="http://schemas.openxmlformats.org/officeDocument/2006/relationships/hyperlink" Target="http://prod.resource.cch.com/resource/scion/citation/pit/P30783/FERC-ALL?cfu=Legal&amp;cpid=WKUS-Legal-IC" TargetMode="External"/><Relationship Id="rId5" Type="http://schemas.openxmlformats.org/officeDocument/2006/relationships/hyperlink" Target="http://prod.resource.cch.com/resource/scion/citation/pit/FERCOR486/FERC-ALL?cfu=Legal&amp;cpid=WKUS-Legal-IC" TargetMode="External"/><Relationship Id="rId4" Type="http://schemas.openxmlformats.org/officeDocument/2006/relationships/hyperlink" Target="http://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6E430-1589-41F0-AD60-73D4A78C39B8}">
  <ds:schemaRefs>
    <ds:schemaRef ds:uri="http://schemas.microsoft.com/sharepoint/v3/contenttype/forms"/>
  </ds:schemaRefs>
</ds:datastoreItem>
</file>

<file path=customXml/itemProps2.xml><?xml version="1.0" encoding="utf-8"?>
<ds:datastoreItem xmlns:ds="http://schemas.openxmlformats.org/officeDocument/2006/customXml" ds:itemID="{2EF31988-728D-4F23-A940-D78D12EA859A}">
  <ds:schemaRefs>
    <ds:schemaRef ds:uri="http://schemas.microsoft.com/office/2006/metadata/properties"/>
  </ds:schemaRefs>
</ds:datastoreItem>
</file>

<file path=customXml/itemProps3.xml><?xml version="1.0" encoding="utf-8"?>
<ds:datastoreItem xmlns:ds="http://schemas.openxmlformats.org/officeDocument/2006/customXml" ds:itemID="{03242D42-5648-4C9B-B73B-65F22574E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ADC766A-0685-4AE6-B5E9-0CCF54B8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3487</Words>
  <Characters>19882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2014-07-17T15:39:00Z</dcterms:created>
  <dcterms:modified xsi:type="dcterms:W3CDTF">2014-07-17T15:39:00Z</dcterms:modified>
  <dc:identifier/>
  <cp:version/>
</cp:coreProperties>
</file>