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1425A" w14:textId="34B34D57" w:rsidR="00EB1FC7" w:rsidRPr="0084314C" w:rsidRDefault="0084314C" w:rsidP="00F4490B">
      <w:pPr>
        <w:tabs>
          <w:tab w:val="left" w:pos="4940"/>
        </w:tabs>
        <w:jc w:val="center"/>
      </w:pPr>
      <w:bookmarkStart w:id="0" w:name="_GoBack"/>
      <w:bookmarkEnd w:id="0"/>
      <w:r>
        <w:t>152 FERC ¶ 61,055</w:t>
      </w:r>
    </w:p>
    <w:p w14:paraId="680B6D28" w14:textId="2C4D5F8E" w:rsidR="00EB1FC7" w:rsidRPr="00581869" w:rsidRDefault="001A08A8" w:rsidP="00F4490B">
      <w:pPr>
        <w:jc w:val="center"/>
      </w:pPr>
      <w:r w:rsidRPr="00581869">
        <w:t>UNITED STATES OF AMERICA</w:t>
      </w:r>
    </w:p>
    <w:p w14:paraId="1967780B" w14:textId="21B77C54" w:rsidR="00EB1FC7" w:rsidRPr="00581869" w:rsidRDefault="001A08A8" w:rsidP="00F4490B">
      <w:pPr>
        <w:jc w:val="center"/>
      </w:pPr>
      <w:r w:rsidRPr="00581869">
        <w:t>FEDERAL ENERGY REGULATORY COMMISSION</w:t>
      </w:r>
    </w:p>
    <w:p w14:paraId="3174EFAD" w14:textId="77777777" w:rsidR="00EB1FC7" w:rsidRPr="00581869" w:rsidRDefault="00EB1FC7" w:rsidP="00F4490B">
      <w:pPr>
        <w:jc w:val="center"/>
      </w:pPr>
    </w:p>
    <w:p w14:paraId="6E1B83BB" w14:textId="08434167" w:rsidR="00EB1FC7" w:rsidRPr="00581869" w:rsidRDefault="00EB1FC7" w:rsidP="00F4490B">
      <w:pPr>
        <w:jc w:val="center"/>
      </w:pPr>
      <w:r w:rsidRPr="00581869">
        <w:t>18 CFR Part</w:t>
      </w:r>
      <w:r w:rsidR="00983F89" w:rsidRPr="00581869">
        <w:t>s 157, 260, and</w:t>
      </w:r>
      <w:r w:rsidRPr="00581869">
        <w:t xml:space="preserve"> </w:t>
      </w:r>
      <w:r w:rsidR="00B02A8B" w:rsidRPr="00581869">
        <w:t>284</w:t>
      </w:r>
    </w:p>
    <w:p w14:paraId="30998C81" w14:textId="77777777" w:rsidR="00EB1FC7" w:rsidRPr="00581869" w:rsidRDefault="00EB1FC7" w:rsidP="00F4490B">
      <w:pPr>
        <w:jc w:val="center"/>
      </w:pPr>
    </w:p>
    <w:p w14:paraId="0DAFF62D" w14:textId="77777777" w:rsidR="00EB1FC7" w:rsidRPr="00581869" w:rsidRDefault="00EB1FC7" w:rsidP="00F4490B">
      <w:pPr>
        <w:jc w:val="center"/>
      </w:pPr>
      <w:r w:rsidRPr="00581869">
        <w:t>[Docket No. RM96-1-038]</w:t>
      </w:r>
    </w:p>
    <w:p w14:paraId="3283D080" w14:textId="77777777" w:rsidR="00EB1FC7" w:rsidRPr="00581869" w:rsidRDefault="00EB1FC7" w:rsidP="00F4490B">
      <w:pPr>
        <w:jc w:val="center"/>
      </w:pPr>
    </w:p>
    <w:p w14:paraId="05E2822A" w14:textId="77777777" w:rsidR="00EB1FC7" w:rsidRPr="00581869" w:rsidRDefault="00EB1FC7" w:rsidP="00F4490B">
      <w:pPr>
        <w:jc w:val="center"/>
      </w:pPr>
      <w:r w:rsidRPr="00581869">
        <w:t>Standards for Business Practices of Interstate Natural Gas Pipelines</w:t>
      </w:r>
    </w:p>
    <w:p w14:paraId="5DA8398E" w14:textId="77777777" w:rsidR="00EB1FC7" w:rsidRPr="00581869" w:rsidRDefault="00EB1FC7" w:rsidP="00F4490B"/>
    <w:p w14:paraId="5DAACF08" w14:textId="3668FA4B" w:rsidR="0084314C" w:rsidRDefault="0084314C" w:rsidP="0084314C">
      <w:pPr>
        <w:widowControl/>
        <w:jc w:val="center"/>
      </w:pPr>
      <w:r w:rsidRPr="0084314C">
        <w:t>(July 16, 2015)</w:t>
      </w:r>
    </w:p>
    <w:p w14:paraId="7CD54A3B" w14:textId="77777777" w:rsidR="0084314C" w:rsidRPr="00581869" w:rsidRDefault="0084314C" w:rsidP="00F4490B"/>
    <w:p w14:paraId="4E167148" w14:textId="77777777" w:rsidR="00EB1FC7" w:rsidRPr="00581869" w:rsidRDefault="00EB1FC7" w:rsidP="00F4490B">
      <w:pPr>
        <w:spacing w:line="480" w:lineRule="auto"/>
      </w:pPr>
      <w:r w:rsidRPr="00581869">
        <w:rPr>
          <w:u w:val="single"/>
        </w:rPr>
        <w:t>AGENCY</w:t>
      </w:r>
      <w:r w:rsidRPr="00581869">
        <w:t>:  Federal Energy Regulatory Commission.</w:t>
      </w:r>
    </w:p>
    <w:p w14:paraId="4E04A980" w14:textId="77777777" w:rsidR="00EB1FC7" w:rsidRPr="00581869" w:rsidRDefault="00EB1FC7" w:rsidP="00F4490B">
      <w:pPr>
        <w:spacing w:line="480" w:lineRule="auto"/>
      </w:pPr>
      <w:r w:rsidRPr="00581869">
        <w:rPr>
          <w:u w:val="single"/>
        </w:rPr>
        <w:t>ACTION</w:t>
      </w:r>
      <w:r w:rsidRPr="00581869">
        <w:t>:  Notice of Proposed Rulemaking.</w:t>
      </w:r>
    </w:p>
    <w:p w14:paraId="23E7853E" w14:textId="65F9BC73" w:rsidR="00EB1FC7" w:rsidRPr="00581869" w:rsidRDefault="00EB1FC7" w:rsidP="00F4490B">
      <w:pPr>
        <w:spacing w:line="480" w:lineRule="auto"/>
      </w:pPr>
      <w:r w:rsidRPr="00581869">
        <w:rPr>
          <w:u w:val="single"/>
        </w:rPr>
        <w:t>SUMMARY</w:t>
      </w:r>
      <w:r w:rsidRPr="00581869">
        <w:t xml:space="preserve">:  </w:t>
      </w:r>
      <w:r w:rsidR="003B4990" w:rsidRPr="00581869">
        <w:t>The Federal Energy Regulatory Commission (Commission) is proposing to amend its regulations to incorporate by reference</w:t>
      </w:r>
      <w:r w:rsidR="006F5A2A" w:rsidRPr="00581869">
        <w:t>, with certain enumerated exceptions,</w:t>
      </w:r>
      <w:r w:rsidR="003B4990" w:rsidRPr="00581869">
        <w:t xml:space="preserve"> the latest version (Version 3.0) of business practice standards adopted by the Wholesale Gas Quadrant of the North American Energy Standards Board (NAESB) applicable to natural gas pipelines.</w:t>
      </w:r>
      <w:r w:rsidR="00880E23" w:rsidRPr="00581869">
        <w:t xml:space="preserve">  </w:t>
      </w:r>
      <w:r w:rsidR="00983F89" w:rsidRPr="00581869">
        <w:t>These revisions, in part, revise the codes use</w:t>
      </w:r>
      <w:r w:rsidR="0010758E" w:rsidRPr="00581869">
        <w:t>d</w:t>
      </w:r>
      <w:r w:rsidR="00983F89" w:rsidRPr="00581869">
        <w:t xml:space="preserve"> to identify receipt and delivery locations in the Index of Customers.</w:t>
      </w:r>
      <w:r w:rsidR="00880E23" w:rsidRPr="00581869">
        <w:t xml:space="preserve">  </w:t>
      </w:r>
      <w:r w:rsidR="00983F89" w:rsidRPr="00581869">
        <w:t xml:space="preserve">In addition, for consistency with the </w:t>
      </w:r>
      <w:r w:rsidR="005B73D4" w:rsidRPr="00581869">
        <w:t xml:space="preserve">revisions to the </w:t>
      </w:r>
      <w:r w:rsidR="00983F89" w:rsidRPr="00581869">
        <w:t xml:space="preserve">Index of Customers, the Commission is proposing certain conforming changes to the Commission’s regulations on exhibits and on system flow diagrams.  </w:t>
      </w:r>
      <w:r w:rsidR="003B4990" w:rsidRPr="00581869">
        <w:t xml:space="preserve">These standards can be obtained from NAESB at </w:t>
      </w:r>
      <w:r w:rsidR="00806DB5" w:rsidRPr="00581869">
        <w:t>801Travis</w:t>
      </w:r>
      <w:r w:rsidR="003B4990" w:rsidRPr="00581869">
        <w:t xml:space="preserve">, Suite </w:t>
      </w:r>
      <w:r w:rsidR="00806DB5" w:rsidRPr="00581869">
        <w:t>1675</w:t>
      </w:r>
      <w:r w:rsidR="003B4990" w:rsidRPr="00581869">
        <w:t xml:space="preserve">, Houston, TX 77002, telephone: </w:t>
      </w:r>
      <w:r w:rsidR="00240586">
        <w:t xml:space="preserve"> </w:t>
      </w:r>
      <w:r w:rsidR="003B4990" w:rsidRPr="00581869">
        <w:t xml:space="preserve">(713) 356-0060, </w:t>
      </w:r>
      <w:hyperlink r:id="rId12" w:history="1">
        <w:r w:rsidR="003B4990" w:rsidRPr="00240586">
          <w:rPr>
            <w:rStyle w:val="Hyperlink"/>
            <w:u w:val="none"/>
          </w:rPr>
          <w:t>http://www.naesb.org</w:t>
        </w:r>
      </w:hyperlink>
      <w:r w:rsidR="003B4990" w:rsidRPr="00581869">
        <w:t>, and are available for viewing in the Commission’s Public Reference Room</w:t>
      </w:r>
      <w:r w:rsidR="00900DF0">
        <w:t>.</w:t>
      </w:r>
    </w:p>
    <w:p w14:paraId="03EF6B07" w14:textId="77777777" w:rsidR="00EB1FC7" w:rsidRPr="00581869" w:rsidRDefault="00EB1FC7" w:rsidP="00F4490B">
      <w:pPr>
        <w:spacing w:line="480" w:lineRule="auto"/>
      </w:pPr>
      <w:r w:rsidRPr="00581869">
        <w:rPr>
          <w:u w:val="single"/>
        </w:rPr>
        <w:t>DATES</w:t>
      </w:r>
      <w:r w:rsidRPr="00581869">
        <w:t>:  Comments are due</w:t>
      </w:r>
      <w:r w:rsidRPr="00581869">
        <w:rPr>
          <w:b/>
        </w:rPr>
        <w:t xml:space="preserve"> [INSERT DATE </w:t>
      </w:r>
      <w:r w:rsidR="003B4990" w:rsidRPr="00581869">
        <w:rPr>
          <w:b/>
        </w:rPr>
        <w:t xml:space="preserve">30 days </w:t>
      </w:r>
      <w:r w:rsidRPr="00581869">
        <w:rPr>
          <w:b/>
        </w:rPr>
        <w:t>after publication in the FEDERAL REGISTER]</w:t>
      </w:r>
      <w:r w:rsidR="003B4990" w:rsidRPr="00581869">
        <w:t>.</w:t>
      </w:r>
    </w:p>
    <w:p w14:paraId="42058786" w14:textId="77777777" w:rsidR="0084314C" w:rsidRDefault="0084314C" w:rsidP="00F4490B">
      <w:pPr>
        <w:spacing w:line="480" w:lineRule="auto"/>
        <w:rPr>
          <w:u w:val="single"/>
        </w:rPr>
      </w:pPr>
    </w:p>
    <w:p w14:paraId="12E9944F" w14:textId="01420211" w:rsidR="00EB1FC7" w:rsidRPr="00581869" w:rsidRDefault="00EB1FC7" w:rsidP="00F4490B">
      <w:pPr>
        <w:spacing w:line="480" w:lineRule="auto"/>
      </w:pPr>
      <w:r w:rsidRPr="00581869">
        <w:rPr>
          <w:u w:val="single"/>
        </w:rPr>
        <w:lastRenderedPageBreak/>
        <w:t>ADDRESSES</w:t>
      </w:r>
      <w:r w:rsidRPr="00581869">
        <w:t>:  Comments, identified by docket number, may be filed in the following ways:</w:t>
      </w:r>
    </w:p>
    <w:p w14:paraId="25EB46FC" w14:textId="77777777" w:rsidR="00EB1FC7" w:rsidRPr="00581869" w:rsidRDefault="00EB1FC7" w:rsidP="00C85728">
      <w:pPr>
        <w:numPr>
          <w:ilvl w:val="0"/>
          <w:numId w:val="12"/>
        </w:numPr>
        <w:spacing w:line="480" w:lineRule="auto"/>
      </w:pPr>
      <w:r w:rsidRPr="00581869">
        <w:t xml:space="preserve">Electronic Filing through </w:t>
      </w:r>
      <w:hyperlink r:id="rId13" w:history="1">
        <w:r w:rsidRPr="00240586">
          <w:rPr>
            <w:rStyle w:val="Hyperlink"/>
            <w:u w:val="none"/>
          </w:rPr>
          <w:t>http://www.ferc.gov</w:t>
        </w:r>
      </w:hyperlink>
      <w:r w:rsidRPr="00581869">
        <w:t>.  Documents created electronically using word processing software should be filed in native applications or print-to-PDF format and not in a scanned format.</w:t>
      </w:r>
    </w:p>
    <w:p w14:paraId="4E0EF26F" w14:textId="23210EED" w:rsidR="00EB1FC7" w:rsidRPr="00581869" w:rsidRDefault="00EB1FC7" w:rsidP="00C85728">
      <w:pPr>
        <w:numPr>
          <w:ilvl w:val="0"/>
          <w:numId w:val="12"/>
        </w:numPr>
        <w:spacing w:line="480" w:lineRule="auto"/>
      </w:pPr>
      <w:r w:rsidRPr="00581869">
        <w:t xml:space="preserve">Mail/Hand Delivery:  Those unable to file electronically may mail or hand-deliver comments to: </w:t>
      </w:r>
      <w:r w:rsidR="00240586">
        <w:t xml:space="preserve"> </w:t>
      </w:r>
      <w:r w:rsidRPr="00581869">
        <w:t xml:space="preserve">Federal Energy Regulatory Commission, Secretary of the </w:t>
      </w:r>
      <w:r w:rsidR="00240586">
        <w:t>Commission, 888 First Street, N</w:t>
      </w:r>
      <w:r w:rsidRPr="00581869">
        <w:t>E, Washington, DC 20426.</w:t>
      </w:r>
    </w:p>
    <w:p w14:paraId="2E7771B4" w14:textId="77777777" w:rsidR="00EB1FC7" w:rsidRPr="00581869" w:rsidRDefault="00EB1FC7" w:rsidP="002A0E8A">
      <w:pPr>
        <w:spacing w:line="480" w:lineRule="auto"/>
      </w:pPr>
      <w:r w:rsidRPr="00581869">
        <w:rPr>
          <w:u w:val="single"/>
        </w:rPr>
        <w:t>I</w:t>
      </w:r>
      <w:r w:rsidR="002A0E8A" w:rsidRPr="00581869">
        <w:rPr>
          <w:u w:val="single"/>
        </w:rPr>
        <w:t>NSTRUCTIONS</w:t>
      </w:r>
      <w:r w:rsidRPr="00581869">
        <w:t>:</w:t>
      </w:r>
      <w:r w:rsidR="002A0E8A" w:rsidRPr="00581869">
        <w:t xml:space="preserve"> </w:t>
      </w:r>
      <w:r w:rsidRPr="00581869">
        <w:t xml:space="preserve"> For detailed instructions on submitting comments and additional information on the rulemaking process, see the Comment Procedures Section of this document</w:t>
      </w:r>
      <w:r w:rsidR="002A0E8A" w:rsidRPr="00581869">
        <w:t>.</w:t>
      </w:r>
    </w:p>
    <w:p w14:paraId="3751D704" w14:textId="77777777" w:rsidR="00EB1FC7" w:rsidRPr="00581869" w:rsidRDefault="00EB1FC7" w:rsidP="00F4490B">
      <w:r w:rsidRPr="00581869">
        <w:rPr>
          <w:u w:val="single"/>
        </w:rPr>
        <w:t>FOR FURTHER INFORMATION CONTACT</w:t>
      </w:r>
      <w:r w:rsidRPr="00581869">
        <w:t>:</w:t>
      </w:r>
    </w:p>
    <w:p w14:paraId="59B27903" w14:textId="77777777" w:rsidR="00EB1FC7" w:rsidRPr="00581869" w:rsidRDefault="00EB1FC7" w:rsidP="00F4490B"/>
    <w:p w14:paraId="2ED949A6" w14:textId="77777777" w:rsidR="003B4990" w:rsidRPr="00581869" w:rsidRDefault="003B4990" w:rsidP="003B4990">
      <w:r w:rsidRPr="00581869">
        <w:t>Stanley Wolf (technical issues)</w:t>
      </w:r>
    </w:p>
    <w:p w14:paraId="60EB2BCF" w14:textId="77777777" w:rsidR="003B4990" w:rsidRPr="00581869" w:rsidRDefault="003B4990" w:rsidP="003B4990">
      <w:r w:rsidRPr="00581869">
        <w:t>Office of Energy Policy and Innovation</w:t>
      </w:r>
    </w:p>
    <w:p w14:paraId="38FCA17B" w14:textId="77777777" w:rsidR="003B4990" w:rsidRPr="00581869" w:rsidRDefault="003B4990" w:rsidP="003B4990">
      <w:r w:rsidRPr="00581869">
        <w:t>Federal Energy Regulatory Commission</w:t>
      </w:r>
    </w:p>
    <w:p w14:paraId="4ECBBA22" w14:textId="77777777" w:rsidR="003B4990" w:rsidRPr="00581869" w:rsidRDefault="003B4990" w:rsidP="003B4990">
      <w:r w:rsidRPr="00581869">
        <w:t>888 First Street, NE</w:t>
      </w:r>
    </w:p>
    <w:p w14:paraId="78B08B02" w14:textId="77777777" w:rsidR="003B4990" w:rsidRPr="00581869" w:rsidRDefault="003B4990" w:rsidP="003B4990">
      <w:r w:rsidRPr="00581869">
        <w:t>Washington, DC  20426</w:t>
      </w:r>
    </w:p>
    <w:p w14:paraId="27D1B1B5" w14:textId="77777777" w:rsidR="003B4990" w:rsidRPr="00581869" w:rsidRDefault="003B4990" w:rsidP="003B4990">
      <w:r w:rsidRPr="00581869">
        <w:t>Telephone:  (202) 502-6841</w:t>
      </w:r>
    </w:p>
    <w:p w14:paraId="329B2879" w14:textId="77777777" w:rsidR="003B4990" w:rsidRPr="00581869" w:rsidRDefault="003B4990" w:rsidP="003B4990">
      <w:r w:rsidRPr="00581869">
        <w:t>E-mail:  stanley.wolf@ferc.gov</w:t>
      </w:r>
    </w:p>
    <w:p w14:paraId="056C7AE2" w14:textId="77777777" w:rsidR="003B4990" w:rsidRPr="00581869" w:rsidRDefault="003B4990" w:rsidP="003B4990"/>
    <w:p w14:paraId="2DB2EA2C" w14:textId="77777777" w:rsidR="00880E23" w:rsidRPr="00581869" w:rsidRDefault="00880E23" w:rsidP="003B4990">
      <w:r w:rsidRPr="00581869">
        <w:t xml:space="preserve">Oscar </w:t>
      </w:r>
      <w:r w:rsidR="008B52B6" w:rsidRPr="00581869">
        <w:t xml:space="preserve">F. </w:t>
      </w:r>
      <w:r w:rsidRPr="00581869">
        <w:t>Santillana</w:t>
      </w:r>
      <w:r w:rsidR="00781584" w:rsidRPr="00581869">
        <w:t xml:space="preserve"> (technical issues)</w:t>
      </w:r>
    </w:p>
    <w:p w14:paraId="43CE6B0F" w14:textId="77777777" w:rsidR="008B52B6" w:rsidRPr="00581869" w:rsidRDefault="008B52B6" w:rsidP="008B52B6">
      <w:r w:rsidRPr="00581869">
        <w:t>Office of Energy Market Regulation</w:t>
      </w:r>
    </w:p>
    <w:p w14:paraId="60EDE674" w14:textId="77777777" w:rsidR="008B52B6" w:rsidRPr="00581869" w:rsidRDefault="008B52B6" w:rsidP="008B52B6">
      <w:r w:rsidRPr="00581869">
        <w:t>Federal Energy Regulatory Commission</w:t>
      </w:r>
    </w:p>
    <w:p w14:paraId="21AEDF56" w14:textId="77777777" w:rsidR="008B52B6" w:rsidRPr="00581869" w:rsidRDefault="008B52B6" w:rsidP="008B52B6">
      <w:r w:rsidRPr="00581869">
        <w:t>888 First Street, NE</w:t>
      </w:r>
    </w:p>
    <w:p w14:paraId="4CBAAEFF" w14:textId="77777777" w:rsidR="008B52B6" w:rsidRPr="00581869" w:rsidRDefault="008B52B6" w:rsidP="008B52B6">
      <w:r w:rsidRPr="00581869">
        <w:t>Washington, DC  20426</w:t>
      </w:r>
    </w:p>
    <w:p w14:paraId="30D854CA" w14:textId="77777777" w:rsidR="008B52B6" w:rsidRPr="00581869" w:rsidRDefault="008B52B6" w:rsidP="008B52B6">
      <w:r w:rsidRPr="00581869">
        <w:t>Telephone:  (202) 502-6392</w:t>
      </w:r>
    </w:p>
    <w:p w14:paraId="76398F4A" w14:textId="77777777" w:rsidR="008B52B6" w:rsidRPr="00581869" w:rsidRDefault="008B52B6" w:rsidP="008B52B6">
      <w:r w:rsidRPr="00581869">
        <w:t>E-mail:  oscar.santillana@ferc.gov</w:t>
      </w:r>
    </w:p>
    <w:p w14:paraId="193AF5C8" w14:textId="47461CF8" w:rsidR="00A86E37" w:rsidRDefault="00A86E37">
      <w:pPr>
        <w:widowControl/>
        <w:autoSpaceDE/>
        <w:autoSpaceDN/>
        <w:adjustRightInd/>
      </w:pPr>
      <w:r>
        <w:br w:type="page"/>
      </w:r>
    </w:p>
    <w:p w14:paraId="05F3C2B7" w14:textId="77777777" w:rsidR="003B4990" w:rsidRPr="00581869" w:rsidRDefault="003B4990" w:rsidP="003B4990">
      <w:r w:rsidRPr="00581869">
        <w:lastRenderedPageBreak/>
        <w:t>Gary D. Cohen (legal issues)</w:t>
      </w:r>
    </w:p>
    <w:p w14:paraId="73819DC6" w14:textId="77777777" w:rsidR="003B4990" w:rsidRPr="00581869" w:rsidRDefault="003B4990" w:rsidP="003B4990">
      <w:r w:rsidRPr="00581869">
        <w:t>Office of the General Counsel</w:t>
      </w:r>
    </w:p>
    <w:p w14:paraId="4E8EB714" w14:textId="77777777" w:rsidR="003B4990" w:rsidRPr="00581869" w:rsidRDefault="003B4990" w:rsidP="003B4990">
      <w:r w:rsidRPr="00581869">
        <w:t>Federal Energy Regulatory Commission</w:t>
      </w:r>
    </w:p>
    <w:p w14:paraId="541267BC" w14:textId="77777777" w:rsidR="003B4990" w:rsidRPr="00581869" w:rsidRDefault="003B4990" w:rsidP="003B4990">
      <w:r w:rsidRPr="00581869">
        <w:t>888 First Street, NE</w:t>
      </w:r>
    </w:p>
    <w:p w14:paraId="61227F98" w14:textId="77777777" w:rsidR="003B4990" w:rsidRPr="00581869" w:rsidRDefault="003B4990" w:rsidP="003B4990">
      <w:r w:rsidRPr="00581869">
        <w:t>Washington, DC  20426</w:t>
      </w:r>
    </w:p>
    <w:p w14:paraId="0385E46E" w14:textId="77777777" w:rsidR="003B4990" w:rsidRPr="00581869" w:rsidRDefault="003B4990" w:rsidP="003B4990">
      <w:r w:rsidRPr="00581869">
        <w:t>Telephone:  (202) 502-8321</w:t>
      </w:r>
    </w:p>
    <w:p w14:paraId="42990D41" w14:textId="77777777" w:rsidR="003B4990" w:rsidRPr="00581869" w:rsidRDefault="003B4990" w:rsidP="003B4990">
      <w:r w:rsidRPr="00581869">
        <w:t>E-mail:  gary.cohen@ferc.gov</w:t>
      </w:r>
    </w:p>
    <w:p w14:paraId="049E406C" w14:textId="77777777" w:rsidR="00EB1FC7" w:rsidRPr="00581869" w:rsidRDefault="00EB1FC7" w:rsidP="00F4490B"/>
    <w:p w14:paraId="461A1F7D" w14:textId="77777777" w:rsidR="00EB1FC7" w:rsidRPr="00581869" w:rsidRDefault="00EB1FC7" w:rsidP="00F4490B">
      <w:pPr>
        <w:sectPr w:rsidR="00EB1FC7" w:rsidRPr="00581869" w:rsidSect="006E1C2C">
          <w:headerReference w:type="even" r:id="rId14"/>
          <w:headerReference w:type="default" r:id="rId15"/>
          <w:pgSz w:w="12240" w:h="15840"/>
          <w:pgMar w:top="1440" w:right="1440" w:bottom="1440" w:left="1440" w:header="720" w:footer="1440" w:gutter="0"/>
          <w:pgNumType w:fmt="lowerRoman" w:start="1"/>
          <w:cols w:space="720"/>
          <w:noEndnote/>
          <w:titlePg/>
          <w:docGrid w:linePitch="354"/>
        </w:sectPr>
      </w:pPr>
      <w:r w:rsidRPr="00581869">
        <w:rPr>
          <w:u w:val="single"/>
        </w:rPr>
        <w:t>SUPPLEMENTARY INFORMATION</w:t>
      </w:r>
      <w:r w:rsidRPr="00581869">
        <w:t>:</w:t>
      </w:r>
    </w:p>
    <w:p w14:paraId="7336D759" w14:textId="77777777" w:rsidR="00EB1FC7" w:rsidRPr="00581869" w:rsidRDefault="00EB1FC7" w:rsidP="00F4490B">
      <w:pPr>
        <w:jc w:val="center"/>
      </w:pPr>
      <w:r w:rsidRPr="00581869">
        <w:lastRenderedPageBreak/>
        <w:t>UNITED STATES OF AMERICA</w:t>
      </w:r>
    </w:p>
    <w:p w14:paraId="19F0627A" w14:textId="77777777" w:rsidR="00EB1FC7" w:rsidRPr="00581869" w:rsidRDefault="00EB1FC7" w:rsidP="00F4490B">
      <w:pPr>
        <w:jc w:val="center"/>
      </w:pPr>
      <w:r w:rsidRPr="00581869">
        <w:t>FEDERAL ENERGY REGULATORY COMMISSION</w:t>
      </w:r>
    </w:p>
    <w:p w14:paraId="35FEA070" w14:textId="77777777" w:rsidR="00EB1FC7" w:rsidRDefault="00EB1FC7" w:rsidP="00F4490B"/>
    <w:p w14:paraId="7D0AE29B" w14:textId="77777777" w:rsidR="00A86E37" w:rsidRDefault="00A86E37" w:rsidP="00F449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29"/>
        <w:gridCol w:w="1535"/>
        <w:gridCol w:w="1896"/>
      </w:tblGrid>
      <w:tr w:rsidR="00EB1FC7" w:rsidRPr="00581869" w14:paraId="102924A5" w14:textId="77777777" w:rsidTr="00EA3921">
        <w:tc>
          <w:tcPr>
            <w:tcW w:w="5929" w:type="dxa"/>
            <w:shd w:val="clear" w:color="auto" w:fill="auto"/>
          </w:tcPr>
          <w:p w14:paraId="045DB26C" w14:textId="77777777" w:rsidR="00EB1FC7" w:rsidRPr="00581869" w:rsidRDefault="00EB1FC7" w:rsidP="00F4490B">
            <w:r w:rsidRPr="00581869">
              <w:t>Standards for Business Practices of Interstate Natural Gas Pipelines</w:t>
            </w:r>
          </w:p>
        </w:tc>
        <w:tc>
          <w:tcPr>
            <w:tcW w:w="1535" w:type="dxa"/>
            <w:shd w:val="clear" w:color="auto" w:fill="auto"/>
          </w:tcPr>
          <w:p w14:paraId="19928286" w14:textId="77777777" w:rsidR="00EB1FC7" w:rsidRPr="00581869" w:rsidRDefault="00EB1FC7" w:rsidP="00F4490B">
            <w:pPr>
              <w:jc w:val="right"/>
            </w:pPr>
            <w:r w:rsidRPr="00581869">
              <w:t>Docket No.</w:t>
            </w:r>
          </w:p>
        </w:tc>
        <w:tc>
          <w:tcPr>
            <w:tcW w:w="1896" w:type="dxa"/>
            <w:shd w:val="clear" w:color="auto" w:fill="auto"/>
            <w:tcMar>
              <w:left w:w="144" w:type="dxa"/>
              <w:right w:w="0" w:type="dxa"/>
            </w:tcMar>
          </w:tcPr>
          <w:p w14:paraId="24A60561" w14:textId="77777777" w:rsidR="00EB1FC7" w:rsidRPr="00581869" w:rsidRDefault="00EB1FC7" w:rsidP="00F4490B">
            <w:r w:rsidRPr="00581869">
              <w:t>RM96-1-038</w:t>
            </w:r>
          </w:p>
        </w:tc>
      </w:tr>
    </w:tbl>
    <w:p w14:paraId="156F8F95" w14:textId="77777777" w:rsidR="00EB1FC7" w:rsidRDefault="00EB1FC7" w:rsidP="00F4490B"/>
    <w:p w14:paraId="25A453B0" w14:textId="77777777" w:rsidR="00A86E37" w:rsidRPr="00581869" w:rsidRDefault="00A86E37" w:rsidP="00F4490B"/>
    <w:p w14:paraId="73E3FF19" w14:textId="77777777" w:rsidR="00EB1FC7" w:rsidRDefault="00EB1FC7" w:rsidP="00B923E5">
      <w:pPr>
        <w:spacing w:after="240"/>
        <w:jc w:val="center"/>
      </w:pPr>
      <w:r w:rsidRPr="00581869">
        <w:t>NOTICE OF PROPOSED RULEMAKING</w:t>
      </w:r>
    </w:p>
    <w:p w14:paraId="5FAB0330" w14:textId="7D8AEC1C" w:rsidR="00A86E37" w:rsidRDefault="00A86E37" w:rsidP="00A86E37">
      <w:pPr>
        <w:widowControl/>
        <w:jc w:val="center"/>
      </w:pPr>
      <w:r w:rsidRPr="00A86E37">
        <w:t>(July 16, 2015)</w:t>
      </w:r>
    </w:p>
    <w:p w14:paraId="5590E60E" w14:textId="77777777" w:rsidR="00A86E37" w:rsidRPr="00A86E37" w:rsidRDefault="00A86E37" w:rsidP="00A86E37">
      <w:pPr>
        <w:widowControl/>
      </w:pPr>
    </w:p>
    <w:p w14:paraId="32D698E7" w14:textId="77777777" w:rsidR="00A86E37" w:rsidRDefault="00A86E37" w:rsidP="00B923E5">
      <w:pPr>
        <w:spacing w:after="240"/>
        <w:jc w:val="center"/>
        <w:rPr>
          <w:u w:val="single"/>
        </w:rPr>
      </w:pPr>
    </w:p>
    <w:p w14:paraId="0CBE5639" w14:textId="77777777" w:rsidR="00EB1FC7" w:rsidRPr="00581869" w:rsidRDefault="00EB1FC7" w:rsidP="00B923E5">
      <w:pPr>
        <w:spacing w:after="240"/>
        <w:jc w:val="center"/>
        <w:rPr>
          <w:u w:val="single"/>
        </w:rPr>
      </w:pPr>
      <w:r w:rsidRPr="00581869">
        <w:rPr>
          <w:u w:val="single"/>
        </w:rPr>
        <w:t>TABLE OF CONTENTS</w:t>
      </w:r>
    </w:p>
    <w:p w14:paraId="7CFE9102" w14:textId="2DA89324" w:rsidR="00EB1FC7" w:rsidRPr="00581869" w:rsidRDefault="00EB1FC7" w:rsidP="00F4490B">
      <w:pPr>
        <w:tabs>
          <w:tab w:val="right" w:pos="9360"/>
        </w:tabs>
        <w:rPr>
          <w:u w:val="single"/>
        </w:rPr>
      </w:pPr>
      <w:r w:rsidRPr="00581869">
        <w:tab/>
      </w:r>
      <w:r w:rsidRPr="00581869">
        <w:rPr>
          <w:u w:val="single"/>
        </w:rPr>
        <w:t>Paragraph Numbers</w:t>
      </w:r>
    </w:p>
    <w:p w14:paraId="73482FE9" w14:textId="33017207" w:rsidR="009F0857" w:rsidRDefault="009F0857" w:rsidP="00F4490B">
      <w:pPr>
        <w:jc w:val="center"/>
      </w:pPr>
      <w:bookmarkStart w:id="1" w:name="_Start_TOC"/>
      <w:bookmarkStart w:id="2" w:name="_End_TOC"/>
      <w:bookmarkEnd w:id="1"/>
      <w:bookmarkEnd w:id="2"/>
    </w:p>
    <w:p w14:paraId="5980339C" w14:textId="43C9F073" w:rsidR="005F31CF" w:rsidRDefault="005F31CF" w:rsidP="005F31CF">
      <w:pPr>
        <w:pStyle w:val="myTOC1"/>
      </w:pPr>
      <w:r>
        <w:t xml:space="preserve">I.  </w:t>
      </w:r>
      <w:r w:rsidRPr="00581869">
        <w:t>Background</w:t>
      </w:r>
      <w:r>
        <w:tab/>
      </w:r>
      <w:hyperlink w:anchor="_bmk1" w:history="1">
        <w:r>
          <w:rPr>
            <w:rStyle w:val="Hyperlink"/>
            <w:szCs w:val="24"/>
          </w:rPr>
          <w:t>2.</w:t>
        </w:r>
      </w:hyperlink>
    </w:p>
    <w:p w14:paraId="351A532F" w14:textId="0C533812" w:rsidR="005F31CF" w:rsidRDefault="005F31CF" w:rsidP="005F31CF">
      <w:pPr>
        <w:pStyle w:val="myTOC1"/>
      </w:pPr>
      <w:r>
        <w:t xml:space="preserve">II.  </w:t>
      </w:r>
      <w:r w:rsidRPr="00581869">
        <w:t>Discussion</w:t>
      </w:r>
      <w:r>
        <w:tab/>
      </w:r>
      <w:hyperlink w:anchor="_bmk2" w:history="1">
        <w:r>
          <w:rPr>
            <w:rStyle w:val="Hyperlink"/>
            <w:szCs w:val="24"/>
          </w:rPr>
          <w:t>8.</w:t>
        </w:r>
      </w:hyperlink>
    </w:p>
    <w:p w14:paraId="6F9AD132" w14:textId="57899E09" w:rsidR="005F31CF" w:rsidRDefault="005F31CF" w:rsidP="005F31CF">
      <w:pPr>
        <w:pStyle w:val="myTOC2"/>
      </w:pPr>
      <w:r>
        <w:t xml:space="preserve">A.  </w:t>
      </w:r>
      <w:r w:rsidRPr="00581869">
        <w:t>Modifications to Standards to Support the Commission’s Show Cause Order in Docket No. RP14-442-000</w:t>
      </w:r>
      <w:r>
        <w:tab/>
      </w:r>
      <w:hyperlink w:anchor="_bmk3" w:history="1">
        <w:r>
          <w:rPr>
            <w:rStyle w:val="Hyperlink"/>
            <w:szCs w:val="24"/>
          </w:rPr>
          <w:t>12.</w:t>
        </w:r>
      </w:hyperlink>
    </w:p>
    <w:p w14:paraId="55809536" w14:textId="6948730E" w:rsidR="005F31CF" w:rsidRDefault="005F31CF" w:rsidP="005F31CF">
      <w:pPr>
        <w:pStyle w:val="myTOC2"/>
      </w:pPr>
      <w:r>
        <w:t xml:space="preserve">B.  </w:t>
      </w:r>
      <w:r w:rsidRPr="00581869">
        <w:t>Location Codes</w:t>
      </w:r>
      <w:r>
        <w:tab/>
      </w:r>
      <w:hyperlink w:anchor="_bmk4" w:history="1">
        <w:r>
          <w:rPr>
            <w:rStyle w:val="Hyperlink"/>
            <w:szCs w:val="24"/>
          </w:rPr>
          <w:t>15.</w:t>
        </w:r>
      </w:hyperlink>
    </w:p>
    <w:p w14:paraId="1B72DAD2" w14:textId="7E92EE03" w:rsidR="005F31CF" w:rsidRDefault="005F31CF" w:rsidP="005F31CF">
      <w:pPr>
        <w:pStyle w:val="myTOC2"/>
      </w:pPr>
      <w:r>
        <w:t xml:space="preserve">C.  </w:t>
      </w:r>
      <w:r w:rsidRPr="00581869">
        <w:t>Request in Order No. 587-V for NAESB to Evaluate the Use of the Terms “Operating Capacity” and “Design Capacity”</w:t>
      </w:r>
      <w:r>
        <w:tab/>
      </w:r>
      <w:hyperlink w:anchor="_bmk5" w:history="1">
        <w:r>
          <w:rPr>
            <w:rStyle w:val="Hyperlink"/>
            <w:szCs w:val="24"/>
          </w:rPr>
          <w:t>18.</w:t>
        </w:r>
      </w:hyperlink>
    </w:p>
    <w:p w14:paraId="65C1F461" w14:textId="20B55ACA" w:rsidR="005F31CF" w:rsidRDefault="005F31CF" w:rsidP="005F31CF">
      <w:pPr>
        <w:pStyle w:val="myTOC2"/>
      </w:pPr>
      <w:r>
        <w:t xml:space="preserve">D.  </w:t>
      </w:r>
      <w:r w:rsidRPr="00581869">
        <w:t>Standards Previously Not Incorporated by Reference</w:t>
      </w:r>
      <w:r>
        <w:tab/>
      </w:r>
      <w:hyperlink w:anchor="_bmk6" w:history="1">
        <w:r>
          <w:rPr>
            <w:rStyle w:val="Hyperlink"/>
            <w:szCs w:val="24"/>
          </w:rPr>
          <w:t>20.</w:t>
        </w:r>
      </w:hyperlink>
    </w:p>
    <w:p w14:paraId="6868A875" w14:textId="3C6BFFC7" w:rsidR="005F31CF" w:rsidRDefault="005F31CF" w:rsidP="005F31CF">
      <w:pPr>
        <w:pStyle w:val="myTOC3"/>
      </w:pPr>
      <w:r>
        <w:t xml:space="preserve">1.  </w:t>
      </w:r>
      <w:r w:rsidRPr="00581869">
        <w:t>Contracts Standards and eTariff Related Standards</w:t>
      </w:r>
      <w:r>
        <w:tab/>
      </w:r>
      <w:hyperlink w:anchor="_bmk7" w:history="1">
        <w:r>
          <w:rPr>
            <w:rStyle w:val="Hyperlink"/>
            <w:szCs w:val="24"/>
          </w:rPr>
          <w:t>20.</w:t>
        </w:r>
      </w:hyperlink>
    </w:p>
    <w:p w14:paraId="16403BCE" w14:textId="2B49E797" w:rsidR="005F31CF" w:rsidRDefault="005F31CF" w:rsidP="005F31CF">
      <w:pPr>
        <w:pStyle w:val="myTOC3"/>
      </w:pPr>
      <w:r>
        <w:t xml:space="preserve">2.  </w:t>
      </w:r>
      <w:r w:rsidRPr="00581869">
        <w:t>Record Retention Standards</w:t>
      </w:r>
      <w:r>
        <w:tab/>
      </w:r>
      <w:hyperlink w:anchor="_bmk8" w:history="1">
        <w:r>
          <w:rPr>
            <w:rStyle w:val="Hyperlink"/>
            <w:szCs w:val="24"/>
          </w:rPr>
          <w:t>21.</w:t>
        </w:r>
      </w:hyperlink>
    </w:p>
    <w:p w14:paraId="4D46670B" w14:textId="762422DB" w:rsidR="005F31CF" w:rsidRDefault="005F31CF" w:rsidP="005F31CF">
      <w:pPr>
        <w:pStyle w:val="myTOC3"/>
      </w:pPr>
      <w:r>
        <w:t xml:space="preserve">3.  </w:t>
      </w:r>
      <w:r w:rsidRPr="00581869">
        <w:t>WGQ Interpretations</w:t>
      </w:r>
      <w:r>
        <w:tab/>
      </w:r>
      <w:hyperlink w:anchor="_bmk9" w:history="1">
        <w:r>
          <w:rPr>
            <w:rStyle w:val="Hyperlink"/>
            <w:szCs w:val="24"/>
          </w:rPr>
          <w:t>22.</w:t>
        </w:r>
      </w:hyperlink>
    </w:p>
    <w:p w14:paraId="635A1EDF" w14:textId="21528204" w:rsidR="005F31CF" w:rsidRDefault="005F31CF" w:rsidP="005F31CF">
      <w:pPr>
        <w:pStyle w:val="myTOC2"/>
      </w:pPr>
      <w:r>
        <w:t xml:space="preserve">E.  </w:t>
      </w:r>
      <w:r w:rsidRPr="00581869">
        <w:t>Proposed Implementation Procedures</w:t>
      </w:r>
      <w:r>
        <w:tab/>
      </w:r>
      <w:hyperlink w:anchor="_bmk10" w:history="1">
        <w:r>
          <w:rPr>
            <w:rStyle w:val="Hyperlink"/>
            <w:szCs w:val="24"/>
          </w:rPr>
          <w:t>23.</w:t>
        </w:r>
      </w:hyperlink>
    </w:p>
    <w:p w14:paraId="755297DC" w14:textId="5B9C0C75" w:rsidR="005F31CF" w:rsidRDefault="005F31CF" w:rsidP="005F31CF">
      <w:pPr>
        <w:pStyle w:val="myTOC1"/>
      </w:pPr>
      <w:r>
        <w:t xml:space="preserve">III.  </w:t>
      </w:r>
      <w:r w:rsidRPr="00581869">
        <w:t>Notice of Use of Voluntary Consensus Standards</w:t>
      </w:r>
      <w:r>
        <w:tab/>
      </w:r>
      <w:hyperlink w:anchor="_bmk11" w:history="1">
        <w:r>
          <w:rPr>
            <w:rStyle w:val="Hyperlink"/>
            <w:szCs w:val="24"/>
          </w:rPr>
          <w:t>28.</w:t>
        </w:r>
      </w:hyperlink>
    </w:p>
    <w:p w14:paraId="0C96DA4B" w14:textId="69C319DB" w:rsidR="005F31CF" w:rsidRDefault="005F31CF" w:rsidP="005F31CF">
      <w:pPr>
        <w:pStyle w:val="myTOC1"/>
      </w:pPr>
      <w:r>
        <w:t xml:space="preserve">IV.  </w:t>
      </w:r>
      <w:r w:rsidRPr="00581869">
        <w:t>Incorporation By Reference</w:t>
      </w:r>
      <w:r>
        <w:tab/>
      </w:r>
      <w:hyperlink w:anchor="_bmk12" w:history="1">
        <w:r>
          <w:rPr>
            <w:rStyle w:val="Hyperlink"/>
            <w:szCs w:val="24"/>
          </w:rPr>
          <w:t>29.</w:t>
        </w:r>
      </w:hyperlink>
    </w:p>
    <w:p w14:paraId="7CC3DB71" w14:textId="459D4D40" w:rsidR="005F31CF" w:rsidRDefault="005F31CF" w:rsidP="005F31CF">
      <w:pPr>
        <w:pStyle w:val="myTOC1"/>
      </w:pPr>
      <w:r>
        <w:t xml:space="preserve">V.  </w:t>
      </w:r>
      <w:r w:rsidRPr="00581869">
        <w:t>Information Collection Statement</w:t>
      </w:r>
      <w:r>
        <w:tab/>
      </w:r>
      <w:hyperlink w:anchor="_bmk13" w:history="1">
        <w:r>
          <w:rPr>
            <w:rStyle w:val="Hyperlink"/>
            <w:szCs w:val="24"/>
          </w:rPr>
          <w:t>32.</w:t>
        </w:r>
      </w:hyperlink>
    </w:p>
    <w:p w14:paraId="3EA9576F" w14:textId="0D81DFD0" w:rsidR="005F31CF" w:rsidRDefault="005F31CF" w:rsidP="005F31CF">
      <w:pPr>
        <w:pStyle w:val="myTOC1"/>
      </w:pPr>
      <w:r>
        <w:t xml:space="preserve">VI.  </w:t>
      </w:r>
      <w:r w:rsidRPr="00581869">
        <w:t>Environmental Analysis</w:t>
      </w:r>
      <w:r>
        <w:tab/>
      </w:r>
      <w:hyperlink w:anchor="_bmk14" w:history="1">
        <w:r>
          <w:rPr>
            <w:rStyle w:val="Hyperlink"/>
            <w:szCs w:val="24"/>
          </w:rPr>
          <w:t>36.</w:t>
        </w:r>
      </w:hyperlink>
    </w:p>
    <w:p w14:paraId="4A73DEBE" w14:textId="1232354B" w:rsidR="005F31CF" w:rsidRDefault="005F31CF" w:rsidP="005F31CF">
      <w:pPr>
        <w:pStyle w:val="myTOC1"/>
      </w:pPr>
      <w:r>
        <w:t xml:space="preserve">VII.  </w:t>
      </w:r>
      <w:r w:rsidRPr="00581869">
        <w:t>Regulatory Flexibility Act Analysis and Certification</w:t>
      </w:r>
      <w:r>
        <w:tab/>
      </w:r>
      <w:hyperlink w:anchor="_bmk15" w:history="1">
        <w:r>
          <w:rPr>
            <w:rStyle w:val="Hyperlink"/>
            <w:szCs w:val="24"/>
          </w:rPr>
          <w:t>37.</w:t>
        </w:r>
      </w:hyperlink>
    </w:p>
    <w:p w14:paraId="2B33340C" w14:textId="697A7A0D" w:rsidR="005F31CF" w:rsidRDefault="005F31CF" w:rsidP="005F31CF">
      <w:pPr>
        <w:pStyle w:val="myTOC1"/>
      </w:pPr>
      <w:r>
        <w:t xml:space="preserve">VIII.  </w:t>
      </w:r>
      <w:r w:rsidRPr="00581869">
        <w:t>Comment Procedures</w:t>
      </w:r>
      <w:r>
        <w:tab/>
      </w:r>
      <w:hyperlink w:anchor="_bmk16" w:history="1">
        <w:r>
          <w:rPr>
            <w:rStyle w:val="Hyperlink"/>
            <w:szCs w:val="24"/>
          </w:rPr>
          <w:t>40.</w:t>
        </w:r>
      </w:hyperlink>
    </w:p>
    <w:p w14:paraId="1AA932CB" w14:textId="5D7E5F98" w:rsidR="005F31CF" w:rsidRDefault="005F31CF" w:rsidP="005F31CF">
      <w:pPr>
        <w:pStyle w:val="myTOC1"/>
      </w:pPr>
      <w:r>
        <w:t xml:space="preserve">IX.  </w:t>
      </w:r>
      <w:r w:rsidRPr="00581869">
        <w:t>Document Availability</w:t>
      </w:r>
      <w:r>
        <w:tab/>
      </w:r>
      <w:hyperlink w:anchor="_bmk17" w:history="1">
        <w:r>
          <w:rPr>
            <w:rStyle w:val="Hyperlink"/>
            <w:szCs w:val="24"/>
          </w:rPr>
          <w:t>44.</w:t>
        </w:r>
      </w:hyperlink>
    </w:p>
    <w:p w14:paraId="7CF737AC" w14:textId="633665E1" w:rsidR="006E1C2C" w:rsidRPr="00581869" w:rsidRDefault="005F31CF" w:rsidP="0095394D">
      <w:pPr>
        <w:pStyle w:val="myTOC1"/>
        <w:sectPr w:rsidR="006E1C2C" w:rsidRPr="00581869" w:rsidSect="00EB1FC7">
          <w:headerReference w:type="default" r:id="rId16"/>
          <w:pgSz w:w="12240" w:h="15840"/>
          <w:pgMar w:top="1440" w:right="1440" w:bottom="1440" w:left="1440" w:header="720" w:footer="1440" w:gutter="0"/>
          <w:pgNumType w:fmt="numberInDash" w:start="1"/>
          <w:cols w:space="720"/>
          <w:noEndnote/>
          <w:titlePg/>
          <w:docGrid w:linePitch="354"/>
        </w:sectPr>
      </w:pPr>
      <w:r w:rsidRPr="00581869">
        <w:rPr>
          <w:lang w:val="en"/>
        </w:rPr>
        <w:t>Appendix</w:t>
      </w:r>
      <w:r>
        <w:tab/>
      </w:r>
      <w:hyperlink w:anchor="_bmk18" w:history="1">
        <w:r>
          <w:rPr>
            <w:rStyle w:val="Hyperlink"/>
            <w:szCs w:val="24"/>
          </w:rPr>
          <w:t>a.</w:t>
        </w:r>
      </w:hyperlink>
    </w:p>
    <w:p w14:paraId="04692497" w14:textId="50AD664F" w:rsidR="00B90E7A" w:rsidRDefault="00B90E7A" w:rsidP="006E1C2C">
      <w:pPr>
        <w:jc w:val="center"/>
      </w:pPr>
      <w:r>
        <w:lastRenderedPageBreak/>
        <w:t>152 FERC ¶ 61,055</w:t>
      </w:r>
    </w:p>
    <w:p w14:paraId="7600CBAB" w14:textId="77777777" w:rsidR="006E1C2C" w:rsidRPr="00581869" w:rsidRDefault="006E1C2C" w:rsidP="006E1C2C">
      <w:pPr>
        <w:jc w:val="center"/>
      </w:pPr>
      <w:r w:rsidRPr="00581869">
        <w:t>UNITED STATES OF AMERICA</w:t>
      </w:r>
    </w:p>
    <w:p w14:paraId="01A04A14" w14:textId="762C7944" w:rsidR="00EB1FC7" w:rsidRPr="00581869" w:rsidRDefault="006E1C2C" w:rsidP="006E1C2C">
      <w:pPr>
        <w:jc w:val="center"/>
      </w:pPr>
      <w:r w:rsidRPr="00581869">
        <w:t>FEDERAL ENERGY REGULA</w:t>
      </w:r>
      <w:r w:rsidR="00EB1FC7" w:rsidRPr="00581869">
        <w:t>TORY COMMISSION</w:t>
      </w:r>
    </w:p>
    <w:p w14:paraId="21A22F35" w14:textId="77777777" w:rsidR="00240586" w:rsidRPr="00581869" w:rsidRDefault="00240586" w:rsidP="00F449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28"/>
        <w:gridCol w:w="1537"/>
        <w:gridCol w:w="1895"/>
      </w:tblGrid>
      <w:tr w:rsidR="00EB1FC7" w:rsidRPr="00581869" w14:paraId="505FC7FF" w14:textId="77777777" w:rsidTr="00B923E5">
        <w:tc>
          <w:tcPr>
            <w:tcW w:w="5928" w:type="dxa"/>
            <w:shd w:val="clear" w:color="auto" w:fill="auto"/>
          </w:tcPr>
          <w:p w14:paraId="64A6F476" w14:textId="77777777" w:rsidR="0095394D" w:rsidRDefault="00EB1FC7" w:rsidP="00F4490B">
            <w:r w:rsidRPr="00581869">
              <w:t xml:space="preserve">Standards for Business </w:t>
            </w:r>
            <w:r w:rsidR="0095394D">
              <w:t>Practices of Interstate Natural</w:t>
            </w:r>
          </w:p>
          <w:p w14:paraId="160D4DFC" w14:textId="580CAF59" w:rsidR="00EB1FC7" w:rsidRPr="00581869" w:rsidRDefault="0095394D" w:rsidP="00F4490B">
            <w:r>
              <w:t xml:space="preserve">  </w:t>
            </w:r>
            <w:r w:rsidR="00EB1FC7" w:rsidRPr="00581869">
              <w:t>Gas Pipelines</w:t>
            </w:r>
          </w:p>
        </w:tc>
        <w:tc>
          <w:tcPr>
            <w:tcW w:w="1537" w:type="dxa"/>
            <w:shd w:val="clear" w:color="auto" w:fill="auto"/>
            <w:tcMar>
              <w:left w:w="72" w:type="dxa"/>
            </w:tcMar>
          </w:tcPr>
          <w:p w14:paraId="177577F8" w14:textId="77777777" w:rsidR="00EB1FC7" w:rsidRPr="00581869" w:rsidRDefault="00EB1FC7" w:rsidP="00F4490B">
            <w:pPr>
              <w:jc w:val="right"/>
            </w:pPr>
            <w:r w:rsidRPr="00581869">
              <w:t>Docket No.</w:t>
            </w:r>
          </w:p>
        </w:tc>
        <w:tc>
          <w:tcPr>
            <w:tcW w:w="1895" w:type="dxa"/>
            <w:shd w:val="clear" w:color="auto" w:fill="auto"/>
            <w:tcMar>
              <w:left w:w="144" w:type="dxa"/>
            </w:tcMar>
          </w:tcPr>
          <w:p w14:paraId="10881A25" w14:textId="77777777" w:rsidR="00EB1FC7" w:rsidRPr="00581869" w:rsidRDefault="00EB1FC7" w:rsidP="0095394D">
            <w:pPr>
              <w:ind w:left="-49"/>
            </w:pPr>
            <w:r w:rsidRPr="00581869">
              <w:t>RM96-1-038</w:t>
            </w:r>
          </w:p>
        </w:tc>
      </w:tr>
    </w:tbl>
    <w:p w14:paraId="05885137" w14:textId="77777777" w:rsidR="00EB1FC7" w:rsidRPr="00581869" w:rsidRDefault="00EB1FC7" w:rsidP="00F4490B"/>
    <w:p w14:paraId="59A05AB5" w14:textId="77777777" w:rsidR="00EB1FC7" w:rsidRPr="00581869" w:rsidRDefault="00EB1FC7" w:rsidP="00B923E5">
      <w:pPr>
        <w:spacing w:after="240"/>
        <w:jc w:val="center"/>
      </w:pPr>
      <w:r w:rsidRPr="00581869">
        <w:t>NOTICE OF PROPOSED RULEMAKING</w:t>
      </w:r>
    </w:p>
    <w:p w14:paraId="77C4C6A4" w14:textId="67300B81" w:rsidR="00EB1FC7" w:rsidRDefault="0095394D" w:rsidP="0095394D">
      <w:pPr>
        <w:widowControl/>
        <w:jc w:val="center"/>
      </w:pPr>
      <w:r w:rsidRPr="0095394D">
        <w:t>(July 16, 2015)</w:t>
      </w:r>
    </w:p>
    <w:p w14:paraId="393636FF" w14:textId="77777777" w:rsidR="0095394D" w:rsidRPr="0095394D" w:rsidRDefault="0095394D" w:rsidP="0095394D">
      <w:pPr>
        <w:widowControl/>
      </w:pPr>
    </w:p>
    <w:p w14:paraId="53056934" w14:textId="57EA22A0" w:rsidR="00EB1FC7" w:rsidRPr="00581869" w:rsidRDefault="003B4990" w:rsidP="00581869">
      <w:pPr>
        <w:pStyle w:val="FERCparanumber"/>
      </w:pPr>
      <w:r w:rsidRPr="00581869">
        <w:t>The Federal Energy Regulatory Commission (Commission) proposes to amend its regulations at 18 CFR 284.12 to incorporate by reference</w:t>
      </w:r>
      <w:r w:rsidR="006F5A2A" w:rsidRPr="00581869">
        <w:t xml:space="preserve">, with certain enumerated exceptions, </w:t>
      </w:r>
      <w:r w:rsidRPr="00581869">
        <w:t xml:space="preserve">the latest version (Version </w:t>
      </w:r>
      <w:r w:rsidR="00806DB5" w:rsidRPr="00581869">
        <w:t>3</w:t>
      </w:r>
      <w:r w:rsidRPr="00581869">
        <w:t>.0) of business practice standards adopted by the Wholesale Gas Quadrant (WGQ) of the North American Energy Standards Board (NAESB) applicable to natural gas pipelines</w:t>
      </w:r>
      <w:r w:rsidR="00806DB5" w:rsidRPr="00581869">
        <w:t xml:space="preserve"> that </w:t>
      </w:r>
      <w:r w:rsidR="00ED7E50" w:rsidRPr="00581869">
        <w:t xml:space="preserve">NAESB </w:t>
      </w:r>
      <w:r w:rsidR="00806DB5" w:rsidRPr="00581869">
        <w:t>reported to the Commission on November 14, 2014</w:t>
      </w:r>
      <w:r w:rsidRPr="00581869">
        <w:t xml:space="preserve">.  </w:t>
      </w:r>
      <w:r w:rsidR="00806DB5" w:rsidRPr="00581869">
        <w:t>The Version 3.0 package of standards includes standards governing coordination of the scheduling processes of interstate natural gas pipelines and public utilities that the Commission incorporated by reference in Docket No. RM14-2-000.</w:t>
      </w:r>
      <w:r w:rsidR="00806DB5" w:rsidRPr="00581869">
        <w:rPr>
          <w:rStyle w:val="FootnoteReference"/>
        </w:rPr>
        <w:footnoteReference w:id="2"/>
      </w:r>
      <w:r w:rsidR="008B52B6" w:rsidRPr="00581869">
        <w:t xml:space="preserve">  </w:t>
      </w:r>
      <w:r w:rsidR="00983F89" w:rsidRPr="00581869">
        <w:t>The standards also revise the codes use</w:t>
      </w:r>
      <w:r w:rsidR="0010758E" w:rsidRPr="00581869">
        <w:t>d</w:t>
      </w:r>
      <w:r w:rsidR="00983F89" w:rsidRPr="00581869">
        <w:t xml:space="preserve"> to identify receipt and delivery locations in the Index of Customers.  </w:t>
      </w:r>
      <w:r w:rsidR="008B52B6" w:rsidRPr="00581869">
        <w:t>In addition, for consistency</w:t>
      </w:r>
      <w:r w:rsidR="00983F89" w:rsidRPr="00581869">
        <w:t xml:space="preserve"> with the Index of Customers</w:t>
      </w:r>
      <w:r w:rsidR="008B52B6" w:rsidRPr="00581869">
        <w:t>, the Commission proposes to amend its regulations at 18 CFR 157.14</w:t>
      </w:r>
      <w:r w:rsidR="00465420" w:rsidRPr="00581869">
        <w:t>, 157.18,</w:t>
      </w:r>
      <w:r w:rsidR="008B52B6" w:rsidRPr="00581869">
        <w:t xml:space="preserve"> and 260.8 to have receipt and delivery point information in exhibits and system flow diagrams us</w:t>
      </w:r>
      <w:r w:rsidR="00ED7E50" w:rsidRPr="00581869">
        <w:t>e</w:t>
      </w:r>
      <w:r w:rsidR="008B52B6" w:rsidRPr="00581869">
        <w:t xml:space="preserve"> the same location point names as provided for in the Version 3.0 Standards.</w:t>
      </w:r>
    </w:p>
    <w:p w14:paraId="11A1D1D3" w14:textId="77777777" w:rsidR="00EB1FC7" w:rsidRPr="00581869" w:rsidRDefault="00EB1FC7" w:rsidP="003B4990">
      <w:pPr>
        <w:pStyle w:val="Heading1"/>
      </w:pPr>
      <w:r w:rsidRPr="00581869">
        <w:lastRenderedPageBreak/>
        <w:t>Background</w:t>
      </w:r>
      <w:bookmarkStart w:id="3" w:name="_bmk1"/>
    </w:p>
    <w:bookmarkEnd w:id="3"/>
    <w:p w14:paraId="07FB4EA4" w14:textId="77777777" w:rsidR="003B4990" w:rsidRPr="00581869" w:rsidRDefault="003B4990" w:rsidP="00581869">
      <w:pPr>
        <w:pStyle w:val="FERCparanumber"/>
      </w:pPr>
      <w:r w:rsidRPr="00581869">
        <w:t>Since 1996, the Commission has adopted regulations to standardize the business practices and communication methodologies of interstate natural gas pipelines to create a more integrated and efficient pipeline grid.  These regulations have been promulgated in the Order No. 587 series of orders,</w:t>
      </w:r>
      <w:r w:rsidR="00110725" w:rsidRPr="00581869">
        <w:rPr>
          <w:rStyle w:val="FootnoteReference"/>
        </w:rPr>
        <w:footnoteReference w:id="3"/>
      </w:r>
      <w:r w:rsidRPr="00581869">
        <w:t xml:space="preserve"> wherein the Commission has incorporated by reference standards for interstate natural gas pipeline business practices and electronic communications that were developed and adopted by NAESB’s WGQ.  Upon incorporation by reference, this version of these standards will become part of the Commission’s regulations and compliance by interstate natural gas pipelines will become mandatory.</w:t>
      </w:r>
    </w:p>
    <w:p w14:paraId="65E5F581" w14:textId="4C8306DA" w:rsidR="007D2BB5" w:rsidRPr="00581869" w:rsidRDefault="003B4990" w:rsidP="00581869">
      <w:pPr>
        <w:pStyle w:val="FERCparanumber"/>
      </w:pPr>
      <w:bookmarkStart w:id="4" w:name="_Ref423002212"/>
      <w:r w:rsidRPr="00581869">
        <w:t xml:space="preserve">On </w:t>
      </w:r>
      <w:r w:rsidR="006F5A2A" w:rsidRPr="00581869">
        <w:t>July</w:t>
      </w:r>
      <w:r w:rsidRPr="00581869">
        <w:t xml:space="preserve"> </w:t>
      </w:r>
      <w:r w:rsidR="006F5A2A" w:rsidRPr="00581869">
        <w:t>23</w:t>
      </w:r>
      <w:r w:rsidRPr="00581869">
        <w:t>, 201</w:t>
      </w:r>
      <w:r w:rsidR="006F5A2A" w:rsidRPr="00581869">
        <w:t>3</w:t>
      </w:r>
      <w:r w:rsidRPr="00581869">
        <w:t xml:space="preserve">, </w:t>
      </w:r>
      <w:r w:rsidR="00EA09C6" w:rsidRPr="00581869">
        <w:t>as corrected on July 2</w:t>
      </w:r>
      <w:r w:rsidR="006224AA" w:rsidRPr="00581869">
        <w:t>5</w:t>
      </w:r>
      <w:r w:rsidR="00EA09C6" w:rsidRPr="00581869">
        <w:t xml:space="preserve">, 2013, </w:t>
      </w:r>
      <w:r w:rsidRPr="00581869">
        <w:t>NAESB filed a report informing the Commission that it had adopted and ratified Version 2.</w:t>
      </w:r>
      <w:r w:rsidR="006F5A2A" w:rsidRPr="00581869">
        <w:t>1</w:t>
      </w:r>
      <w:r w:rsidRPr="00581869">
        <w:t xml:space="preserve"> of its business practice standards applicable to natural gas pipelines.  </w:t>
      </w:r>
      <w:r w:rsidR="008936FE" w:rsidRPr="00581869">
        <w:t>NAESB reports that the WGQ reviewed, at the request of the industry, the necessity of maintaining the current location common codes system to determine if the system provides a significant benefit to the industry and should be continued.</w:t>
      </w:r>
      <w:r w:rsidR="00D400AA" w:rsidRPr="00581869">
        <w:rPr>
          <w:rStyle w:val="FootnoteReference"/>
        </w:rPr>
        <w:footnoteReference w:id="4"/>
      </w:r>
      <w:r w:rsidR="008936FE" w:rsidRPr="00581869">
        <w:t xml:space="preserve">  NAESB </w:t>
      </w:r>
      <w:r w:rsidR="001455D7" w:rsidRPr="00581869">
        <w:t xml:space="preserve">(in its previous </w:t>
      </w:r>
      <w:r w:rsidR="007D2BB5" w:rsidRPr="00581869">
        <w:t xml:space="preserve">corporate </w:t>
      </w:r>
      <w:r w:rsidR="001455D7" w:rsidRPr="00581869">
        <w:t xml:space="preserve">incarnation as the Gas Industry </w:t>
      </w:r>
      <w:r w:rsidR="001455D7" w:rsidRPr="00581869">
        <w:lastRenderedPageBreak/>
        <w:t xml:space="preserve">Standards Board) </w:t>
      </w:r>
      <w:r w:rsidR="007D2BB5" w:rsidRPr="00581869">
        <w:t>adopted a system of registering common codes to identify interconnection points between pipelines using a single code for the shared point.</w:t>
      </w:r>
      <w:r w:rsidR="003F0D3F" w:rsidRPr="00581869">
        <w:t xml:space="preserve">  The industry chose an independent third party to assign and maintain the common code database.</w:t>
      </w:r>
      <w:bookmarkEnd w:id="4"/>
    </w:p>
    <w:p w14:paraId="4F04ABE4" w14:textId="74EBF482" w:rsidR="00EA09C6" w:rsidRPr="00581869" w:rsidRDefault="008936FE" w:rsidP="00581869">
      <w:pPr>
        <w:pStyle w:val="FERCparanumber"/>
      </w:pPr>
      <w:r w:rsidRPr="00581869">
        <w:t>NAESB reports that, after extensive discussions, the WGQ reached the conclusion that the NAESB WGQ Standards should no longer support the location common codes system</w:t>
      </w:r>
      <w:r w:rsidR="00077660" w:rsidRPr="00581869">
        <w:t>, as the NAESB membership concluded that the system provided little commercial benefit to the industry at large</w:t>
      </w:r>
      <w:r w:rsidRPr="00581869">
        <w:t xml:space="preserve">.  </w:t>
      </w:r>
      <w:r w:rsidR="00077660" w:rsidRPr="00581869">
        <w:t xml:space="preserve">Consistent with this determination, the </w:t>
      </w:r>
      <w:r w:rsidR="00404C1B" w:rsidRPr="00581869">
        <w:t xml:space="preserve">Version </w:t>
      </w:r>
      <w:r w:rsidR="00077660" w:rsidRPr="00581869">
        <w:t xml:space="preserve">2.1 </w:t>
      </w:r>
      <w:r w:rsidR="00404C1B" w:rsidRPr="00581869">
        <w:t>S</w:t>
      </w:r>
      <w:r w:rsidR="00077660" w:rsidRPr="00581869">
        <w:t>tandards added seven new standards, modified six standards</w:t>
      </w:r>
      <w:r w:rsidR="0010758E" w:rsidRPr="00581869">
        <w:t>,</w:t>
      </w:r>
      <w:r w:rsidR="00077660" w:rsidRPr="00581869">
        <w:t xml:space="preserve"> and deleted three standards to match up with a transition from common codes to proprietary codes.</w:t>
      </w:r>
      <w:r w:rsidR="00C165A9" w:rsidRPr="00581869">
        <w:rPr>
          <w:rStyle w:val="FootnoteReference"/>
        </w:rPr>
        <w:footnoteReference w:id="5"/>
      </w:r>
      <w:r w:rsidR="00404C1B" w:rsidRPr="00581869">
        <w:t xml:space="preserve">  These will be the codes assigned by the transportation service providers for the identification of locations.</w:t>
      </w:r>
      <w:r w:rsidR="00404C1B" w:rsidRPr="00581869">
        <w:rPr>
          <w:rStyle w:val="FootnoteReference"/>
        </w:rPr>
        <w:footnoteReference w:id="6"/>
      </w:r>
      <w:r w:rsidR="001E59D4" w:rsidRPr="00581869">
        <w:t xml:space="preserve">  The standards require pipelines to post sufficient information on their websites to permit shippers and the Commission to identify the interconnection points between pipelines that were previously identified through the common codes.</w:t>
      </w:r>
    </w:p>
    <w:p w14:paraId="01431A28" w14:textId="16048A54" w:rsidR="00EA09C6" w:rsidRPr="00581869" w:rsidRDefault="00EA09C6" w:rsidP="00581869">
      <w:pPr>
        <w:pStyle w:val="FERCparanumber"/>
      </w:pPr>
      <w:r w:rsidRPr="00581869">
        <w:lastRenderedPageBreak/>
        <w:t>Additionally, as requested by the Commission in Order No. 587-V,</w:t>
      </w:r>
      <w:r w:rsidR="00395B29" w:rsidRPr="00581869">
        <w:rPr>
          <w:rStyle w:val="FootnoteReference"/>
        </w:rPr>
        <w:footnoteReference w:id="7"/>
      </w:r>
      <w:r w:rsidRPr="00581869">
        <w:t xml:space="preserve"> NAESB modified the standards to include reporting requirements for “Design Capacity” for each location by transportation service providers.</w:t>
      </w:r>
      <w:r w:rsidRPr="00581869">
        <w:rPr>
          <w:rStyle w:val="FootnoteReference"/>
        </w:rPr>
        <w:footnoteReference w:id="8"/>
      </w:r>
      <w:r w:rsidRPr="00581869">
        <w:t xml:space="preserve">  Other changes to the existing standards were made at the request of industry.  These include changes to the NAESB WGQ Additional Standards, Nominations Related Standards, Flowing Gas Related Standards, Invoicing Related Standards, Quadrant E</w:t>
      </w:r>
      <w:r w:rsidR="006224AA" w:rsidRPr="00581869">
        <w:t xml:space="preserve">lectronic </w:t>
      </w:r>
      <w:r w:rsidRPr="00581869">
        <w:t>D</w:t>
      </w:r>
      <w:r w:rsidR="006224AA" w:rsidRPr="00581869">
        <w:t xml:space="preserve">elivery </w:t>
      </w:r>
      <w:r w:rsidRPr="00581869">
        <w:t>M</w:t>
      </w:r>
      <w:r w:rsidR="006224AA" w:rsidRPr="00581869">
        <w:t>echanism</w:t>
      </w:r>
      <w:r w:rsidRPr="00581869">
        <w:t xml:space="preserve"> Standards, Capacity Release Related Standards</w:t>
      </w:r>
      <w:r w:rsidR="0010758E" w:rsidRPr="00581869">
        <w:t>,</w:t>
      </w:r>
      <w:r w:rsidRPr="00581869">
        <w:t xml:space="preserve"> and Data Set Standards.</w:t>
      </w:r>
      <w:r w:rsidR="00404C1B" w:rsidRPr="00581869">
        <w:rPr>
          <w:rStyle w:val="FootnoteReference"/>
        </w:rPr>
        <w:footnoteReference w:id="9"/>
      </w:r>
      <w:r w:rsidRPr="00581869">
        <w:t xml:space="preserve"> </w:t>
      </w:r>
      <w:r w:rsidR="005B73D4" w:rsidRPr="00581869">
        <w:t xml:space="preserve"> </w:t>
      </w:r>
      <w:r w:rsidRPr="00581869">
        <w:t xml:space="preserve">NAESB </w:t>
      </w:r>
      <w:r w:rsidR="00395B29" w:rsidRPr="00581869">
        <w:t>further</w:t>
      </w:r>
      <w:r w:rsidRPr="00581869">
        <w:t xml:space="preserve"> reports on the changes it made to the NAESB WGQ Interpretations </w:t>
      </w:r>
      <w:r w:rsidR="006224AA" w:rsidRPr="00581869">
        <w:t xml:space="preserve">and </w:t>
      </w:r>
      <w:r w:rsidRPr="00581869">
        <w:t>Contracts and Manuals that the Commission has declined to incorporate by reference in past Final Rules.</w:t>
      </w:r>
      <w:r w:rsidR="00795132" w:rsidRPr="00581869">
        <w:rPr>
          <w:rStyle w:val="FootnoteReference"/>
        </w:rPr>
        <w:footnoteReference w:id="10"/>
      </w:r>
      <w:r w:rsidR="00395B29" w:rsidRPr="00581869">
        <w:t xml:space="preserve"> </w:t>
      </w:r>
      <w:r w:rsidRPr="00581869">
        <w:t xml:space="preserve"> NAESB </w:t>
      </w:r>
      <w:r w:rsidR="00395B29" w:rsidRPr="00581869">
        <w:t xml:space="preserve">also </w:t>
      </w:r>
      <w:r w:rsidRPr="00581869">
        <w:t>reports on all the m</w:t>
      </w:r>
      <w:r w:rsidR="00404C1B" w:rsidRPr="00581869">
        <w:t>i</w:t>
      </w:r>
      <w:r w:rsidRPr="00581869">
        <w:t>nor corrections it has made to the standards</w:t>
      </w:r>
      <w:r w:rsidR="00404C1B" w:rsidRPr="00581869">
        <w:t xml:space="preserve"> since Version 2.0 of the Standards</w:t>
      </w:r>
      <w:r w:rsidRPr="00581869">
        <w:t>.</w:t>
      </w:r>
      <w:r w:rsidR="00404C1B" w:rsidRPr="00581869">
        <w:rPr>
          <w:rStyle w:val="FootnoteReference"/>
        </w:rPr>
        <w:footnoteReference w:id="11"/>
      </w:r>
      <w:r w:rsidR="00795132" w:rsidRPr="00581869">
        <w:t xml:space="preserve">  Finally, NAESB reports on items that it considered changing but on which it took no action.</w:t>
      </w:r>
      <w:r w:rsidR="00795132" w:rsidRPr="00581869">
        <w:rPr>
          <w:rStyle w:val="FootnoteReference"/>
        </w:rPr>
        <w:footnoteReference w:id="12"/>
      </w:r>
    </w:p>
    <w:p w14:paraId="031033CB" w14:textId="7AACAB23" w:rsidR="005B6388" w:rsidRDefault="00EC4DCF" w:rsidP="00581869">
      <w:pPr>
        <w:pStyle w:val="FERCparanumber"/>
      </w:pPr>
      <w:r w:rsidRPr="00581869">
        <w:t xml:space="preserve">On November 14, 2014, </w:t>
      </w:r>
      <w:r w:rsidR="003B4990" w:rsidRPr="00581869">
        <w:t xml:space="preserve">NAESB filed a report informing the Commission that it had adopted and ratified Version </w:t>
      </w:r>
      <w:r w:rsidRPr="00581869">
        <w:t>3</w:t>
      </w:r>
      <w:r w:rsidR="003B4990" w:rsidRPr="00581869">
        <w:t>.</w:t>
      </w:r>
      <w:r w:rsidRPr="00581869">
        <w:t>0</w:t>
      </w:r>
      <w:r w:rsidR="003B4990" w:rsidRPr="00581869">
        <w:t xml:space="preserve"> of its business practice standards applicable to </w:t>
      </w:r>
      <w:r w:rsidR="003B4990" w:rsidRPr="00581869">
        <w:lastRenderedPageBreak/>
        <w:t>natural gas pipelines.</w:t>
      </w:r>
      <w:r w:rsidR="005C1C71" w:rsidRPr="00581869">
        <w:t xml:space="preserve">  NAESB reports that all of the modifications made in the </w:t>
      </w:r>
      <w:r w:rsidR="000A6C3B">
        <w:br/>
      </w:r>
      <w:r w:rsidR="005C1C71" w:rsidRPr="00581869">
        <w:t>Version 2.1 Standards</w:t>
      </w:r>
      <w:r w:rsidR="00E21F46" w:rsidRPr="00581869">
        <w:t xml:space="preserve"> are included in the Version 3.0 Standards and thus no action is needed on the Version 2.1 Standards.</w:t>
      </w:r>
      <w:r w:rsidR="00E21F46" w:rsidRPr="00581869">
        <w:rPr>
          <w:rStyle w:val="FootnoteReference"/>
        </w:rPr>
        <w:footnoteReference w:id="13"/>
      </w:r>
      <w:r w:rsidR="00E21F46" w:rsidRPr="00581869">
        <w:t xml:space="preserve">  The Version 3.0 Standards </w:t>
      </w:r>
      <w:r w:rsidR="007D2BB5" w:rsidRPr="00581869">
        <w:t>added the</w:t>
      </w:r>
      <w:r w:rsidR="00E21F46" w:rsidRPr="00581869">
        <w:t xml:space="preserve"> modifications to support efforts to harmonize </w:t>
      </w:r>
      <w:r w:rsidR="00395B29" w:rsidRPr="00581869">
        <w:t>g</w:t>
      </w:r>
      <w:r w:rsidR="00E21F46" w:rsidRPr="00581869">
        <w:t>as-</w:t>
      </w:r>
      <w:r w:rsidR="00395B29" w:rsidRPr="00581869">
        <w:t>e</w:t>
      </w:r>
      <w:r w:rsidR="00E21F46" w:rsidRPr="00581869">
        <w:t>lectric scheduling coordination</w:t>
      </w:r>
      <w:r w:rsidR="007D2BB5" w:rsidRPr="00581869">
        <w:t xml:space="preserve"> that NAESB had separately filed and that</w:t>
      </w:r>
      <w:r w:rsidR="00E21F46" w:rsidRPr="00581869">
        <w:t xml:space="preserve"> </w:t>
      </w:r>
      <w:r w:rsidR="005B73D4" w:rsidRPr="00581869">
        <w:t>t</w:t>
      </w:r>
      <w:r w:rsidR="00E21F46" w:rsidRPr="00581869">
        <w:t xml:space="preserve">he Commission incorporated </w:t>
      </w:r>
      <w:r w:rsidR="00781584" w:rsidRPr="00581869">
        <w:t xml:space="preserve">by reference </w:t>
      </w:r>
      <w:r w:rsidR="00E21F46" w:rsidRPr="00581869">
        <w:t>in Order No. 809.</w:t>
      </w:r>
      <w:r w:rsidR="00E21F46" w:rsidRPr="00581869">
        <w:rPr>
          <w:rStyle w:val="FootnoteReference"/>
        </w:rPr>
        <w:footnoteReference w:id="14"/>
      </w:r>
      <w:r w:rsidR="005C1C71" w:rsidRPr="00581869">
        <w:t xml:space="preserve"> </w:t>
      </w:r>
      <w:r w:rsidR="00A56B3F" w:rsidRPr="00581869">
        <w:t xml:space="preserve"> </w:t>
      </w:r>
      <w:bookmarkStart w:id="5" w:name="_Ref423002227"/>
      <w:r w:rsidR="00A56B3F" w:rsidRPr="00581869">
        <w:t xml:space="preserve">In addition, </w:t>
      </w:r>
      <w:r w:rsidR="005B73D4" w:rsidRPr="00581869">
        <w:t xml:space="preserve">the </w:t>
      </w:r>
      <w:r w:rsidR="00A56B3F" w:rsidRPr="00581869">
        <w:t xml:space="preserve">Version 3.0 </w:t>
      </w:r>
      <w:r w:rsidR="005B73D4" w:rsidRPr="00581869">
        <w:t xml:space="preserve">Standards </w:t>
      </w:r>
      <w:r w:rsidR="00DC4E34" w:rsidRPr="00581869">
        <w:t xml:space="preserve">contain </w:t>
      </w:r>
      <w:r w:rsidR="00182BF3" w:rsidRPr="00581869">
        <w:t xml:space="preserve">revisions to the </w:t>
      </w:r>
      <w:r w:rsidR="00DC4E34" w:rsidRPr="00581869">
        <w:t xml:space="preserve">capacity release standards regarding </w:t>
      </w:r>
      <w:r w:rsidR="00182BF3" w:rsidRPr="00581869">
        <w:t>posting requirements for offers to purchase released capacity that were the subject of the Commission’s order to show cause in Docket No. RP14-442-000.</w:t>
      </w:r>
      <w:r w:rsidR="00182BF3" w:rsidRPr="00581869">
        <w:rPr>
          <w:rStyle w:val="FootnoteReference"/>
        </w:rPr>
        <w:footnoteReference w:id="15"/>
      </w:r>
      <w:r w:rsidR="00182BF3" w:rsidRPr="00581869">
        <w:t xml:space="preserve">  </w:t>
      </w:r>
      <w:r w:rsidR="00DC4E34" w:rsidRPr="00581869">
        <w:t xml:space="preserve">Other revisions in </w:t>
      </w:r>
      <w:r w:rsidR="005B73D4" w:rsidRPr="00581869">
        <w:t xml:space="preserve">the </w:t>
      </w:r>
      <w:r w:rsidR="00DC4E34" w:rsidRPr="00581869">
        <w:t xml:space="preserve">Version </w:t>
      </w:r>
      <w:r w:rsidR="00A56B3F" w:rsidRPr="00581869">
        <w:t xml:space="preserve">3.0 </w:t>
      </w:r>
      <w:r w:rsidR="005B73D4" w:rsidRPr="00581869">
        <w:t xml:space="preserve">Standards </w:t>
      </w:r>
      <w:r w:rsidR="00DC4E34" w:rsidRPr="00581869">
        <w:t xml:space="preserve">are:  </w:t>
      </w:r>
      <w:r w:rsidR="005B73D4" w:rsidRPr="00581869">
        <w:t xml:space="preserve">(1) </w:t>
      </w:r>
      <w:r w:rsidR="00DC4E34" w:rsidRPr="00581869">
        <w:t>revisions to the standards to define “Operating Capacity” and “Design Capacity” in response to the Commission request in Order No. 587-V;</w:t>
      </w:r>
      <w:r w:rsidR="00DC4E34" w:rsidRPr="00581869">
        <w:rPr>
          <w:rStyle w:val="FootnoteReference"/>
        </w:rPr>
        <w:footnoteReference w:id="16"/>
      </w:r>
      <w:r w:rsidR="00DC4E34" w:rsidRPr="00581869">
        <w:t xml:space="preserve"> </w:t>
      </w:r>
      <w:r w:rsidR="005B73D4" w:rsidRPr="00581869">
        <w:t xml:space="preserve">(2) </w:t>
      </w:r>
      <w:r w:rsidR="00DC4E34" w:rsidRPr="00581869">
        <w:t>elimination of</w:t>
      </w:r>
      <w:r w:rsidR="00A56B3F" w:rsidRPr="00581869">
        <w:t xml:space="preserve"> the WGQ Interpretations</w:t>
      </w:r>
      <w:r w:rsidR="00DC4E34" w:rsidRPr="00581869">
        <w:t>, which</w:t>
      </w:r>
      <w:r w:rsidR="00A56B3F" w:rsidRPr="00581869">
        <w:t xml:space="preserve"> the Commission declined to incorporate </w:t>
      </w:r>
      <w:r w:rsidR="00DC4E34" w:rsidRPr="00581869">
        <w:t>by reference</w:t>
      </w:r>
      <w:r w:rsidR="00150A29" w:rsidRPr="00581869">
        <w:t>;</w:t>
      </w:r>
      <w:r w:rsidR="00A56B3F" w:rsidRPr="00581869">
        <w:t xml:space="preserve"> </w:t>
      </w:r>
      <w:r w:rsidR="005B73D4" w:rsidRPr="00581869">
        <w:t xml:space="preserve">(3) </w:t>
      </w:r>
      <w:r w:rsidR="00DC4E34" w:rsidRPr="00581869">
        <w:t xml:space="preserve">modifications to </w:t>
      </w:r>
      <w:r w:rsidR="00182BF3" w:rsidRPr="00581869">
        <w:t>standards to reflect the interpretations</w:t>
      </w:r>
      <w:r w:rsidR="00150A29" w:rsidRPr="00581869">
        <w:t>; (4)</w:t>
      </w:r>
      <w:r w:rsidR="00182BF3" w:rsidRPr="00581869">
        <w:t xml:space="preserve"> </w:t>
      </w:r>
      <w:r w:rsidR="00A56B3F" w:rsidRPr="00581869">
        <w:t>modifications for maintenance purposes</w:t>
      </w:r>
      <w:r w:rsidR="00182BF3" w:rsidRPr="00581869">
        <w:t>, which</w:t>
      </w:r>
      <w:r w:rsidR="00A56B3F" w:rsidRPr="00581869">
        <w:t xml:space="preserve"> include</w:t>
      </w:r>
      <w:r w:rsidR="00150A29" w:rsidRPr="00581869">
        <w:t>s</w:t>
      </w:r>
      <w:r w:rsidR="00A56B3F" w:rsidRPr="00581869">
        <w:t xml:space="preserve"> changes to eliminate the appearance of the electronic data interchange in the imbalance trading process</w:t>
      </w:r>
      <w:r w:rsidR="00150A29" w:rsidRPr="00581869">
        <w:t>;</w:t>
      </w:r>
      <w:r w:rsidR="00A56B3F" w:rsidRPr="00581869">
        <w:t xml:space="preserve"> </w:t>
      </w:r>
      <w:r w:rsidR="00150A29" w:rsidRPr="00581869">
        <w:t xml:space="preserve">(5) </w:t>
      </w:r>
      <w:r w:rsidR="00A56B3F" w:rsidRPr="00581869">
        <w:t>modifications to reflect new data elements</w:t>
      </w:r>
      <w:r w:rsidR="00150A29" w:rsidRPr="00581869">
        <w:t>;</w:t>
      </w:r>
      <w:r w:rsidR="00A56B3F" w:rsidRPr="00581869">
        <w:t xml:space="preserve"> and </w:t>
      </w:r>
      <w:r w:rsidR="00150A29" w:rsidRPr="00581869">
        <w:t xml:space="preserve">(6) </w:t>
      </w:r>
      <w:r w:rsidR="00A56B3F" w:rsidRPr="00581869">
        <w:t xml:space="preserve">edits for clarity </w:t>
      </w:r>
      <w:r w:rsidR="00A56B3F" w:rsidRPr="00581869">
        <w:lastRenderedPageBreak/>
        <w:t>and to increase user-friendliness.  The Version 3.0 standards have also been revised to include 29 minor corrections.</w:t>
      </w:r>
      <w:r w:rsidR="00DB0B8B" w:rsidRPr="00581869">
        <w:rPr>
          <w:rStyle w:val="FootnoteReference"/>
        </w:rPr>
        <w:footnoteReference w:id="17"/>
      </w:r>
      <w:bookmarkEnd w:id="5"/>
    </w:p>
    <w:p w14:paraId="064F1939" w14:textId="7F899069" w:rsidR="00636FD8" w:rsidRPr="00581869" w:rsidRDefault="005B6388" w:rsidP="00581869">
      <w:pPr>
        <w:pStyle w:val="FERCparanumber"/>
      </w:pPr>
      <w:r w:rsidRPr="005B6388">
        <w:t xml:space="preserve">On </w:t>
      </w:r>
      <w:r>
        <w:t>July</w:t>
      </w:r>
      <w:r w:rsidR="002D502E">
        <w:t xml:space="preserve"> 7</w:t>
      </w:r>
      <w:r>
        <w:t xml:space="preserve">, </w:t>
      </w:r>
      <w:r w:rsidRPr="005B6388">
        <w:t>201</w:t>
      </w:r>
      <w:r>
        <w:t>5</w:t>
      </w:r>
      <w:r w:rsidRPr="005B6388">
        <w:t>, NAESB filed a report informing the Commission that</w:t>
      </w:r>
      <w:r w:rsidR="00DB0B8B" w:rsidRPr="00581869">
        <w:t xml:space="preserve"> </w:t>
      </w:r>
      <w:r>
        <w:t>it has made errata corrections to the WGQ Version 3.0 Business Practice Standards.</w:t>
      </w:r>
      <w:r w:rsidR="00D52F33">
        <w:rPr>
          <w:rStyle w:val="FootnoteReference"/>
        </w:rPr>
        <w:footnoteReference w:id="18"/>
      </w:r>
      <w:r>
        <w:t xml:space="preserve">  These corrections incorporate a 9:00 AM Central Clock Time (CCT) start </w:t>
      </w:r>
      <w:r w:rsidR="00B65259">
        <w:t>to</w:t>
      </w:r>
      <w:r>
        <w:t xml:space="preserve"> the gas operating day, consistent with the Commission’s findings in Order No. 809</w:t>
      </w:r>
      <w:r w:rsidR="00B65259">
        <w:rPr>
          <w:rStyle w:val="FootnoteReference"/>
        </w:rPr>
        <w:footnoteReference w:id="19"/>
      </w:r>
      <w:r>
        <w:t xml:space="preserve"> and </w:t>
      </w:r>
      <w:r w:rsidR="00B65259">
        <w:t>also correct other minor errors</w:t>
      </w:r>
      <w:r w:rsidR="00843F17">
        <w:t>.</w:t>
      </w:r>
    </w:p>
    <w:p w14:paraId="23874506" w14:textId="77777777" w:rsidR="00EB1FC7" w:rsidRPr="00581869" w:rsidRDefault="00EB1FC7" w:rsidP="003B4990">
      <w:pPr>
        <w:pStyle w:val="Heading1"/>
      </w:pPr>
      <w:r w:rsidRPr="00581869">
        <w:t>Discussion</w:t>
      </w:r>
      <w:bookmarkStart w:id="6" w:name="_bmk2"/>
    </w:p>
    <w:bookmarkEnd w:id="6"/>
    <w:p w14:paraId="1BC6EE87" w14:textId="3C594AEB" w:rsidR="008B0978" w:rsidRPr="00581869" w:rsidRDefault="00B66993" w:rsidP="00581869">
      <w:pPr>
        <w:pStyle w:val="FERCparanumber"/>
      </w:pPr>
      <w:r w:rsidRPr="00581869">
        <w:t>In this NOPR, the Commission proposes to incorporate by reference</w:t>
      </w:r>
      <w:r w:rsidR="00ED7E50" w:rsidRPr="00581869">
        <w:t>,</w:t>
      </w:r>
      <w:r w:rsidR="00486815" w:rsidRPr="00581869">
        <w:t xml:space="preserve"> </w:t>
      </w:r>
      <w:r w:rsidRPr="00581869">
        <w:t>in its regulations</w:t>
      </w:r>
      <w:r w:rsidR="00ED7E50" w:rsidRPr="00581869">
        <w:t>,</w:t>
      </w:r>
      <w:r w:rsidR="007B3C7B" w:rsidRPr="00581869">
        <w:t xml:space="preserve"> </w:t>
      </w:r>
      <w:r w:rsidRPr="00581869">
        <w:t xml:space="preserve">Version </w:t>
      </w:r>
      <w:r w:rsidR="00486815" w:rsidRPr="00581869">
        <w:t>3</w:t>
      </w:r>
      <w:r w:rsidRPr="00581869">
        <w:t>.0 of the NAESB WGQ's consensus business practice standards,</w:t>
      </w:r>
      <w:r w:rsidRPr="00581869">
        <w:rPr>
          <w:rStyle w:val="FootnoteReference"/>
        </w:rPr>
        <w:footnoteReference w:id="20"/>
      </w:r>
      <w:r w:rsidR="00310013" w:rsidRPr="00581869">
        <w:t xml:space="preserve"> </w:t>
      </w:r>
      <w:r w:rsidRPr="00581869">
        <w:t>with certain exceptions.</w:t>
      </w:r>
      <w:r w:rsidRPr="00581869">
        <w:rPr>
          <w:rStyle w:val="FootnoteReference"/>
        </w:rPr>
        <w:footnoteReference w:id="21"/>
      </w:r>
      <w:r w:rsidRPr="00581869">
        <w:t xml:space="preserve">  </w:t>
      </w:r>
      <w:r w:rsidR="008B0978" w:rsidRPr="00581869">
        <w:t>We propose that the implementation date for these standards coincide with the implementation of the Gas-Electric Coordination standards on April 1, 2016.</w:t>
      </w:r>
    </w:p>
    <w:p w14:paraId="364C9E97" w14:textId="77777777" w:rsidR="00B66993" w:rsidRPr="00581869" w:rsidRDefault="00B66993" w:rsidP="00581869">
      <w:pPr>
        <w:pStyle w:val="FERCparanumber"/>
      </w:pPr>
      <w:r w:rsidRPr="00581869">
        <w:lastRenderedPageBreak/>
        <w:t xml:space="preserve">Adoption of the Version </w:t>
      </w:r>
      <w:r w:rsidR="007B3C7B" w:rsidRPr="00581869">
        <w:t>3</w:t>
      </w:r>
      <w:r w:rsidRPr="00581869">
        <w:t xml:space="preserve">.0 Standards will continue the process of updating and improving NAESB’s business practice standards for the benefit of the </w:t>
      </w:r>
      <w:r w:rsidR="00636FD8" w:rsidRPr="00581869">
        <w:t xml:space="preserve">entire </w:t>
      </w:r>
      <w:r w:rsidRPr="00581869">
        <w:t xml:space="preserve">wholesale </w:t>
      </w:r>
      <w:r w:rsidR="00636FD8" w:rsidRPr="00581869">
        <w:t xml:space="preserve">natural </w:t>
      </w:r>
      <w:r w:rsidRPr="00581869">
        <w:t>gas market.</w:t>
      </w:r>
    </w:p>
    <w:p w14:paraId="346CDB6A" w14:textId="77777777" w:rsidR="00B66993" w:rsidRPr="00581869" w:rsidRDefault="00B66993" w:rsidP="00581869">
      <w:pPr>
        <w:pStyle w:val="FERCparanumber"/>
      </w:pPr>
      <w:r w:rsidRPr="00581869">
        <w:t>As the Commission found in Order No. 587, adoption of consensus standards is appropriate because the consensus process helps ensure the reasonableness of the standards by requiring that the standards draw support from a broad spectrum of industry participants representing all segments of the industry.</w:t>
      </w:r>
      <w:r w:rsidRPr="00581869">
        <w:rPr>
          <w:rStyle w:val="FootnoteReference"/>
        </w:rPr>
        <w:footnoteReference w:id="22"/>
      </w:r>
      <w:r w:rsidRPr="00581869">
        <w:t xml:space="preserve">  Moreover, because the industry has to conduct business under these standards, the Commission's regulations should reflect those standards that have the widest possible support.  In section 12(d) of the National Technology Transfer and Advancement Act of 1995 (NTT&amp;AA), Congress affirmatively requires federal agencies to use technical standards developed by voluntary consensus standards organizations, like NAESB, as a means to carry out policy objectives or activities.</w:t>
      </w:r>
      <w:r w:rsidRPr="00581869">
        <w:rPr>
          <w:rStyle w:val="FootnoteReference"/>
        </w:rPr>
        <w:footnoteReference w:id="23"/>
      </w:r>
    </w:p>
    <w:p w14:paraId="39B97B99" w14:textId="77777777" w:rsidR="005868E0" w:rsidRPr="00581869" w:rsidRDefault="00CA3975" w:rsidP="00581869">
      <w:pPr>
        <w:pStyle w:val="FERCparanumber"/>
      </w:pPr>
      <w:r w:rsidRPr="00581869">
        <w:t xml:space="preserve">We </w:t>
      </w:r>
      <w:r w:rsidR="005868E0" w:rsidRPr="00581869">
        <w:t>discuss below some specific aspects of the filing.</w:t>
      </w:r>
    </w:p>
    <w:p w14:paraId="1BC76C29" w14:textId="77777777" w:rsidR="00095B81" w:rsidRPr="00581869" w:rsidRDefault="00095B81" w:rsidP="000A6C3B">
      <w:pPr>
        <w:pStyle w:val="Heading2"/>
        <w:tabs>
          <w:tab w:val="clear" w:pos="1008"/>
          <w:tab w:val="num" w:pos="1440"/>
        </w:tabs>
        <w:ind w:left="1440" w:hanging="720"/>
      </w:pPr>
      <w:r w:rsidRPr="00581869">
        <w:lastRenderedPageBreak/>
        <w:t>Modifications to Standards to Support the Commission’s Show Cause Order in Docket No. RP14-442-000</w:t>
      </w:r>
      <w:bookmarkStart w:id="7" w:name="_bmk3"/>
    </w:p>
    <w:bookmarkEnd w:id="7"/>
    <w:p w14:paraId="263E2F52" w14:textId="4D2E5779" w:rsidR="00095B81" w:rsidRPr="00581869" w:rsidRDefault="00095B81" w:rsidP="00581869">
      <w:pPr>
        <w:pStyle w:val="FERCparanumber"/>
      </w:pPr>
      <w:r w:rsidRPr="00581869">
        <w:t>On March 20, 2014, the Commission issued an Order to Show Cause in Docket No. RP14-442-000,</w:t>
      </w:r>
      <w:r w:rsidRPr="00581869">
        <w:rPr>
          <w:rStyle w:val="FootnoteReference"/>
        </w:rPr>
        <w:footnoteReference w:id="24"/>
      </w:r>
      <w:r w:rsidRPr="00581869">
        <w:t xml:space="preserve"> which required all interstate pipelines to either revise their respective tariffs to provide for the posting of offers to purchase released capacity as required by section 284.8(d) of the Commission’s regulations,</w:t>
      </w:r>
      <w:r w:rsidRPr="00581869">
        <w:rPr>
          <w:rStyle w:val="FootnoteReference"/>
        </w:rPr>
        <w:footnoteReference w:id="25"/>
      </w:r>
      <w:r w:rsidRPr="00581869">
        <w:rPr>
          <w:b/>
          <w:vertAlign w:val="superscript"/>
        </w:rPr>
        <w:t xml:space="preserve"> </w:t>
      </w:r>
      <w:r w:rsidRPr="00581869">
        <w:t>or to demonstrate</w:t>
      </w:r>
      <w:r w:rsidR="00CA3975" w:rsidRPr="00581869">
        <w:t xml:space="preserve"> that </w:t>
      </w:r>
      <w:r w:rsidRPr="00581869">
        <w:t xml:space="preserve">their existing tariffs are in full compliance with that section.  In the Show Cause Order, the Commission also </w:t>
      </w:r>
      <w:r w:rsidR="00593B5D" w:rsidRPr="00581869">
        <w:t>request</w:t>
      </w:r>
      <w:r w:rsidRPr="00581869">
        <w:t xml:space="preserve">ed </w:t>
      </w:r>
      <w:r w:rsidR="00593B5D" w:rsidRPr="00581869">
        <w:t xml:space="preserve">that </w:t>
      </w:r>
      <w:r w:rsidRPr="00581869">
        <w:t xml:space="preserve">NAESB develop certain business practice and communications standards specifying:  (1) the information required for requests to acquire capacity; (2) the methods by which such information is to be exchanged; and </w:t>
      </w:r>
      <w:r w:rsidR="000A6C3B">
        <w:br/>
      </w:r>
      <w:r w:rsidRPr="00581869">
        <w:t>(3) the location of the information on a pipeline’s Internet website.</w:t>
      </w:r>
      <w:r w:rsidRPr="00581869">
        <w:rPr>
          <w:rStyle w:val="FootnoteReference"/>
        </w:rPr>
        <w:footnoteReference w:id="26"/>
      </w:r>
    </w:p>
    <w:p w14:paraId="3AAA18CF" w14:textId="77777777" w:rsidR="00095B81" w:rsidRPr="00581869" w:rsidRDefault="00095B81" w:rsidP="00581869">
      <w:pPr>
        <w:pStyle w:val="FERCparanumber"/>
      </w:pPr>
      <w:r w:rsidRPr="00581869">
        <w:t>In response, NAESB proposes to modify WGQ Standard 4.3.23 to add “Request to Purchase Releasable Capacity” as a subcategory of information contained in a transportation service provider’s information postings website.  NAESB also proposes to add new WGQ Standard 5.3.73, containing requirements regarding requests to purchase capacity that is releasable.</w:t>
      </w:r>
    </w:p>
    <w:p w14:paraId="2A8683A2" w14:textId="1341D8FB" w:rsidR="00095B81" w:rsidRPr="00581869" w:rsidRDefault="00095B81" w:rsidP="00581869">
      <w:pPr>
        <w:pStyle w:val="FERCparanumber"/>
      </w:pPr>
      <w:r w:rsidRPr="00581869">
        <w:lastRenderedPageBreak/>
        <w:t xml:space="preserve">The Commission proposes to incorporate by reference revised WGQ </w:t>
      </w:r>
      <w:r w:rsidR="00C84F1B">
        <w:br/>
      </w:r>
      <w:r w:rsidRPr="00581869">
        <w:t xml:space="preserve">Standard 4.3.23 and WGQ Standard 5.3.73. </w:t>
      </w:r>
      <w:r w:rsidR="005E0A71" w:rsidRPr="00581869">
        <w:t xml:space="preserve"> </w:t>
      </w:r>
      <w:r w:rsidR="00465420" w:rsidRPr="00581869">
        <w:t xml:space="preserve">We note, however, that our proposal to incorporate </w:t>
      </w:r>
      <w:r w:rsidR="00581869" w:rsidRPr="00581869">
        <w:t xml:space="preserve">WGQ </w:t>
      </w:r>
      <w:r w:rsidR="00465420" w:rsidRPr="00581869">
        <w:t xml:space="preserve">Standard 5.3.73 </w:t>
      </w:r>
      <w:r w:rsidR="00581869" w:rsidRPr="00581869">
        <w:t xml:space="preserve">by reference </w:t>
      </w:r>
      <w:r w:rsidR="00465420" w:rsidRPr="00581869">
        <w:t>is not intended to eliminate any posting requirements additionally imposed by the Commission in Docket No. RP14-442-000.</w:t>
      </w:r>
    </w:p>
    <w:p w14:paraId="0574ADCE" w14:textId="77777777" w:rsidR="00563279" w:rsidRPr="00581869" w:rsidRDefault="00563279" w:rsidP="00C84F1B">
      <w:pPr>
        <w:pStyle w:val="Heading2"/>
        <w:tabs>
          <w:tab w:val="clear" w:pos="1008"/>
          <w:tab w:val="num" w:pos="1440"/>
        </w:tabs>
        <w:ind w:left="1440" w:hanging="720"/>
      </w:pPr>
      <w:r w:rsidRPr="00581869">
        <w:t>Location Codes</w:t>
      </w:r>
      <w:bookmarkStart w:id="8" w:name="_bmk4"/>
    </w:p>
    <w:bookmarkEnd w:id="8"/>
    <w:p w14:paraId="17E38038" w14:textId="287E2649" w:rsidR="00563279" w:rsidRPr="00581869" w:rsidRDefault="00563279" w:rsidP="00581869">
      <w:pPr>
        <w:pStyle w:val="FERCparanumber"/>
      </w:pPr>
      <w:r w:rsidRPr="00581869">
        <w:t xml:space="preserve">NAESB has proposed to revise its standards regarding the use of location codes.  </w:t>
      </w:r>
      <w:r w:rsidR="0010758E" w:rsidRPr="00581869">
        <w:t>T</w:t>
      </w:r>
      <w:r w:rsidR="00CA3975" w:rsidRPr="00581869">
        <w:t xml:space="preserve">he industry has </w:t>
      </w:r>
      <w:r w:rsidRPr="00581869">
        <w:t>determined that having a third party maintain a</w:t>
      </w:r>
      <w:r w:rsidR="00CA3975" w:rsidRPr="00581869">
        <w:t xml:space="preserve"> common </w:t>
      </w:r>
      <w:r w:rsidRPr="00581869">
        <w:t>code database is not</w:t>
      </w:r>
      <w:r w:rsidR="00CA3975" w:rsidRPr="00581869">
        <w:t xml:space="preserve"> worth the </w:t>
      </w:r>
      <w:r w:rsidR="00E7558F" w:rsidRPr="00581869">
        <w:t xml:space="preserve">expense and </w:t>
      </w:r>
      <w:r w:rsidR="00CA3975" w:rsidRPr="00581869">
        <w:t xml:space="preserve">effort and has revised the prior standards to introduce the use of proprietary codes to identify </w:t>
      </w:r>
      <w:r w:rsidR="00636FD8" w:rsidRPr="00581869">
        <w:t>the location of</w:t>
      </w:r>
      <w:r w:rsidR="00E7558F" w:rsidRPr="00581869">
        <w:t xml:space="preserve"> points of receipt and delivery.</w:t>
      </w:r>
      <w:r w:rsidR="00CA3975" w:rsidRPr="00581869">
        <w:t xml:space="preserve">  </w:t>
      </w:r>
      <w:r w:rsidRPr="00581869">
        <w:t xml:space="preserve">The revised standards include requirements for the pipelines to post on their websites information on each of the proprietary points that can be used to determine which points are interconnecting points between pipelines, one of the primary reasons for adoption of the common code database.  These codes are also used by the Commission in its Index </w:t>
      </w:r>
      <w:r w:rsidR="00551722">
        <w:br/>
      </w:r>
      <w:r w:rsidRPr="00581869">
        <w:t>of Customers to identify th</w:t>
      </w:r>
      <w:r w:rsidR="000544B5" w:rsidRPr="00581869">
        <w:t>e points on shippers’ contracts and we propose to revise section 284.13(c) of the regulations to coordinate with this change.</w:t>
      </w:r>
    </w:p>
    <w:p w14:paraId="4F2A377E" w14:textId="4B2E32A1" w:rsidR="00CA3975" w:rsidRPr="00581869" w:rsidRDefault="00CA3975" w:rsidP="00581869">
      <w:pPr>
        <w:pStyle w:val="FERCparanumber"/>
      </w:pPr>
      <w:r w:rsidRPr="00581869">
        <w:t>We propose to incorporate by reference these revised standards</w:t>
      </w:r>
      <w:r w:rsidR="0055115C" w:rsidRPr="00581869">
        <w:t>,</w:t>
      </w:r>
      <w:r w:rsidRPr="00581869">
        <w:t xml:space="preserve"> as they are based on an industry consensus</w:t>
      </w:r>
      <w:r w:rsidR="00875103" w:rsidRPr="00581869">
        <w:t>, will reduce industry’s costs to support the retention of common codes,</w:t>
      </w:r>
      <w:r w:rsidRPr="00581869">
        <w:t xml:space="preserve"> and because </w:t>
      </w:r>
      <w:r w:rsidR="00E7558F" w:rsidRPr="00581869">
        <w:t xml:space="preserve">the changes will </w:t>
      </w:r>
      <w:r w:rsidR="00563279" w:rsidRPr="00581869">
        <w:t xml:space="preserve">maintain the ability of shippers and others to identify interconnection points between pipelines.  Given the ability </w:t>
      </w:r>
      <w:r w:rsidR="0055115C" w:rsidRPr="00581869">
        <w:t xml:space="preserve">of the Commission and customers </w:t>
      </w:r>
      <w:r w:rsidR="00563279" w:rsidRPr="00581869">
        <w:t>to continue to identify interconnection points</w:t>
      </w:r>
      <w:r w:rsidR="0055115C" w:rsidRPr="00581869">
        <w:t xml:space="preserve"> referenced in the Index of Customers</w:t>
      </w:r>
      <w:r w:rsidR="00563279" w:rsidRPr="00581869">
        <w:t xml:space="preserve">, the Commission finds that the revised code standards appear to satisfy the requirements for the Index of Customers and we will modify the regulations to permit the </w:t>
      </w:r>
      <w:r w:rsidR="00563279" w:rsidRPr="00581869">
        <w:lastRenderedPageBreak/>
        <w:t>use of the proprietary codes.</w:t>
      </w:r>
      <w:r w:rsidRPr="00581869">
        <w:t xml:space="preserve">  In addition, </w:t>
      </w:r>
      <w:r w:rsidR="00125E36" w:rsidRPr="00581869">
        <w:t>to avoid</w:t>
      </w:r>
      <w:r w:rsidRPr="00581869">
        <w:t xml:space="preserve"> any confusion from the use of inconsistent location codes, we propose to accompany our incorporation by reference of these revised standards with a proposal to revise our regulations at 18 CFR </w:t>
      </w:r>
      <w:r w:rsidR="00395B29" w:rsidRPr="00581869">
        <w:t>157.14, 157.18</w:t>
      </w:r>
      <w:r w:rsidR="0010758E" w:rsidRPr="00581869">
        <w:t>,</w:t>
      </w:r>
      <w:r w:rsidR="00395B29" w:rsidRPr="00581869">
        <w:t xml:space="preserve"> and 260.8</w:t>
      </w:r>
      <w:r w:rsidR="00563279" w:rsidRPr="00581869">
        <w:t xml:space="preserve"> that </w:t>
      </w:r>
      <w:r w:rsidR="007F4C0E" w:rsidRPr="00581869">
        <w:t xml:space="preserve">require the </w:t>
      </w:r>
      <w:r w:rsidR="00E17AF1" w:rsidRPr="00581869">
        <w:t xml:space="preserve">use of </w:t>
      </w:r>
      <w:r w:rsidR="007F4C0E" w:rsidRPr="00581869">
        <w:t xml:space="preserve">location code information in </w:t>
      </w:r>
      <w:r w:rsidR="00E17AF1" w:rsidRPr="00581869">
        <w:t xml:space="preserve">certain filings and </w:t>
      </w:r>
      <w:r w:rsidR="008D655B" w:rsidRPr="00581869">
        <w:t>flow diagrams</w:t>
      </w:r>
      <w:r w:rsidR="00B923E5" w:rsidRPr="00581869">
        <w:t>.</w:t>
      </w:r>
    </w:p>
    <w:p w14:paraId="1312256E" w14:textId="6AAD5DF3" w:rsidR="00CA3479" w:rsidRPr="00581869" w:rsidRDefault="00A733BE" w:rsidP="00581869">
      <w:pPr>
        <w:pStyle w:val="FERCparanumber"/>
      </w:pPr>
      <w:r w:rsidRPr="00581869">
        <w:t>Pipelines will be required to continue to file the Index of Customers using the current tab-delimited file format</w:t>
      </w:r>
      <w:r w:rsidR="00C65608" w:rsidRPr="00581869">
        <w:t xml:space="preserve"> according to the Form No. 549B - Index of Customers Instruction Manual.</w:t>
      </w:r>
      <w:r w:rsidRPr="00581869">
        <w:t xml:space="preserve"> </w:t>
      </w:r>
      <w:r w:rsidR="00C65608" w:rsidRPr="00581869">
        <w:t xml:space="preserve"> The major changes to the instructions are the change from the use of common codes to proprietary codes and the </w:t>
      </w:r>
      <w:r w:rsidR="00B57A82" w:rsidRPr="00581869">
        <w:t xml:space="preserve">use </w:t>
      </w:r>
      <w:r w:rsidR="00C65608" w:rsidRPr="00581869">
        <w:t xml:space="preserve">of the pipelines’ </w:t>
      </w:r>
      <w:r w:rsidR="00B57A82" w:rsidRPr="00581869">
        <w:t xml:space="preserve">company registration number in place of three digit pipeline code. </w:t>
      </w:r>
      <w:r w:rsidRPr="00581869">
        <w:t xml:space="preserve"> A revised instruction manual </w:t>
      </w:r>
      <w:r w:rsidR="00B57A82" w:rsidRPr="00581869">
        <w:t xml:space="preserve">(with revisions marked) </w:t>
      </w:r>
      <w:r w:rsidRPr="00581869">
        <w:t>will be posted in this docket on eLibrary and will be available on the Commission’s website.</w:t>
      </w:r>
      <w:r w:rsidRPr="00581869">
        <w:rPr>
          <w:rStyle w:val="FootnoteReference"/>
        </w:rPr>
        <w:footnoteReference w:id="27"/>
      </w:r>
      <w:r w:rsidRPr="00581869">
        <w:t xml:space="preserve">  Because tab</w:t>
      </w:r>
      <w:r w:rsidR="0010758E" w:rsidRPr="00581869">
        <w:t>-</w:t>
      </w:r>
      <w:r w:rsidRPr="00581869">
        <w:t>delimited file format</w:t>
      </w:r>
      <w:r w:rsidR="00691487" w:rsidRPr="00581869">
        <w:t>s</w:t>
      </w:r>
      <w:r w:rsidRPr="00581869">
        <w:t xml:space="preserve"> can be difficult </w:t>
      </w:r>
      <w:r w:rsidR="00691487" w:rsidRPr="00581869">
        <w:t xml:space="preserve">and can result in errors that impose burdens both on Commission and pipeline staff to correct, we </w:t>
      </w:r>
      <w:r w:rsidRPr="00581869">
        <w:t xml:space="preserve">also are adding the Index of Customers form to the list of forms </w:t>
      </w:r>
      <w:r w:rsidR="00691487" w:rsidRPr="00581869">
        <w:t xml:space="preserve">that are being </w:t>
      </w:r>
      <w:r w:rsidRPr="00581869">
        <w:t xml:space="preserve">updated </w:t>
      </w:r>
      <w:r w:rsidR="00691487" w:rsidRPr="00581869">
        <w:t xml:space="preserve">as part of the </w:t>
      </w:r>
      <w:r w:rsidRPr="00581869">
        <w:t>Commission’s forms refresh project in Docket No. AD15-11-000</w:t>
      </w:r>
      <w:r w:rsidR="006A7244" w:rsidRPr="00581869">
        <w:t xml:space="preserve"> (Forms Project)</w:t>
      </w:r>
      <w:r w:rsidR="00691487" w:rsidRPr="00581869">
        <w:t>.</w:t>
      </w:r>
      <w:r w:rsidR="00691487" w:rsidRPr="00581869">
        <w:rPr>
          <w:rStyle w:val="FootnoteReference"/>
        </w:rPr>
        <w:footnoteReference w:id="28"/>
      </w:r>
      <w:r w:rsidR="00691487" w:rsidRPr="00581869">
        <w:t xml:space="preserve">  Adding th</w:t>
      </w:r>
      <w:r w:rsidR="00593B5D" w:rsidRPr="00581869">
        <w:t>e Index of Customers to the Forms P</w:t>
      </w:r>
      <w:r w:rsidR="00691487" w:rsidRPr="00581869">
        <w:t xml:space="preserve">roject will move </w:t>
      </w:r>
      <w:r w:rsidR="00593B5D" w:rsidRPr="00581869">
        <w:t xml:space="preserve">the Commission </w:t>
      </w:r>
      <w:r w:rsidR="00691487" w:rsidRPr="00581869">
        <w:t>towards the use of a standard approach for all Commission forms that will result in more efficient filing and processing of forms.</w:t>
      </w:r>
    </w:p>
    <w:p w14:paraId="3A32AF59" w14:textId="77777777" w:rsidR="00F4490B" w:rsidRPr="00581869" w:rsidRDefault="00F4490B" w:rsidP="00190E00">
      <w:pPr>
        <w:pStyle w:val="Heading2"/>
        <w:tabs>
          <w:tab w:val="clear" w:pos="1008"/>
          <w:tab w:val="num" w:pos="1440"/>
        </w:tabs>
        <w:ind w:left="1440" w:hanging="720"/>
        <w:rPr>
          <w:iCs w:val="0"/>
        </w:rPr>
      </w:pPr>
      <w:r w:rsidRPr="00581869">
        <w:lastRenderedPageBreak/>
        <w:t>Request</w:t>
      </w:r>
      <w:r w:rsidRPr="00581869">
        <w:rPr>
          <w:iCs w:val="0"/>
        </w:rPr>
        <w:t xml:space="preserve"> </w:t>
      </w:r>
      <w:r w:rsidRPr="00581869">
        <w:t>in Order No. 587-V</w:t>
      </w:r>
      <w:r w:rsidR="005831A7" w:rsidRPr="00581869">
        <w:t xml:space="preserve"> </w:t>
      </w:r>
      <w:r w:rsidRPr="00581869">
        <w:rPr>
          <w:iCs w:val="0"/>
        </w:rPr>
        <w:t>f</w:t>
      </w:r>
      <w:r w:rsidR="005831A7" w:rsidRPr="00581869">
        <w:t>or</w:t>
      </w:r>
      <w:r w:rsidRPr="00581869">
        <w:rPr>
          <w:iCs w:val="0"/>
        </w:rPr>
        <w:t xml:space="preserve"> </w:t>
      </w:r>
      <w:r w:rsidR="005831A7" w:rsidRPr="00581869">
        <w:t xml:space="preserve">NAESB to </w:t>
      </w:r>
      <w:r w:rsidRPr="00581869">
        <w:rPr>
          <w:iCs w:val="0"/>
        </w:rPr>
        <w:t>Evaluat</w:t>
      </w:r>
      <w:r w:rsidR="005831A7" w:rsidRPr="00581869">
        <w:t>e</w:t>
      </w:r>
      <w:r w:rsidRPr="00581869">
        <w:rPr>
          <w:iCs w:val="0"/>
        </w:rPr>
        <w:t xml:space="preserve"> </w:t>
      </w:r>
      <w:r w:rsidR="005831A7" w:rsidRPr="00581869">
        <w:t>the Use of the T</w:t>
      </w:r>
      <w:r w:rsidRPr="00581869">
        <w:rPr>
          <w:iCs w:val="0"/>
        </w:rPr>
        <w:t>erms “Operating Capacity” and “Design Capacity”</w:t>
      </w:r>
      <w:bookmarkStart w:id="9" w:name="_bmk5"/>
    </w:p>
    <w:bookmarkEnd w:id="9"/>
    <w:p w14:paraId="457DC0A0" w14:textId="0A8F822F" w:rsidR="00290472" w:rsidRPr="00581869" w:rsidRDefault="00F4490B" w:rsidP="00581869">
      <w:pPr>
        <w:pStyle w:val="FERCparanumber"/>
      </w:pPr>
      <w:r w:rsidRPr="00581869">
        <w:t xml:space="preserve">In Order No. 587-V, the Commission directed the industry, through NAESB, to consider whether the term “Operating Capacity,” found in NAESB WGQ Standard </w:t>
      </w:r>
      <w:r w:rsidR="006B22FB">
        <w:br/>
      </w:r>
      <w:r w:rsidRPr="00581869">
        <w:t>No. 0.3.19 and related standards,</w:t>
      </w:r>
      <w:r w:rsidRPr="00581869">
        <w:rPr>
          <w:rStyle w:val="FootnoteReference"/>
        </w:rPr>
        <w:footnoteReference w:id="29"/>
      </w:r>
      <w:r w:rsidRPr="00581869">
        <w:t xml:space="preserve"> and “Design Capacity,” found in section 284.13(d) of the Commission’s regulations, are functionally equivalent,</w:t>
      </w:r>
      <w:r w:rsidRPr="00581869">
        <w:rPr>
          <w:rStyle w:val="FootnoteReference"/>
        </w:rPr>
        <w:footnoteReference w:id="30"/>
      </w:r>
      <w:r w:rsidRPr="00581869">
        <w:t xml:space="preserve"> and to include this information as part of the next version of the NAESB WGQ Standards.</w:t>
      </w:r>
      <w:r w:rsidRPr="00581869">
        <w:rPr>
          <w:rStyle w:val="FootnoteReference"/>
        </w:rPr>
        <w:footnoteReference w:id="31"/>
      </w:r>
    </w:p>
    <w:p w14:paraId="0453850F" w14:textId="77777777" w:rsidR="00290472" w:rsidRPr="00581869" w:rsidRDefault="00290472" w:rsidP="00581869">
      <w:pPr>
        <w:pStyle w:val="FERCparanumber"/>
      </w:pPr>
      <w:r w:rsidRPr="00581869">
        <w:t>I</w:t>
      </w:r>
      <w:r w:rsidR="00F4490B" w:rsidRPr="00581869">
        <w:t>n response, NAESB states that a consensus could not be reached for a detailed definition of the term “Design Capacity”</w:t>
      </w:r>
      <w:r w:rsidRPr="00581869">
        <w:t xml:space="preserve"> and that “Design Capacity” and “Operating Capacity”</w:t>
      </w:r>
      <w:r w:rsidR="00F4490B" w:rsidRPr="00581869">
        <w:t xml:space="preserve"> </w:t>
      </w:r>
      <w:r w:rsidRPr="00581869">
        <w:t>are not equivalent terms and therefore proposed to include both terms as separately reportable items.</w:t>
      </w:r>
      <w:r w:rsidR="006D7368" w:rsidRPr="00581869">
        <w:rPr>
          <w:rStyle w:val="FootnoteReference"/>
        </w:rPr>
        <w:footnoteReference w:id="32"/>
      </w:r>
      <w:r w:rsidRPr="00581869">
        <w:t xml:space="preserve">  NAESB modified WGQ Dataset 0.4.2 to provide a definition of terms:</w:t>
      </w:r>
    </w:p>
    <w:p w14:paraId="13243624" w14:textId="77777777" w:rsidR="005831A7" w:rsidRPr="00581869" w:rsidRDefault="00290472" w:rsidP="006D7368">
      <w:pPr>
        <w:pStyle w:val="BlockIndent"/>
      </w:pPr>
      <w:r w:rsidRPr="00581869">
        <w:lastRenderedPageBreak/>
        <w:t>Design capacity is the design capacity of the point, segment, or zone as required by the applicable regulatory authority.  Operating Capacity is the total capacity which could be scheduled at (or through) the identified point, segment or zone in the indicated direction of flow.  Total scheduled quantity is the net quantity scheduled at the point, segment or zone level in the indicated direction of flow.  Operationally available capacity is the quantity remaining that is available to be scheduled at (or through) the identified point, segment or zone, in the indicated direction of flow.</w:t>
      </w:r>
    </w:p>
    <w:p w14:paraId="6F3DC490" w14:textId="2E8595A0" w:rsidR="00875103" w:rsidRPr="00581869" w:rsidRDefault="005831A7" w:rsidP="00BF592D">
      <w:pPr>
        <w:pStyle w:val="FERCparanumber"/>
        <w:numPr>
          <w:ilvl w:val="0"/>
          <w:numId w:val="0"/>
        </w:numPr>
      </w:pPr>
      <w:r w:rsidRPr="00581869">
        <w:t xml:space="preserve">The Commission finds reasonable NAESB’s approach of </w:t>
      </w:r>
      <w:r w:rsidR="006D7368" w:rsidRPr="00581869">
        <w:t xml:space="preserve">separately reporting </w:t>
      </w:r>
      <w:r w:rsidR="0055115C" w:rsidRPr="00581869">
        <w:t xml:space="preserve">both </w:t>
      </w:r>
      <w:r w:rsidR="006D7368" w:rsidRPr="00581869">
        <w:t>“</w:t>
      </w:r>
      <w:r w:rsidR="00F4490B" w:rsidRPr="00581869">
        <w:t>Design Capacity</w:t>
      </w:r>
      <w:r w:rsidR="006D7368" w:rsidRPr="00581869">
        <w:t xml:space="preserve">” and “Operating Capacity” </w:t>
      </w:r>
      <w:r w:rsidR="00F4490B" w:rsidRPr="00581869">
        <w:t>as part of the reporting data set</w:t>
      </w:r>
      <w:r w:rsidR="006D7368" w:rsidRPr="00581869">
        <w:t xml:space="preserve"> as this will provide shippers and the Commission with added information</w:t>
      </w:r>
      <w:r w:rsidR="00F4490B" w:rsidRPr="00581869">
        <w:t xml:space="preserve">.  Accordingly, the Commission proposes to incorporate by reference revised WGQ Standards 0.3.18, 0.3.20, and 0.3.21, and Dataset 0.4.2, as the revised standards and dataset </w:t>
      </w:r>
      <w:r w:rsidRPr="00581869">
        <w:t xml:space="preserve">meet the Commission’s past concerns and </w:t>
      </w:r>
      <w:r w:rsidR="00F4490B" w:rsidRPr="00581869">
        <w:t>no longer conflict with section 284.13(d) of the Commission’s regulations.</w:t>
      </w:r>
    </w:p>
    <w:p w14:paraId="2FAABF13" w14:textId="77777777" w:rsidR="009B30EE" w:rsidRPr="00581869" w:rsidRDefault="009B30EE" w:rsidP="006B22FB">
      <w:pPr>
        <w:pStyle w:val="Heading2"/>
        <w:tabs>
          <w:tab w:val="clear" w:pos="1008"/>
          <w:tab w:val="num" w:pos="1440"/>
        </w:tabs>
        <w:ind w:left="1440" w:hanging="720"/>
      </w:pPr>
      <w:r w:rsidRPr="00581869">
        <w:t>Standards</w:t>
      </w:r>
      <w:r w:rsidR="00193852" w:rsidRPr="00581869">
        <w:t xml:space="preserve"> Previously Not Incorporated by Reference</w:t>
      </w:r>
      <w:bookmarkStart w:id="10" w:name="_bmk6"/>
    </w:p>
    <w:bookmarkEnd w:id="10"/>
    <w:p w14:paraId="447111FF" w14:textId="4C6DE356" w:rsidR="009B30EE" w:rsidRPr="00581869" w:rsidRDefault="009B30EE" w:rsidP="006B22FB">
      <w:pPr>
        <w:pStyle w:val="Heading3"/>
        <w:ind w:left="2160" w:hanging="720"/>
      </w:pPr>
      <w:r w:rsidRPr="00581869">
        <w:t>Contracts</w:t>
      </w:r>
      <w:r w:rsidR="006224AA" w:rsidRPr="00581869">
        <w:t xml:space="preserve"> Standards and eTariff Related Standards</w:t>
      </w:r>
      <w:bookmarkStart w:id="11" w:name="_bmk7"/>
    </w:p>
    <w:bookmarkEnd w:id="11"/>
    <w:p w14:paraId="493A369B" w14:textId="77777777" w:rsidR="00CA3479" w:rsidRPr="00581869" w:rsidRDefault="00B66993" w:rsidP="00581869">
      <w:pPr>
        <w:pStyle w:val="FERCparanumber"/>
      </w:pPr>
      <w:r w:rsidRPr="00581869">
        <w:t xml:space="preserve">The Commission </w:t>
      </w:r>
      <w:r w:rsidR="00680FA6" w:rsidRPr="00581869">
        <w:t xml:space="preserve">proposes to </w:t>
      </w:r>
      <w:r w:rsidRPr="00581869">
        <w:t>continu</w:t>
      </w:r>
      <w:r w:rsidR="00680FA6" w:rsidRPr="00581869">
        <w:t>e</w:t>
      </w:r>
      <w:r w:rsidRPr="00581869">
        <w:t xml:space="preserve"> its past practice </w:t>
      </w:r>
      <w:r w:rsidR="00680FA6" w:rsidRPr="00581869">
        <w:t xml:space="preserve">of </w:t>
      </w:r>
      <w:r w:rsidR="00395B29" w:rsidRPr="00581869">
        <w:t xml:space="preserve">not </w:t>
      </w:r>
      <w:r w:rsidRPr="00581869">
        <w:t>incorporat</w:t>
      </w:r>
      <w:r w:rsidR="00680FA6" w:rsidRPr="00581869">
        <w:t xml:space="preserve">ing by reference into its regulations any </w:t>
      </w:r>
      <w:r w:rsidRPr="00581869">
        <w:t>optional contracts</w:t>
      </w:r>
      <w:r w:rsidR="00680FA6" w:rsidRPr="00581869">
        <w:t>,</w:t>
      </w:r>
      <w:r w:rsidRPr="00581869">
        <w:t xml:space="preserve"> because the Commission does not require the use of these contracts.</w:t>
      </w:r>
      <w:r w:rsidRPr="00581869">
        <w:rPr>
          <w:rStyle w:val="FootnoteReference"/>
        </w:rPr>
        <w:footnoteReference w:id="33"/>
      </w:r>
      <w:r w:rsidRPr="00581869">
        <w:t xml:space="preserve">  In addition, </w:t>
      </w:r>
      <w:r w:rsidR="00636FD8" w:rsidRPr="00581869">
        <w:t>consistent with our findings in past proceedings</w:t>
      </w:r>
      <w:r w:rsidR="00CA3479" w:rsidRPr="00581869">
        <w:t xml:space="preserve">, </w:t>
      </w:r>
      <w:r w:rsidRPr="00581869">
        <w:t xml:space="preserve">the Commission is not proposing to incorporate by reference the </w:t>
      </w:r>
      <w:r w:rsidRPr="00581869">
        <w:lastRenderedPageBreak/>
        <w:t>WEQ/WGQ eTariff Related Standards</w:t>
      </w:r>
      <w:r w:rsidR="00680FA6" w:rsidRPr="00581869">
        <w:t>,</w:t>
      </w:r>
      <w:r w:rsidRPr="00581869">
        <w:t xml:space="preserve"> because the Commission has already adopted standards and protocols for electronic tariff filings based on the NAESB Standards.</w:t>
      </w:r>
      <w:r w:rsidRPr="00581869">
        <w:rPr>
          <w:rStyle w:val="FootnoteReference"/>
        </w:rPr>
        <w:footnoteReference w:id="34"/>
      </w:r>
    </w:p>
    <w:p w14:paraId="594DB093" w14:textId="187F7C19" w:rsidR="00CA3479" w:rsidRPr="00581869" w:rsidRDefault="00193852" w:rsidP="006B22FB">
      <w:pPr>
        <w:pStyle w:val="Heading3"/>
        <w:ind w:left="2160" w:hanging="720"/>
      </w:pPr>
      <w:r w:rsidRPr="00581869">
        <w:t>Record Retention</w:t>
      </w:r>
      <w:r w:rsidR="00CA3479" w:rsidRPr="00581869">
        <w:t xml:space="preserve"> Standards</w:t>
      </w:r>
      <w:bookmarkStart w:id="12" w:name="_bmk8"/>
    </w:p>
    <w:bookmarkEnd w:id="12"/>
    <w:p w14:paraId="6CEECB01" w14:textId="5AEB1CC9" w:rsidR="00CA3479" w:rsidRPr="00581869" w:rsidRDefault="00204EB0" w:rsidP="00581869">
      <w:pPr>
        <w:pStyle w:val="FERCparanumber"/>
      </w:pPr>
      <w:r w:rsidRPr="00581869">
        <w:t>In past rulemakings,</w:t>
      </w:r>
      <w:r w:rsidR="00CA3479" w:rsidRPr="00581869">
        <w:t xml:space="preserve"> the Commission </w:t>
      </w:r>
      <w:r w:rsidRPr="00581869">
        <w:t xml:space="preserve">declined to </w:t>
      </w:r>
      <w:r w:rsidR="00CA3479" w:rsidRPr="00581869">
        <w:t xml:space="preserve">incorporate by reference </w:t>
      </w:r>
      <w:r w:rsidR="00190E00">
        <w:br/>
      </w:r>
      <w:r w:rsidR="00CA3479" w:rsidRPr="00581869">
        <w:t>WGQ Standards 4.3.4 and 10.3.2, because the</w:t>
      </w:r>
      <w:r w:rsidRPr="00581869">
        <w:t xml:space="preserve"> Commission found the</w:t>
      </w:r>
      <w:r w:rsidR="00CA3479" w:rsidRPr="00581869">
        <w:t xml:space="preserve">y </w:t>
      </w:r>
      <w:r w:rsidRPr="00581869">
        <w:t>we</w:t>
      </w:r>
      <w:r w:rsidR="00CA3479" w:rsidRPr="00581869">
        <w:t>re inconsistent with the Commission’s record retention requirement in 18 CFR 284.12(b)(3)(v).</w:t>
      </w:r>
      <w:r w:rsidR="00CA3479" w:rsidRPr="00581869">
        <w:rPr>
          <w:rStyle w:val="FootnoteReference"/>
        </w:rPr>
        <w:footnoteReference w:id="35"/>
      </w:r>
      <w:r w:rsidR="00CA3479" w:rsidRPr="00581869">
        <w:t xml:space="preserve">  In Version 3.0, NAESB deleted WGQ Standards 4.3.4 and 10.3.2.  NAESB asserts that deleting the standards avoids any potential conflict between the WGQ Standards and the Commission mandated requirements for regulated entities or the retention policies of non-regulated entities.  Thus, </w:t>
      </w:r>
      <w:r w:rsidRPr="00581869">
        <w:t xml:space="preserve">the Version 3.0 </w:t>
      </w:r>
      <w:r w:rsidR="00CA3479" w:rsidRPr="00581869">
        <w:t xml:space="preserve">Standards </w:t>
      </w:r>
      <w:r w:rsidRPr="00581869">
        <w:t xml:space="preserve">that the Commission is considering for incorporation by reference </w:t>
      </w:r>
      <w:r w:rsidR="009B30EE" w:rsidRPr="00581869">
        <w:t>no longer conflict with Commission regulations regarding storage retention.</w:t>
      </w:r>
    </w:p>
    <w:p w14:paraId="1FEED216" w14:textId="77777777" w:rsidR="00CA3479" w:rsidRPr="00581869" w:rsidRDefault="00CA3479" w:rsidP="00993563">
      <w:pPr>
        <w:pStyle w:val="Heading3"/>
        <w:ind w:left="2160" w:hanging="720"/>
      </w:pPr>
      <w:r w:rsidRPr="00581869">
        <w:t>WGQ Interpretations</w:t>
      </w:r>
      <w:bookmarkStart w:id="13" w:name="_bmk9"/>
    </w:p>
    <w:bookmarkEnd w:id="13"/>
    <w:p w14:paraId="27FE5F0D" w14:textId="717FA31B" w:rsidR="00CA3479" w:rsidRPr="00581869" w:rsidRDefault="00204EB0" w:rsidP="00581869">
      <w:pPr>
        <w:pStyle w:val="FERCparanumber"/>
      </w:pPr>
      <w:r w:rsidRPr="00581869">
        <w:t xml:space="preserve">In past rulemakings, the Commission also declined to incorporate by reference into the Commission’s regulations </w:t>
      </w:r>
      <w:r w:rsidR="00CA3479" w:rsidRPr="00581869">
        <w:t>NAESB’</w:t>
      </w:r>
      <w:r w:rsidRPr="00581869">
        <w:t>s</w:t>
      </w:r>
      <w:r w:rsidR="00CA3479" w:rsidRPr="00581869">
        <w:t xml:space="preserve"> interpretations of </w:t>
      </w:r>
      <w:r w:rsidR="00680FA6" w:rsidRPr="00581869">
        <w:t xml:space="preserve">NAESB WGQ business practice </w:t>
      </w:r>
      <w:r w:rsidR="00CA3479" w:rsidRPr="00581869">
        <w:t>standards because</w:t>
      </w:r>
      <w:r w:rsidRPr="00581869">
        <w:t xml:space="preserve">, </w:t>
      </w:r>
      <w:r w:rsidR="00CA3479" w:rsidRPr="00581869">
        <w:t xml:space="preserve">while interpretations may provide useful guidance, they are </w:t>
      </w:r>
      <w:r w:rsidR="00CA3479" w:rsidRPr="00581869">
        <w:lastRenderedPageBreak/>
        <w:t>not determinative.</w:t>
      </w:r>
      <w:r w:rsidR="00CA3479" w:rsidRPr="00581869">
        <w:rPr>
          <w:rStyle w:val="FootnoteReference"/>
        </w:rPr>
        <w:footnoteReference w:id="36"/>
      </w:r>
      <w:r w:rsidR="00CA3479" w:rsidRPr="00581869">
        <w:t xml:space="preserve">  In </w:t>
      </w:r>
      <w:r w:rsidRPr="00581869">
        <w:t xml:space="preserve">the </w:t>
      </w:r>
      <w:r w:rsidR="00CA3479" w:rsidRPr="00581869">
        <w:t>Version 3.0</w:t>
      </w:r>
      <w:r w:rsidRPr="00581869">
        <w:t xml:space="preserve"> Standards</w:t>
      </w:r>
      <w:r w:rsidR="00CA3479" w:rsidRPr="00581869">
        <w:t xml:space="preserve">, NAESB deleted the interpretations of standards.  NAESB states that the WGQ </w:t>
      </w:r>
      <w:r w:rsidRPr="00581869">
        <w:t xml:space="preserve">decided that, where greater clarity was needed to make standards more easily understood, it </w:t>
      </w:r>
      <w:r w:rsidR="009B30EE" w:rsidRPr="00581869">
        <w:t>modified</w:t>
      </w:r>
      <w:r w:rsidR="00CA3479" w:rsidRPr="00581869">
        <w:t xml:space="preserve"> and/or </w:t>
      </w:r>
      <w:r w:rsidR="009B30EE" w:rsidRPr="00581869">
        <w:t>added</w:t>
      </w:r>
      <w:r w:rsidR="00CA3479" w:rsidRPr="00581869">
        <w:t xml:space="preserve"> new standards to provide additional clarity</w:t>
      </w:r>
      <w:r w:rsidR="00680FA6" w:rsidRPr="00581869">
        <w:t>,</w:t>
      </w:r>
      <w:r w:rsidR="00CA3479" w:rsidRPr="00581869">
        <w:t xml:space="preserve"> rather than adopting interpretations.</w:t>
      </w:r>
      <w:r w:rsidR="00CA3479" w:rsidRPr="00581869">
        <w:rPr>
          <w:rStyle w:val="FootnoteReference"/>
        </w:rPr>
        <w:footnoteReference w:id="37"/>
      </w:r>
      <w:r w:rsidR="00CA3479" w:rsidRPr="00581869">
        <w:t xml:space="preserve">  NAESB states that moving forward, the WGQ will evaluate new requests for clarification</w:t>
      </w:r>
      <w:r w:rsidRPr="00581869">
        <w:t>s</w:t>
      </w:r>
      <w:r w:rsidR="00CA3479" w:rsidRPr="00581869">
        <w:t xml:space="preserve"> or interpretation</w:t>
      </w:r>
      <w:r w:rsidRPr="00581869">
        <w:t>s</w:t>
      </w:r>
      <w:r w:rsidR="00CA3479" w:rsidRPr="00581869">
        <w:t xml:space="preserve"> on a case-by-case basis and </w:t>
      </w:r>
      <w:r w:rsidRPr="00581869">
        <w:t xml:space="preserve">plans to </w:t>
      </w:r>
      <w:r w:rsidR="00CA3479" w:rsidRPr="00581869">
        <w:t xml:space="preserve">work with the requestor to determine if the request would be more appropriately </w:t>
      </w:r>
      <w:r w:rsidRPr="00581869">
        <w:t xml:space="preserve">framed </w:t>
      </w:r>
      <w:r w:rsidR="00CA3479" w:rsidRPr="00581869">
        <w:t xml:space="preserve">as a request for a minor correction or a request for a new and/or modified standard.  NAESB asserts that this approach is similar </w:t>
      </w:r>
      <w:r w:rsidR="00680FA6" w:rsidRPr="00581869">
        <w:t xml:space="preserve">to the </w:t>
      </w:r>
      <w:r w:rsidRPr="00581869">
        <w:t>one used</w:t>
      </w:r>
      <w:r w:rsidR="00CA3479" w:rsidRPr="00581869">
        <w:t xml:space="preserve"> by the Wholesale Electric Quadrant.  </w:t>
      </w:r>
      <w:r w:rsidR="00E14EC8" w:rsidRPr="00581869">
        <w:t xml:space="preserve">Thus, there are no NAESB interpretations of its business practice standards for the Commission to decline </w:t>
      </w:r>
      <w:r w:rsidR="009B30EE" w:rsidRPr="00581869">
        <w:t>to incorporate by reference</w:t>
      </w:r>
      <w:r w:rsidR="00E14EC8" w:rsidRPr="00581869">
        <w:t>.</w:t>
      </w:r>
    </w:p>
    <w:p w14:paraId="3AE745C2" w14:textId="77777777" w:rsidR="00B66993" w:rsidRPr="00581869" w:rsidRDefault="00B66993" w:rsidP="00211330">
      <w:pPr>
        <w:pStyle w:val="Heading2"/>
        <w:tabs>
          <w:tab w:val="clear" w:pos="1008"/>
          <w:tab w:val="num" w:pos="1440"/>
        </w:tabs>
        <w:ind w:left="1440" w:hanging="720"/>
      </w:pPr>
      <w:r w:rsidRPr="00581869">
        <w:t>Proposed Implementation Procedures</w:t>
      </w:r>
      <w:bookmarkStart w:id="14" w:name="_bmk10"/>
    </w:p>
    <w:bookmarkEnd w:id="14"/>
    <w:p w14:paraId="75155B3A" w14:textId="7302CC90" w:rsidR="00EE2907" w:rsidRPr="00581869" w:rsidRDefault="00EE2907" w:rsidP="00581869">
      <w:pPr>
        <w:pStyle w:val="FERCparanumber"/>
      </w:pPr>
      <w:r w:rsidRPr="00581869">
        <w:t xml:space="preserve">The Commission anticipates acting on the proposed rule in order to permit these standards to become effective April 1, 2016 at the same time as the Gas-Electric Harmonization standards, with compliance filings due </w:t>
      </w:r>
      <w:r w:rsidR="00E14EC8" w:rsidRPr="00581869">
        <w:t>February</w:t>
      </w:r>
      <w:r w:rsidRPr="00581869">
        <w:t xml:space="preserve"> 1, 2016.  Requiring implementation on the same date should reduce the compliance burden on the pipelines and avoid confusion.</w:t>
      </w:r>
      <w:r w:rsidR="005B1807" w:rsidRPr="005B1807">
        <w:rPr>
          <w:rFonts w:ascii="Calibri" w:hAnsi="Calibri"/>
          <w:color w:val="1F497D"/>
          <w:sz w:val="22"/>
          <w:szCs w:val="22"/>
        </w:rPr>
        <w:t xml:space="preserve"> </w:t>
      </w:r>
      <w:r w:rsidR="005B1807">
        <w:rPr>
          <w:rFonts w:ascii="Calibri" w:hAnsi="Calibri"/>
          <w:color w:val="1F497D"/>
          <w:sz w:val="22"/>
          <w:szCs w:val="22"/>
        </w:rPr>
        <w:t xml:space="preserve"> </w:t>
      </w:r>
      <w:r w:rsidR="005B1807" w:rsidRPr="005B1807">
        <w:t xml:space="preserve">Requests for waivers that do not meet the requirements set forth in Order No. 587-V will not be granted.  </w:t>
      </w:r>
      <w:r w:rsidR="00297A1D">
        <w:t xml:space="preserve">In particular, </w:t>
      </w:r>
      <w:r w:rsidR="00297A1D" w:rsidRPr="00297A1D">
        <w:t xml:space="preserve">as we explained in Order No. 587-V, </w:t>
      </w:r>
      <w:r w:rsidR="00297A1D" w:rsidRPr="00297A1D">
        <w:lastRenderedPageBreak/>
        <w:t xml:space="preserve">waivers are unnecessary and will not be granted when the standard applies only on condition the pipeline performs a business </w:t>
      </w:r>
      <w:r w:rsidR="00297A1D">
        <w:t>function</w:t>
      </w:r>
      <w:r w:rsidR="00297A1D" w:rsidRPr="00297A1D">
        <w:t xml:space="preserve"> and the pipeline currently does not perform that </w:t>
      </w:r>
      <w:r w:rsidR="00297A1D">
        <w:t>function</w:t>
      </w:r>
      <w:r w:rsidR="00297A1D" w:rsidRPr="00297A1D">
        <w:t>.</w:t>
      </w:r>
      <w:r w:rsidR="00B8506C">
        <w:rPr>
          <w:rStyle w:val="FootnoteReference"/>
        </w:rPr>
        <w:footnoteReference w:id="38"/>
      </w:r>
    </w:p>
    <w:p w14:paraId="556BEDCE" w14:textId="689CF1B6" w:rsidR="00DA546F" w:rsidRPr="00581869" w:rsidRDefault="00CA3479" w:rsidP="00581869">
      <w:pPr>
        <w:pStyle w:val="FERCparanumber"/>
      </w:pPr>
      <w:r w:rsidRPr="00581869">
        <w:t>The Commission is proposing to continue the compliance filing requirements as revised in Order No. 587-V.</w:t>
      </w:r>
      <w:r w:rsidRPr="00581869">
        <w:rPr>
          <w:rStyle w:val="FootnoteReference"/>
        </w:rPr>
        <w:footnoteReference w:id="39"/>
      </w:r>
      <w:r w:rsidRPr="00581869">
        <w:t xml:space="preserve">  As the Commission found in Order No. 587-V, adoption of the revised compliance filing requirements increases the transparency of the pipelines’ incorporation by reference of the NAESB WGQ Standards so that shippers and the Commission will know which tariff provision(s) implements each standard as well as the status of each standard.</w:t>
      </w:r>
      <w:r w:rsidRPr="00581869">
        <w:rPr>
          <w:rStyle w:val="FootnoteReference"/>
        </w:rPr>
        <w:footnoteReference w:id="40"/>
      </w:r>
      <w:r w:rsidRPr="00581869">
        <w:t xml:space="preserve">  Likewise, consistent with past practice, the Commission will post on its eLibrary websi</w:t>
      </w:r>
      <w:r w:rsidR="002D2CF7" w:rsidRPr="00581869">
        <w:t>te (under Docket No. RM96-1-038</w:t>
      </w:r>
      <w:r w:rsidRPr="00581869">
        <w:t>) a sample tariff format, to provide filers an illustrative example to aid them in preparing their compliance filings.</w:t>
      </w:r>
      <w:r w:rsidR="00CE5197" w:rsidRPr="00581869">
        <w:t xml:space="preserve">  </w:t>
      </w:r>
      <w:r w:rsidR="00EE2907" w:rsidRPr="00581869">
        <w:t>Requests for waivers need to comply with the requirements of Order No. 587-V.</w:t>
      </w:r>
      <w:r w:rsidR="00EE2907" w:rsidRPr="00581869">
        <w:rPr>
          <w:rStyle w:val="FootnoteReference"/>
        </w:rPr>
        <w:footnoteReference w:id="41"/>
      </w:r>
    </w:p>
    <w:p w14:paraId="288ED8DF" w14:textId="77777777" w:rsidR="00B66993" w:rsidRPr="00581869" w:rsidRDefault="007B3C7B" w:rsidP="00581869">
      <w:pPr>
        <w:pStyle w:val="FERCparanumber"/>
      </w:pPr>
      <w:r w:rsidRPr="00581869">
        <w:t>Consistent with our practice in Order No. 587-V, t</w:t>
      </w:r>
      <w:r w:rsidR="00B66993" w:rsidRPr="00581869">
        <w:t xml:space="preserve">he pipelines should designate a single tariff section under which every NAESB standard </w:t>
      </w:r>
      <w:r w:rsidR="00413F68" w:rsidRPr="00581869">
        <w:t xml:space="preserve">incorporated by reference by the </w:t>
      </w:r>
      <w:r w:rsidR="00413F68" w:rsidRPr="00581869">
        <w:lastRenderedPageBreak/>
        <w:t xml:space="preserve">Commission </w:t>
      </w:r>
      <w:r w:rsidR="00B66993" w:rsidRPr="00581869">
        <w:t>is listed.</w:t>
      </w:r>
      <w:r w:rsidR="00B66993" w:rsidRPr="00581869">
        <w:rPr>
          <w:rStyle w:val="FootnoteReference"/>
        </w:rPr>
        <w:footnoteReference w:id="42"/>
      </w:r>
      <w:r w:rsidRPr="00581869">
        <w:t xml:space="preserve">  </w:t>
      </w:r>
      <w:r w:rsidR="00413F68" w:rsidRPr="00581869">
        <w:t xml:space="preserve">The pipeline tariff filings should list all the incorporated standards </w:t>
      </w:r>
      <w:r w:rsidR="00DB5554" w:rsidRPr="00581869">
        <w:t xml:space="preserve">with which </w:t>
      </w:r>
      <w:r w:rsidR="00413F68" w:rsidRPr="00581869">
        <w:t>the pipeline will comply.  In addition, f</w:t>
      </w:r>
      <w:r w:rsidR="00B66993" w:rsidRPr="00581869">
        <w:t xml:space="preserve">or </w:t>
      </w:r>
      <w:r w:rsidR="00413F68" w:rsidRPr="00581869">
        <w:t xml:space="preserve">any </w:t>
      </w:r>
      <w:r w:rsidR="00B66993" w:rsidRPr="00581869">
        <w:t>standard</w:t>
      </w:r>
      <w:r w:rsidR="00DA546F" w:rsidRPr="00581869">
        <w:t xml:space="preserve"> </w:t>
      </w:r>
      <w:r w:rsidR="00413F68" w:rsidRPr="00581869">
        <w:t xml:space="preserve">that the pipeline seeks approval not to comply with, the tariff filing must </w:t>
      </w:r>
      <w:r w:rsidR="00DA546F" w:rsidRPr="00581869">
        <w:t xml:space="preserve">identify </w:t>
      </w:r>
      <w:r w:rsidR="00B66993" w:rsidRPr="00581869">
        <w:t xml:space="preserve">the </w:t>
      </w:r>
      <w:r w:rsidR="00413F68" w:rsidRPr="00581869">
        <w:t xml:space="preserve">standard in question and either identify the </w:t>
      </w:r>
      <w:r w:rsidR="00B66993" w:rsidRPr="00581869">
        <w:t xml:space="preserve">provision </w:t>
      </w:r>
      <w:r w:rsidR="00DA546F" w:rsidRPr="00581869">
        <w:t xml:space="preserve">in its tariff </w:t>
      </w:r>
      <w:r w:rsidR="00B66993" w:rsidRPr="00581869">
        <w:t>that complies with the standard;</w:t>
      </w:r>
      <w:r w:rsidR="00B66993" w:rsidRPr="00581869">
        <w:rPr>
          <w:rStyle w:val="FootnoteReference"/>
        </w:rPr>
        <w:footnoteReference w:id="43"/>
      </w:r>
      <w:r w:rsidR="00B66993" w:rsidRPr="00581869">
        <w:t xml:space="preserve"> </w:t>
      </w:r>
      <w:r w:rsidR="00413F68" w:rsidRPr="00581869">
        <w:t xml:space="preserve">or provide </w:t>
      </w:r>
      <w:r w:rsidR="00B66993" w:rsidRPr="00581869">
        <w:t xml:space="preserve">an </w:t>
      </w:r>
      <w:r w:rsidRPr="00581869">
        <w:t xml:space="preserve">explanation of </w:t>
      </w:r>
      <w:r w:rsidR="00B66993" w:rsidRPr="00581869">
        <w:t>a</w:t>
      </w:r>
      <w:r w:rsidR="00413F68" w:rsidRPr="00581869">
        <w:t>ny</w:t>
      </w:r>
      <w:r w:rsidR="00B66993" w:rsidRPr="00581869">
        <w:t xml:space="preserve"> waiver, extension of time, or other variance with respect to compliance with the standard</w:t>
      </w:r>
      <w:r w:rsidR="00413F68" w:rsidRPr="00581869">
        <w:t xml:space="preserve"> that would excuse compliance</w:t>
      </w:r>
      <w:r w:rsidR="00B66993" w:rsidRPr="00581869">
        <w:t>.</w:t>
      </w:r>
      <w:r w:rsidR="00B66993" w:rsidRPr="00581869">
        <w:rPr>
          <w:rStyle w:val="FootnoteReference"/>
        </w:rPr>
        <w:footnoteReference w:id="44"/>
      </w:r>
    </w:p>
    <w:p w14:paraId="0B229F1C" w14:textId="4361812B" w:rsidR="00B66993" w:rsidRPr="00581869" w:rsidRDefault="00B66993" w:rsidP="00581869">
      <w:pPr>
        <w:pStyle w:val="FERCparanumber"/>
      </w:pPr>
      <w:r w:rsidRPr="00581869">
        <w:t xml:space="preserve">If the pipeline is requesting a continuation of an existing waiver or extension of time, it must include a table in its transmittal letter that </w:t>
      </w:r>
      <w:r w:rsidR="00DC17EC" w:rsidRPr="00581869">
        <w:t xml:space="preserve">identifies </w:t>
      </w:r>
      <w:r w:rsidRPr="00581869">
        <w:t>the standard for which a waiver or extension of time was granted, and the docket number or order citation to the proceeding in which the waiver or extension was granted.</w:t>
      </w:r>
      <w:r w:rsidR="00413F68" w:rsidRPr="00581869">
        <w:t xml:space="preserve">  It must also present an explanation for why such waiver or extension should remain in force with regard to the </w:t>
      </w:r>
      <w:r w:rsidR="00DC17EC" w:rsidRPr="00581869">
        <w:t xml:space="preserve">WGQ </w:t>
      </w:r>
      <w:r w:rsidR="00413F68" w:rsidRPr="00581869">
        <w:t xml:space="preserve">Version 3.0 </w:t>
      </w:r>
      <w:r w:rsidR="00DC17EC" w:rsidRPr="00581869">
        <w:t>Business Practice S</w:t>
      </w:r>
      <w:r w:rsidR="00413F68" w:rsidRPr="00581869">
        <w:t>tandards.</w:t>
      </w:r>
    </w:p>
    <w:p w14:paraId="4A3E9C36" w14:textId="564A5B6D" w:rsidR="00B66993" w:rsidRPr="00581869" w:rsidRDefault="00B66993" w:rsidP="00581869">
      <w:pPr>
        <w:pStyle w:val="FERCparanumber"/>
      </w:pPr>
      <w:r w:rsidRPr="00581869">
        <w:lastRenderedPageBreak/>
        <w:t xml:space="preserve">This </w:t>
      </w:r>
      <w:r w:rsidR="00413F68" w:rsidRPr="00581869">
        <w:t xml:space="preserve">continues the Commission’s practice of having pipelines </w:t>
      </w:r>
      <w:r w:rsidR="009C74DF" w:rsidRPr="00581869">
        <w:t xml:space="preserve">including in their tariffs </w:t>
      </w:r>
      <w:r w:rsidRPr="00581869">
        <w:t xml:space="preserve">a common location that identifies the way the pipeline is incorporating all the NAESB WGQ Standards and the standards with which it is required to comply.  </w:t>
      </w:r>
      <w:r w:rsidR="00DC17EC" w:rsidRPr="00581869">
        <w:t>As explained above, t</w:t>
      </w:r>
      <w:r w:rsidRPr="00581869">
        <w:t xml:space="preserve">he Commission will post on its eLibrary website (under Docket </w:t>
      </w:r>
      <w:r w:rsidR="00211330">
        <w:br/>
      </w:r>
      <w:r w:rsidRPr="00581869">
        <w:t>No. RM96-1-03</w:t>
      </w:r>
      <w:r w:rsidR="009C74DF" w:rsidRPr="00581869">
        <w:t>8</w:t>
      </w:r>
      <w:r w:rsidRPr="00581869">
        <w:t>) a sample tariff format, to provide filers an illustrative example to aid them in preparing their compliance filings.</w:t>
      </w:r>
      <w:r w:rsidRPr="00581869">
        <w:rPr>
          <w:rStyle w:val="FootnoteReference"/>
        </w:rPr>
        <w:footnoteReference w:id="45"/>
      </w:r>
    </w:p>
    <w:p w14:paraId="627E352E" w14:textId="77777777" w:rsidR="00B66993" w:rsidRPr="00581869" w:rsidRDefault="00B66993" w:rsidP="00B66993">
      <w:pPr>
        <w:pStyle w:val="Heading1"/>
      </w:pPr>
      <w:r w:rsidRPr="00581869">
        <w:t>Notice of Use of Voluntary Consensus Standards</w:t>
      </w:r>
      <w:bookmarkStart w:id="17" w:name="_bmk11"/>
    </w:p>
    <w:bookmarkEnd w:id="17"/>
    <w:p w14:paraId="1ECB20F8" w14:textId="1ED10817" w:rsidR="00EB1FC7" w:rsidRPr="00581869" w:rsidRDefault="00B66993" w:rsidP="00581869">
      <w:pPr>
        <w:pStyle w:val="FERCparanumber"/>
      </w:pPr>
      <w:r w:rsidRPr="00581869">
        <w:t>Office of Management and Budget Circular A-119 (section 11)</w:t>
      </w:r>
      <w:r w:rsidR="00593B5D" w:rsidRPr="00581869">
        <w:t xml:space="preserve"> </w:t>
      </w:r>
      <w:r w:rsidRPr="00581869">
        <w:t>(February 10, 1998) provides that federal agencies should publish a request for comment in a NOPR when the agency is seeking to issue or revise a regulation proposing to adopt a voluntary consensus standard or a government-unique standard.  In this NOPR, the Commission is proposing to incorporate by reference voluntary consensus standards developed by the WGQ.</w:t>
      </w:r>
    </w:p>
    <w:p w14:paraId="40EF8DD7" w14:textId="77777777" w:rsidR="00EE2907" w:rsidRPr="00581869" w:rsidRDefault="00EE2907" w:rsidP="00EE2907">
      <w:pPr>
        <w:pStyle w:val="Heading1"/>
        <w:rPr>
          <w:u w:val="none"/>
        </w:rPr>
      </w:pPr>
      <w:r w:rsidRPr="00581869">
        <w:t>Incorporation By Reference</w:t>
      </w:r>
      <w:bookmarkStart w:id="18" w:name="_bmk12"/>
    </w:p>
    <w:bookmarkEnd w:id="18"/>
    <w:p w14:paraId="41213DE8" w14:textId="77777777" w:rsidR="00EE2907" w:rsidRPr="00581869" w:rsidRDefault="00EE2907" w:rsidP="00581869">
      <w:pPr>
        <w:pStyle w:val="FERCparanumber"/>
      </w:pPr>
      <w:r w:rsidRPr="00581869">
        <w:t xml:space="preserve">The Office of the Federal Register requires agencies incorporating material by reference in final rules to discuss, in the preamble of the final rule, the ways that the materials it incorporates by reference are reasonably available to interested parties and </w:t>
      </w:r>
      <w:r w:rsidRPr="00581869">
        <w:lastRenderedPageBreak/>
        <w:t>how interested parties can obtain the materials.</w:t>
      </w:r>
      <w:r w:rsidRPr="00581869">
        <w:rPr>
          <w:rStyle w:val="FootnoteReference"/>
        </w:rPr>
        <w:footnoteReference w:id="46"/>
      </w:r>
      <w:r w:rsidRPr="00581869">
        <w:t xml:space="preserve">  The regulations also require agencies to summarize, in the preamble of the final rule, the material it incorporates by reference.</w:t>
      </w:r>
    </w:p>
    <w:p w14:paraId="3350CE17" w14:textId="7A5F3487" w:rsidR="00EE2907" w:rsidRPr="00581869" w:rsidRDefault="00EE2907" w:rsidP="00581869">
      <w:pPr>
        <w:pStyle w:val="FERCparanumber"/>
      </w:pPr>
      <w:r w:rsidRPr="00581869">
        <w:t xml:space="preserve">The NAESB standards we are proposing in this NOPR to incorporate by reference are summarized in paragraphs </w:t>
      </w:r>
      <w:r w:rsidRPr="00581869">
        <w:fldChar w:fldCharType="begin"/>
      </w:r>
      <w:r w:rsidRPr="00581869">
        <w:instrText xml:space="preserve"> REF _Ref423002212 \r \h </w:instrText>
      </w:r>
      <w:r w:rsidRPr="00581869">
        <w:fldChar w:fldCharType="separate"/>
      </w:r>
      <w:r w:rsidR="008F4C7D">
        <w:t>3</w:t>
      </w:r>
      <w:r w:rsidRPr="00581869">
        <w:fldChar w:fldCharType="end"/>
      </w:r>
      <w:r w:rsidRPr="00581869">
        <w:t>-</w:t>
      </w:r>
      <w:r w:rsidRPr="00581869">
        <w:fldChar w:fldCharType="begin"/>
      </w:r>
      <w:r w:rsidRPr="00581869">
        <w:instrText xml:space="preserve"> REF _Ref423002227 \r \h </w:instrText>
      </w:r>
      <w:r w:rsidRPr="00581869">
        <w:fldChar w:fldCharType="separate"/>
      </w:r>
      <w:r w:rsidR="008F4C7D">
        <w:t>6</w:t>
      </w:r>
      <w:r w:rsidRPr="00581869">
        <w:fldChar w:fldCharType="end"/>
      </w:r>
      <w:r w:rsidR="00DC17EC" w:rsidRPr="00581869">
        <w:t xml:space="preserve"> </w:t>
      </w:r>
      <w:r w:rsidRPr="00581869">
        <w:t>above.  Our regulations provide that copies of the NAESB standards incorporated by reference may be obtained from the North American Energy Standards Board, 801 Travis Street, Suite 1675, Houston, TX 77002, Phone: </w:t>
      </w:r>
      <w:r w:rsidR="00211330">
        <w:t xml:space="preserve"> </w:t>
      </w:r>
      <w:r w:rsidRPr="00581869">
        <w:t>(713) 356–0060.</w:t>
      </w:r>
      <w:r w:rsidR="00593B5D" w:rsidRPr="00581869">
        <w:t xml:space="preserve"> </w:t>
      </w:r>
      <w:r w:rsidRPr="00581869">
        <w:t xml:space="preserve"> NAESB’s Web site is at </w:t>
      </w:r>
      <w:hyperlink r:id="rId17" w:history="1">
        <w:r w:rsidR="00AB63CD" w:rsidRPr="002B54C4">
          <w:rPr>
            <w:rStyle w:val="Hyperlink"/>
            <w:u w:val="none"/>
          </w:rPr>
          <w:t>http://www.naesb.org/</w:t>
        </w:r>
      </w:hyperlink>
      <w:r w:rsidRPr="00581869">
        <w:t xml:space="preserve">. </w:t>
      </w:r>
      <w:r w:rsidR="00AB63CD" w:rsidRPr="00581869">
        <w:t xml:space="preserve"> </w:t>
      </w:r>
      <w:r w:rsidRPr="00581869">
        <w:t>Copies may be inspected at the Federal Energy Regulatory Commission, Public Reference and Files Maintenance Branch, 888 First Street, NE., Washington, DC 20426, Phone: </w:t>
      </w:r>
      <w:r w:rsidR="002B54C4">
        <w:t xml:space="preserve"> </w:t>
      </w:r>
      <w:r w:rsidR="002B54C4">
        <w:br/>
      </w:r>
      <w:r w:rsidRPr="00581869">
        <w:t xml:space="preserve">(202) 502–8371, </w:t>
      </w:r>
      <w:hyperlink r:id="rId18" w:history="1">
        <w:r w:rsidR="00AB63CD" w:rsidRPr="002B54C4">
          <w:rPr>
            <w:rStyle w:val="Hyperlink"/>
            <w:u w:val="none"/>
          </w:rPr>
          <w:t>http://www.ferc.gov</w:t>
        </w:r>
      </w:hyperlink>
      <w:r w:rsidRPr="00581869">
        <w:t>.</w:t>
      </w:r>
      <w:r w:rsidRPr="00581869">
        <w:rPr>
          <w:rStyle w:val="FootnoteReference"/>
        </w:rPr>
        <w:footnoteReference w:id="47"/>
      </w:r>
    </w:p>
    <w:p w14:paraId="3DFF15E8" w14:textId="0053475E" w:rsidR="00EE2907" w:rsidRPr="00581869" w:rsidRDefault="00EE2907" w:rsidP="00581869">
      <w:pPr>
        <w:pStyle w:val="FERCparanumber"/>
      </w:pPr>
      <w:r w:rsidRPr="00581869">
        <w:t>NAESB is a private consensus standards developer that develops voluntary wholesale and retail standards related to the energy industry.  The procedures used by NAESB make its stand</w:t>
      </w:r>
      <w:r w:rsidR="00667898" w:rsidRPr="00581869">
        <w:t xml:space="preserve">ards reasonably available to those </w:t>
      </w:r>
      <w:r w:rsidRPr="00581869">
        <w:t>affected by the Commission regulations</w:t>
      </w:r>
      <w:r w:rsidR="00667898" w:rsidRPr="00581869">
        <w:t xml:space="preserve">, </w:t>
      </w:r>
      <w:r w:rsidR="00DC17EC" w:rsidRPr="00581869">
        <w:t>which is comprised of entities that</w:t>
      </w:r>
      <w:r w:rsidR="00667898" w:rsidRPr="00581869">
        <w:t xml:space="preserve"> have the means to acquire the information they need </w:t>
      </w:r>
      <w:r w:rsidR="00EA6FB4" w:rsidRPr="00581869">
        <w:t xml:space="preserve">to </w:t>
      </w:r>
      <w:r w:rsidR="00667898" w:rsidRPr="00581869">
        <w:t>effectively participate in Commission proceedings.</w:t>
      </w:r>
      <w:r w:rsidRPr="00581869">
        <w:t xml:space="preserve">  Participants can join NAESB, for an annual membership cost of only $7,000, which entitles them to full participation in NAESB and enables them to obtain these standards at no </w:t>
      </w:r>
      <w:r w:rsidR="00EA6FB4" w:rsidRPr="00581869">
        <w:t xml:space="preserve">additional </w:t>
      </w:r>
      <w:r w:rsidR="00EA6FB4" w:rsidRPr="00581869">
        <w:lastRenderedPageBreak/>
        <w:t>c</w:t>
      </w:r>
      <w:r w:rsidRPr="00581869">
        <w:t>ost.</w:t>
      </w:r>
      <w:r w:rsidRPr="00581869">
        <w:rPr>
          <w:rStyle w:val="FootnoteReference"/>
        </w:rPr>
        <w:footnoteReference w:id="48"/>
      </w:r>
      <w:r w:rsidRPr="00581869">
        <w:t xml:space="preserve">  Non-members may obtain the Individual Standards Manual or Booklets for each</w:t>
      </w:r>
      <w:r w:rsidR="00823156">
        <w:t xml:space="preserve"> of</w:t>
      </w:r>
      <w:r w:rsidRPr="00581869">
        <w:t xml:space="preserve"> </w:t>
      </w:r>
      <w:r w:rsidR="00E64C8C" w:rsidRPr="00581869">
        <w:t xml:space="preserve">the seven Manuals </w:t>
      </w:r>
      <w:r w:rsidRPr="00581869">
        <w:t>by email for $250 per manual, which in the case of these standards would total $</w:t>
      </w:r>
      <w:r w:rsidR="00FA1D91" w:rsidRPr="00581869">
        <w:t>1,750</w:t>
      </w:r>
      <w:r w:rsidRPr="00581869">
        <w:t>.</w:t>
      </w:r>
      <w:r w:rsidRPr="00581869">
        <w:rPr>
          <w:rStyle w:val="FootnoteReference"/>
        </w:rPr>
        <w:footnoteReference w:id="49"/>
      </w:r>
      <w:r w:rsidRPr="00581869">
        <w:t xml:space="preserve">  Nonmembers also may obtain the complete set of Standards Manuals, Booklets, and Contracts on CD for $2,000.  NAESB also provides a free electronic read-only version of the standards for a three business day period or, in the case of a regulatory comment period, through the end of the comment period.</w:t>
      </w:r>
      <w:r w:rsidRPr="00581869">
        <w:rPr>
          <w:rStyle w:val="FootnoteReference"/>
        </w:rPr>
        <w:footnoteReference w:id="50"/>
      </w:r>
      <w:r w:rsidRPr="00581869">
        <w:t xml:space="preserve">  In addition, NAESB considers requests for waivers of the charges on a case</w:t>
      </w:r>
      <w:r w:rsidR="00CE26D6" w:rsidRPr="00581869">
        <w:t>-</w:t>
      </w:r>
      <w:r w:rsidRPr="00581869">
        <w:t>by</w:t>
      </w:r>
      <w:r w:rsidR="00CE26D6" w:rsidRPr="00581869">
        <w:t>-</w:t>
      </w:r>
      <w:r w:rsidRPr="00581869">
        <w:t>case basis depending on need.</w:t>
      </w:r>
    </w:p>
    <w:p w14:paraId="71BC9C36" w14:textId="77777777" w:rsidR="00EB1FC7" w:rsidRPr="00581869" w:rsidRDefault="00EB1FC7" w:rsidP="003B4990">
      <w:pPr>
        <w:pStyle w:val="Heading1"/>
      </w:pPr>
      <w:r w:rsidRPr="00581869">
        <w:t>Information Collection Statement</w:t>
      </w:r>
      <w:bookmarkStart w:id="19" w:name="_bmk13"/>
    </w:p>
    <w:bookmarkEnd w:id="19"/>
    <w:p w14:paraId="6FA4A809" w14:textId="15E584F8" w:rsidR="001A08A8" w:rsidRPr="00581869" w:rsidRDefault="00B66993" w:rsidP="00581869">
      <w:pPr>
        <w:pStyle w:val="FERCparanumber"/>
      </w:pPr>
      <w:r w:rsidRPr="00581869">
        <w:t xml:space="preserve">The following collections of information contained in this proposed rule are </w:t>
      </w:r>
      <w:r w:rsidR="00823156">
        <w:br/>
      </w:r>
      <w:r w:rsidRPr="00581869">
        <w:t xml:space="preserve">being submitted to the Office of Management and Budget (OMB) for review under section 3507(d) of the Paperwork Reduction Act of 1995, 44 U.S.C. 3507(d).  </w:t>
      </w:r>
      <w:r w:rsidR="001A08A8" w:rsidRPr="00581869">
        <w:t xml:space="preserve">Upon approval of a collection(s) of information, OMB will assign an OMB control number and an expiration date.  Respondents subject to the filing requirements of a rule will not be </w:t>
      </w:r>
      <w:r w:rsidR="001A08A8" w:rsidRPr="00581869">
        <w:lastRenderedPageBreak/>
        <w:t>penalized for failing to respond to these collections of information unless the collections of information display a valid OMB control number.</w:t>
      </w:r>
    </w:p>
    <w:p w14:paraId="24D4186E" w14:textId="67937D58" w:rsidR="001A08A8" w:rsidRPr="00581869" w:rsidRDefault="00B66993" w:rsidP="00581869">
      <w:pPr>
        <w:pStyle w:val="FERCparanumber"/>
      </w:pPr>
      <w:r w:rsidRPr="00581869">
        <w:t>The Commission solicits comments on the Commission's need for this information, whether the information will have practical utility, the accuracy of the provided burden estimates, ways to enhance the quality, utility, and clarity of the information to be collected, and any suggested methods for minimizing respondents' burden, including the use of automated information techniques.</w:t>
      </w:r>
    </w:p>
    <w:p w14:paraId="00CB1E81" w14:textId="0CE80121" w:rsidR="00D77CAD" w:rsidRDefault="001A08A8" w:rsidP="00CE43C2">
      <w:pPr>
        <w:pStyle w:val="FERCparanumber"/>
        <w:numPr>
          <w:ilvl w:val="0"/>
          <w:numId w:val="0"/>
        </w:numPr>
      </w:pPr>
      <w:r w:rsidRPr="00581869">
        <w:rPr>
          <w:u w:val="single"/>
        </w:rPr>
        <w:t>Public Reporting Burden</w:t>
      </w:r>
      <w:r w:rsidRPr="00581869">
        <w:t xml:space="preserve">:  The Commission’s </w:t>
      </w:r>
      <w:r w:rsidR="00B66993" w:rsidRPr="00581869">
        <w:t xml:space="preserve">burden estimates </w:t>
      </w:r>
      <w:r w:rsidRPr="00581869">
        <w:t xml:space="preserve">for the proposals in this NOPR </w:t>
      </w:r>
      <w:r w:rsidR="005A1BC5" w:rsidRPr="00581869">
        <w:t xml:space="preserve">are for one-time </w:t>
      </w:r>
      <w:r w:rsidR="00B66993" w:rsidRPr="00581869">
        <w:t>implement</w:t>
      </w:r>
      <w:r w:rsidR="005A1BC5" w:rsidRPr="00581869">
        <w:t>ation of</w:t>
      </w:r>
      <w:r w:rsidR="00B66993" w:rsidRPr="00581869">
        <w:t xml:space="preserve"> the </w:t>
      </w:r>
      <w:r w:rsidR="005A1BC5" w:rsidRPr="00581869">
        <w:t>information collection requirements of this NOPR (including tariff filing, documentation of the process and procedures, and IT work).</w:t>
      </w:r>
      <w:r w:rsidRPr="00581869">
        <w:t xml:space="preserve">  </w:t>
      </w:r>
      <w:r w:rsidR="005A1BC5" w:rsidRPr="00581869">
        <w:t>The collections of information related to this NOPR fall under FERC–545 (Gas Pipeline Rates: Rate Change (Non-Formal))</w:t>
      </w:r>
      <w:r w:rsidR="005A1BC5" w:rsidRPr="00581869">
        <w:rPr>
          <w:rStyle w:val="FootnoteReference"/>
        </w:rPr>
        <w:footnoteReference w:id="51"/>
      </w:r>
      <w:r w:rsidR="005A1BC5" w:rsidRPr="00581869">
        <w:t xml:space="preserve"> and FERC–549C (Standards for Business Practices of Interstate Natural Gas Pipelines).</w:t>
      </w:r>
      <w:r w:rsidR="005A1BC5" w:rsidRPr="00581869">
        <w:rPr>
          <w:rStyle w:val="FootnoteReference"/>
        </w:rPr>
        <w:footnoteReference w:id="52"/>
      </w:r>
      <w:r w:rsidR="005A1BC5" w:rsidRPr="00581869">
        <w:t xml:space="preserve">  The following estimates of reporting burden are related only to this NOPR and anticipate the costs to pipelines for compliance with the Commission’s proposals in this NOPR</w:t>
      </w:r>
      <w:r w:rsidR="00B66993" w:rsidRPr="00581869">
        <w:t>.</w:t>
      </w:r>
      <w:r w:rsidR="005A1BC5" w:rsidRPr="00581869">
        <w:rPr>
          <w:rStyle w:val="FootnoteReference"/>
        </w:rPr>
        <w:footnoteReference w:id="53"/>
      </w:r>
      <w:r w:rsidR="00B66993" w:rsidRPr="00581869">
        <w:t xml:space="preserve">  The burden estimates are primarily </w:t>
      </w:r>
      <w:r w:rsidR="00B66993" w:rsidRPr="00581869">
        <w:lastRenderedPageBreak/>
        <w:t>related to start-up to implement these standards and regulations and will not result in ongoing costs.</w:t>
      </w:r>
    </w:p>
    <w:tbl>
      <w:tblPr>
        <w:tblW w:w="5357"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1711"/>
        <w:gridCol w:w="1711"/>
        <w:gridCol w:w="1619"/>
        <w:gridCol w:w="1260"/>
        <w:gridCol w:w="1438"/>
        <w:gridCol w:w="1531"/>
      </w:tblGrid>
      <w:tr w:rsidR="001A08A8" w:rsidRPr="00581869" w14:paraId="33AA0039" w14:textId="77777777" w:rsidTr="00252972">
        <w:trPr>
          <w:cantSplit/>
        </w:trPr>
        <w:tc>
          <w:tcPr>
            <w:tcW w:w="5000" w:type="pct"/>
            <w:gridSpan w:val="7"/>
            <w:tcBorders>
              <w:bottom w:val="single" w:sz="4" w:space="0" w:color="auto"/>
            </w:tcBorders>
            <w:shd w:val="clear" w:color="auto" w:fill="D9D9D9"/>
          </w:tcPr>
          <w:p w14:paraId="0B5DDAC9" w14:textId="77777777" w:rsidR="001A08A8" w:rsidRPr="00581869" w:rsidRDefault="001A08A8" w:rsidP="00D52F33">
            <w:pPr>
              <w:jc w:val="center"/>
            </w:pPr>
            <w:r w:rsidRPr="00581869">
              <w:rPr>
                <w:rFonts w:eastAsia="Calibri"/>
              </w:rPr>
              <w:t xml:space="preserve">RM96-1-038, </w:t>
            </w:r>
            <w:r w:rsidRPr="00581869">
              <w:t>Standards for Business Practices of Interstate Natural Gas Pipelines</w:t>
            </w:r>
          </w:p>
          <w:p w14:paraId="2A9F1309" w14:textId="77777777" w:rsidR="001A08A8" w:rsidRPr="00581869" w:rsidRDefault="001A08A8" w:rsidP="00D52F33">
            <w:pPr>
              <w:rPr>
                <w:rFonts w:eastAsia="Calibri"/>
              </w:rPr>
            </w:pPr>
          </w:p>
        </w:tc>
      </w:tr>
      <w:tr w:rsidR="00252972" w:rsidRPr="00581869" w14:paraId="49A21ED9" w14:textId="77777777" w:rsidTr="00D77CAD">
        <w:trPr>
          <w:cantSplit/>
        </w:trPr>
        <w:tc>
          <w:tcPr>
            <w:tcW w:w="482" w:type="pct"/>
            <w:shd w:val="clear" w:color="auto" w:fill="D9D9D9"/>
          </w:tcPr>
          <w:p w14:paraId="1BD75287" w14:textId="77777777" w:rsidR="001A08A8" w:rsidRPr="00581869" w:rsidRDefault="001A08A8" w:rsidP="00D52F33">
            <w:pPr>
              <w:jc w:val="center"/>
              <w:rPr>
                <w:rFonts w:eastAsia="Calibri"/>
                <w:b/>
                <w:szCs w:val="20"/>
              </w:rPr>
            </w:pPr>
          </w:p>
        </w:tc>
        <w:tc>
          <w:tcPr>
            <w:tcW w:w="834" w:type="pct"/>
            <w:shd w:val="clear" w:color="auto" w:fill="D9D9D9"/>
            <w:vAlign w:val="bottom"/>
          </w:tcPr>
          <w:p w14:paraId="67BA773F" w14:textId="77777777" w:rsidR="00093227" w:rsidRPr="00581869" w:rsidRDefault="001A08A8" w:rsidP="00D52F33">
            <w:pPr>
              <w:jc w:val="center"/>
              <w:rPr>
                <w:rFonts w:eastAsia="Calibri"/>
                <w:b/>
                <w:szCs w:val="20"/>
              </w:rPr>
            </w:pPr>
            <w:r w:rsidRPr="00581869">
              <w:rPr>
                <w:rFonts w:eastAsia="Calibri"/>
                <w:b/>
                <w:szCs w:val="20"/>
              </w:rPr>
              <w:t>Number of Respondents</w:t>
            </w:r>
            <w:r w:rsidRPr="00581869">
              <w:rPr>
                <w:rStyle w:val="FootnoteReference"/>
                <w:rFonts w:eastAsia="Calibri"/>
              </w:rPr>
              <w:footnoteReference w:id="54"/>
            </w:r>
          </w:p>
          <w:p w14:paraId="2E85CFA3" w14:textId="65401D8C" w:rsidR="001A08A8" w:rsidRPr="00581869" w:rsidRDefault="001A08A8" w:rsidP="00D52F33">
            <w:pPr>
              <w:jc w:val="center"/>
              <w:rPr>
                <w:rFonts w:eastAsia="Calibri"/>
                <w:b/>
                <w:szCs w:val="20"/>
              </w:rPr>
            </w:pPr>
            <w:r w:rsidRPr="00581869">
              <w:rPr>
                <w:rFonts w:eastAsia="Calibri"/>
                <w:b/>
                <w:szCs w:val="20"/>
              </w:rPr>
              <w:t>(1)</w:t>
            </w:r>
          </w:p>
        </w:tc>
        <w:tc>
          <w:tcPr>
            <w:tcW w:w="834" w:type="pct"/>
            <w:shd w:val="clear" w:color="auto" w:fill="D9D9D9"/>
            <w:vAlign w:val="bottom"/>
          </w:tcPr>
          <w:p w14:paraId="5E7B6017" w14:textId="77777777" w:rsidR="001A08A8" w:rsidRPr="00581869" w:rsidRDefault="001A08A8" w:rsidP="00D52F33">
            <w:pPr>
              <w:jc w:val="center"/>
              <w:rPr>
                <w:rFonts w:eastAsia="Calibri"/>
                <w:b/>
                <w:szCs w:val="20"/>
              </w:rPr>
            </w:pPr>
            <w:r w:rsidRPr="00581869">
              <w:rPr>
                <w:rFonts w:eastAsia="Calibri"/>
                <w:b/>
                <w:szCs w:val="20"/>
              </w:rPr>
              <w:t>Annual Number of Responses per Respondent</w:t>
            </w:r>
          </w:p>
          <w:p w14:paraId="3E223992" w14:textId="77777777" w:rsidR="001A08A8" w:rsidRPr="00581869" w:rsidRDefault="001A08A8" w:rsidP="00D52F33">
            <w:pPr>
              <w:jc w:val="center"/>
              <w:rPr>
                <w:rFonts w:eastAsia="Calibri"/>
                <w:b/>
                <w:szCs w:val="20"/>
              </w:rPr>
            </w:pPr>
            <w:r w:rsidRPr="00581869">
              <w:rPr>
                <w:rFonts w:eastAsia="Calibri"/>
                <w:b/>
                <w:szCs w:val="20"/>
              </w:rPr>
              <w:t>(2)</w:t>
            </w:r>
          </w:p>
        </w:tc>
        <w:tc>
          <w:tcPr>
            <w:tcW w:w="789" w:type="pct"/>
            <w:shd w:val="clear" w:color="auto" w:fill="D9D9D9"/>
            <w:vAlign w:val="bottom"/>
          </w:tcPr>
          <w:p w14:paraId="09926803" w14:textId="77777777" w:rsidR="00CE43C2" w:rsidRPr="00581869" w:rsidRDefault="001A08A8" w:rsidP="00D52F33">
            <w:pPr>
              <w:jc w:val="center"/>
              <w:rPr>
                <w:rFonts w:eastAsia="Calibri"/>
                <w:b/>
                <w:szCs w:val="20"/>
              </w:rPr>
            </w:pPr>
            <w:r w:rsidRPr="00581869">
              <w:rPr>
                <w:rFonts w:eastAsia="Calibri"/>
                <w:b/>
                <w:szCs w:val="20"/>
              </w:rPr>
              <w:t>Total Number of Responses (1)*(2)=</w:t>
            </w:r>
          </w:p>
          <w:p w14:paraId="420764CA" w14:textId="50ACFC0D" w:rsidR="001A08A8" w:rsidRPr="00581869" w:rsidRDefault="001A08A8" w:rsidP="00D52F33">
            <w:pPr>
              <w:jc w:val="center"/>
              <w:rPr>
                <w:rFonts w:eastAsia="Calibri"/>
                <w:b/>
                <w:szCs w:val="20"/>
              </w:rPr>
            </w:pPr>
            <w:r w:rsidRPr="00581869">
              <w:rPr>
                <w:rFonts w:eastAsia="Calibri"/>
                <w:b/>
                <w:szCs w:val="20"/>
              </w:rPr>
              <w:t>(3)</w:t>
            </w:r>
          </w:p>
        </w:tc>
        <w:tc>
          <w:tcPr>
            <w:tcW w:w="614" w:type="pct"/>
            <w:shd w:val="clear" w:color="auto" w:fill="D9D9D9"/>
            <w:vAlign w:val="bottom"/>
          </w:tcPr>
          <w:p w14:paraId="30B26F8D" w14:textId="77777777" w:rsidR="001A08A8" w:rsidRPr="00581869" w:rsidRDefault="001A08A8" w:rsidP="00D52F33">
            <w:pPr>
              <w:jc w:val="center"/>
              <w:rPr>
                <w:rFonts w:eastAsia="Calibri"/>
                <w:b/>
                <w:szCs w:val="20"/>
              </w:rPr>
            </w:pPr>
            <w:r w:rsidRPr="00581869">
              <w:rPr>
                <w:rFonts w:eastAsia="Calibri"/>
                <w:b/>
                <w:szCs w:val="20"/>
              </w:rPr>
              <w:t>Average Burden &amp; Cost Per Response</w:t>
            </w:r>
          </w:p>
          <w:p w14:paraId="486E49B7" w14:textId="77777777" w:rsidR="001A08A8" w:rsidRPr="00581869" w:rsidRDefault="001A08A8" w:rsidP="00D52F33">
            <w:pPr>
              <w:jc w:val="center"/>
              <w:rPr>
                <w:rFonts w:eastAsia="Calibri"/>
                <w:b/>
                <w:szCs w:val="20"/>
              </w:rPr>
            </w:pPr>
            <w:r w:rsidRPr="00581869">
              <w:rPr>
                <w:rFonts w:eastAsia="Calibri"/>
                <w:b/>
                <w:szCs w:val="20"/>
              </w:rPr>
              <w:t>(4)</w:t>
            </w:r>
          </w:p>
        </w:tc>
        <w:tc>
          <w:tcPr>
            <w:tcW w:w="701" w:type="pct"/>
            <w:shd w:val="clear" w:color="auto" w:fill="D9D9D9"/>
            <w:vAlign w:val="bottom"/>
          </w:tcPr>
          <w:p w14:paraId="4A0ED4FC" w14:textId="77777777" w:rsidR="001A08A8" w:rsidRPr="00581869" w:rsidRDefault="001A08A8" w:rsidP="00D52F33">
            <w:pPr>
              <w:jc w:val="center"/>
              <w:rPr>
                <w:rFonts w:eastAsia="Calibri"/>
                <w:b/>
                <w:szCs w:val="20"/>
              </w:rPr>
            </w:pPr>
            <w:r w:rsidRPr="00581869">
              <w:rPr>
                <w:rFonts w:eastAsia="Calibri"/>
                <w:b/>
                <w:szCs w:val="20"/>
              </w:rPr>
              <w:t>Total Annual Burden Hours &amp; Total Annual Cost</w:t>
            </w:r>
          </w:p>
          <w:p w14:paraId="360DA9C7" w14:textId="77777777" w:rsidR="001A08A8" w:rsidRPr="00581869" w:rsidRDefault="001A08A8" w:rsidP="00D52F33">
            <w:pPr>
              <w:jc w:val="center"/>
              <w:rPr>
                <w:rFonts w:eastAsia="Calibri"/>
                <w:b/>
                <w:szCs w:val="20"/>
              </w:rPr>
            </w:pPr>
            <w:r w:rsidRPr="00581869">
              <w:rPr>
                <w:rFonts w:eastAsia="Calibri"/>
                <w:b/>
                <w:szCs w:val="20"/>
              </w:rPr>
              <w:t>(3)*(4)=(5)</w:t>
            </w:r>
          </w:p>
        </w:tc>
        <w:tc>
          <w:tcPr>
            <w:tcW w:w="746" w:type="pct"/>
            <w:shd w:val="clear" w:color="auto" w:fill="D9D9D9"/>
            <w:vAlign w:val="bottom"/>
          </w:tcPr>
          <w:p w14:paraId="42EF248A" w14:textId="77777777" w:rsidR="00252972" w:rsidRPr="00581869" w:rsidRDefault="001A08A8" w:rsidP="00D52F33">
            <w:pPr>
              <w:jc w:val="center"/>
              <w:rPr>
                <w:rFonts w:eastAsia="Calibri"/>
                <w:b/>
                <w:szCs w:val="20"/>
              </w:rPr>
            </w:pPr>
            <w:r w:rsidRPr="00581869">
              <w:rPr>
                <w:rFonts w:eastAsia="Calibri"/>
                <w:b/>
                <w:szCs w:val="20"/>
              </w:rPr>
              <w:t>Cost per Respondent</w:t>
            </w:r>
          </w:p>
          <w:p w14:paraId="45371627" w14:textId="6B59A7F5" w:rsidR="001A08A8" w:rsidRPr="00581869" w:rsidRDefault="001A08A8" w:rsidP="00D52F33">
            <w:pPr>
              <w:jc w:val="center"/>
              <w:rPr>
                <w:rFonts w:eastAsia="Calibri"/>
                <w:b/>
                <w:szCs w:val="20"/>
              </w:rPr>
            </w:pPr>
            <w:r w:rsidRPr="00581869">
              <w:rPr>
                <w:rStyle w:val="FootnoteReference"/>
              </w:rPr>
              <w:footnoteReference w:id="55"/>
            </w:r>
          </w:p>
          <w:p w14:paraId="6D59AE5B" w14:textId="438E3783" w:rsidR="001A08A8" w:rsidRPr="00581869" w:rsidRDefault="001A08A8" w:rsidP="00D52F33">
            <w:pPr>
              <w:jc w:val="center"/>
              <w:rPr>
                <w:rFonts w:eastAsia="Calibri"/>
                <w:b/>
                <w:szCs w:val="20"/>
              </w:rPr>
            </w:pPr>
            <w:r w:rsidRPr="00581869">
              <w:rPr>
                <w:rFonts w:eastAsia="Calibri"/>
                <w:b/>
                <w:szCs w:val="20"/>
              </w:rPr>
              <w:t>($)</w:t>
            </w:r>
          </w:p>
          <w:p w14:paraId="2482D13F" w14:textId="77777777" w:rsidR="001A08A8" w:rsidRPr="00581869" w:rsidRDefault="001A08A8" w:rsidP="00D52F33">
            <w:pPr>
              <w:jc w:val="center"/>
              <w:rPr>
                <w:rFonts w:eastAsia="Calibri"/>
                <w:b/>
                <w:szCs w:val="20"/>
              </w:rPr>
            </w:pPr>
            <w:r w:rsidRPr="00581869">
              <w:rPr>
                <w:rFonts w:eastAsia="Calibri"/>
                <w:b/>
                <w:szCs w:val="20"/>
              </w:rPr>
              <w:t>(5)÷(1)</w:t>
            </w:r>
          </w:p>
        </w:tc>
      </w:tr>
      <w:tr w:rsidR="00252972" w:rsidRPr="00581869" w14:paraId="31AAFE6E" w14:textId="77777777" w:rsidTr="00D77CAD">
        <w:trPr>
          <w:cantSplit/>
        </w:trPr>
        <w:tc>
          <w:tcPr>
            <w:tcW w:w="482" w:type="pct"/>
          </w:tcPr>
          <w:p w14:paraId="6B86572D" w14:textId="77777777" w:rsidR="001A08A8" w:rsidRPr="00581869" w:rsidRDefault="001A08A8" w:rsidP="00D52F33">
            <w:pPr>
              <w:rPr>
                <w:rFonts w:eastAsia="Calibri"/>
                <w:szCs w:val="20"/>
              </w:rPr>
            </w:pPr>
            <w:r w:rsidRPr="00581869">
              <w:rPr>
                <w:rFonts w:eastAsia="Calibri"/>
                <w:szCs w:val="20"/>
              </w:rPr>
              <w:t>FERC-545</w:t>
            </w:r>
            <w:r w:rsidRPr="00581869">
              <w:rPr>
                <w:rStyle w:val="FootnoteReference"/>
              </w:rPr>
              <w:footnoteReference w:id="56"/>
            </w:r>
          </w:p>
        </w:tc>
        <w:tc>
          <w:tcPr>
            <w:tcW w:w="834" w:type="pct"/>
          </w:tcPr>
          <w:p w14:paraId="1BCB4C37" w14:textId="77777777" w:rsidR="001A08A8" w:rsidRPr="00581869" w:rsidRDefault="001A08A8" w:rsidP="00D52F33">
            <w:pPr>
              <w:jc w:val="right"/>
              <w:rPr>
                <w:rFonts w:eastAsia="Calibri"/>
                <w:szCs w:val="20"/>
              </w:rPr>
            </w:pPr>
            <w:r w:rsidRPr="00581869">
              <w:rPr>
                <w:rFonts w:eastAsia="Calibri"/>
                <w:szCs w:val="20"/>
              </w:rPr>
              <w:t>165</w:t>
            </w:r>
          </w:p>
        </w:tc>
        <w:tc>
          <w:tcPr>
            <w:tcW w:w="834" w:type="pct"/>
          </w:tcPr>
          <w:p w14:paraId="61379EFD" w14:textId="77777777" w:rsidR="001A08A8" w:rsidRPr="00581869" w:rsidRDefault="001A08A8" w:rsidP="00D52F33">
            <w:pPr>
              <w:jc w:val="right"/>
              <w:rPr>
                <w:rFonts w:eastAsia="Calibri"/>
                <w:szCs w:val="20"/>
              </w:rPr>
            </w:pPr>
            <w:r w:rsidRPr="00581869">
              <w:rPr>
                <w:rFonts w:eastAsia="Calibri"/>
                <w:szCs w:val="20"/>
              </w:rPr>
              <w:t>1</w:t>
            </w:r>
          </w:p>
        </w:tc>
        <w:tc>
          <w:tcPr>
            <w:tcW w:w="789" w:type="pct"/>
          </w:tcPr>
          <w:p w14:paraId="2DDB34EA" w14:textId="77777777" w:rsidR="001A08A8" w:rsidRPr="00581869" w:rsidRDefault="001A08A8" w:rsidP="00D52F33">
            <w:pPr>
              <w:jc w:val="right"/>
              <w:rPr>
                <w:rFonts w:eastAsia="Calibri"/>
                <w:szCs w:val="20"/>
              </w:rPr>
            </w:pPr>
            <w:r w:rsidRPr="00581869">
              <w:rPr>
                <w:rFonts w:eastAsia="Calibri"/>
                <w:szCs w:val="20"/>
              </w:rPr>
              <w:t>165</w:t>
            </w:r>
          </w:p>
        </w:tc>
        <w:tc>
          <w:tcPr>
            <w:tcW w:w="614" w:type="pct"/>
          </w:tcPr>
          <w:p w14:paraId="4D89C927" w14:textId="77777777" w:rsidR="001A08A8" w:rsidRPr="00581869" w:rsidRDefault="001A08A8" w:rsidP="00D52F33">
            <w:pPr>
              <w:jc w:val="right"/>
              <w:rPr>
                <w:rFonts w:eastAsia="Calibri"/>
                <w:szCs w:val="20"/>
              </w:rPr>
            </w:pPr>
            <w:r w:rsidRPr="00581869">
              <w:rPr>
                <w:rFonts w:eastAsia="Calibri"/>
                <w:szCs w:val="20"/>
              </w:rPr>
              <w:t>10</w:t>
            </w:r>
          </w:p>
        </w:tc>
        <w:tc>
          <w:tcPr>
            <w:tcW w:w="701" w:type="pct"/>
          </w:tcPr>
          <w:p w14:paraId="39F6B655" w14:textId="77777777" w:rsidR="001A08A8" w:rsidRPr="00581869" w:rsidRDefault="001A08A8" w:rsidP="00D52F33">
            <w:pPr>
              <w:jc w:val="right"/>
              <w:rPr>
                <w:rFonts w:eastAsia="Calibri"/>
                <w:szCs w:val="20"/>
              </w:rPr>
            </w:pPr>
            <w:r w:rsidRPr="00581869">
              <w:rPr>
                <w:rFonts w:eastAsia="Calibri"/>
                <w:szCs w:val="20"/>
              </w:rPr>
              <w:t>1,650</w:t>
            </w:r>
          </w:p>
        </w:tc>
        <w:tc>
          <w:tcPr>
            <w:tcW w:w="746" w:type="pct"/>
          </w:tcPr>
          <w:p w14:paraId="48BDBA90" w14:textId="77777777" w:rsidR="001A08A8" w:rsidRPr="00581869" w:rsidRDefault="001A08A8" w:rsidP="00D52F33">
            <w:pPr>
              <w:jc w:val="right"/>
              <w:rPr>
                <w:rFonts w:eastAsia="Calibri"/>
                <w:szCs w:val="20"/>
              </w:rPr>
            </w:pPr>
            <w:r w:rsidRPr="00581869">
              <w:rPr>
                <w:rFonts w:eastAsia="Calibri"/>
                <w:szCs w:val="20"/>
              </w:rPr>
              <w:t>$138,056</w:t>
            </w:r>
          </w:p>
        </w:tc>
      </w:tr>
      <w:tr w:rsidR="00252972" w:rsidRPr="00581869" w14:paraId="08ED1F9B" w14:textId="77777777" w:rsidTr="00D77CAD">
        <w:trPr>
          <w:cantSplit/>
        </w:trPr>
        <w:tc>
          <w:tcPr>
            <w:tcW w:w="482" w:type="pct"/>
          </w:tcPr>
          <w:p w14:paraId="07EF8CD1" w14:textId="77777777" w:rsidR="001A08A8" w:rsidRPr="00581869" w:rsidRDefault="001A08A8" w:rsidP="00D52F33">
            <w:pPr>
              <w:rPr>
                <w:rFonts w:eastAsia="Calibri"/>
                <w:szCs w:val="20"/>
              </w:rPr>
            </w:pPr>
            <w:r w:rsidRPr="00581869">
              <w:rPr>
                <w:rFonts w:eastAsia="Calibri"/>
                <w:szCs w:val="20"/>
              </w:rPr>
              <w:lastRenderedPageBreak/>
              <w:t>FERC-549C</w:t>
            </w:r>
          </w:p>
        </w:tc>
        <w:tc>
          <w:tcPr>
            <w:tcW w:w="834" w:type="pct"/>
          </w:tcPr>
          <w:p w14:paraId="0BF9F303" w14:textId="77777777" w:rsidR="001A08A8" w:rsidRPr="00581869" w:rsidRDefault="001A08A8" w:rsidP="00D52F33">
            <w:pPr>
              <w:jc w:val="right"/>
              <w:rPr>
                <w:rFonts w:eastAsia="Calibri"/>
                <w:szCs w:val="20"/>
              </w:rPr>
            </w:pPr>
            <w:r w:rsidRPr="00581869">
              <w:rPr>
                <w:rFonts w:eastAsia="Calibri"/>
                <w:szCs w:val="20"/>
              </w:rPr>
              <w:t>165</w:t>
            </w:r>
          </w:p>
        </w:tc>
        <w:tc>
          <w:tcPr>
            <w:tcW w:w="834" w:type="pct"/>
          </w:tcPr>
          <w:p w14:paraId="0EEC7FB4" w14:textId="77777777" w:rsidR="001A08A8" w:rsidRPr="00581869" w:rsidRDefault="001A08A8" w:rsidP="00D52F33">
            <w:pPr>
              <w:jc w:val="right"/>
              <w:rPr>
                <w:rFonts w:eastAsia="Calibri"/>
                <w:szCs w:val="20"/>
              </w:rPr>
            </w:pPr>
            <w:r w:rsidRPr="00581869">
              <w:rPr>
                <w:rFonts w:eastAsia="Calibri"/>
                <w:szCs w:val="20"/>
              </w:rPr>
              <w:t>1</w:t>
            </w:r>
          </w:p>
        </w:tc>
        <w:tc>
          <w:tcPr>
            <w:tcW w:w="789" w:type="pct"/>
          </w:tcPr>
          <w:p w14:paraId="21EBC60E" w14:textId="77777777" w:rsidR="001A08A8" w:rsidRPr="00581869" w:rsidRDefault="001A08A8" w:rsidP="00D52F33">
            <w:pPr>
              <w:jc w:val="right"/>
              <w:rPr>
                <w:rFonts w:eastAsia="Calibri"/>
                <w:szCs w:val="20"/>
              </w:rPr>
            </w:pPr>
            <w:r w:rsidRPr="00581869">
              <w:rPr>
                <w:rFonts w:eastAsia="Calibri"/>
                <w:szCs w:val="20"/>
              </w:rPr>
              <w:t>165</w:t>
            </w:r>
          </w:p>
        </w:tc>
        <w:tc>
          <w:tcPr>
            <w:tcW w:w="614" w:type="pct"/>
          </w:tcPr>
          <w:p w14:paraId="6D19BA42" w14:textId="77777777" w:rsidR="001A08A8" w:rsidRPr="00581869" w:rsidRDefault="001A08A8" w:rsidP="00D52F33">
            <w:pPr>
              <w:jc w:val="right"/>
              <w:rPr>
                <w:rFonts w:eastAsia="Calibri"/>
                <w:szCs w:val="20"/>
              </w:rPr>
            </w:pPr>
            <w:r w:rsidRPr="00581869">
              <w:rPr>
                <w:rFonts w:eastAsia="Calibri"/>
                <w:szCs w:val="20"/>
              </w:rPr>
              <w:t>22</w:t>
            </w:r>
          </w:p>
        </w:tc>
        <w:tc>
          <w:tcPr>
            <w:tcW w:w="701" w:type="pct"/>
          </w:tcPr>
          <w:p w14:paraId="0F0B7881" w14:textId="77777777" w:rsidR="001A08A8" w:rsidRPr="00581869" w:rsidRDefault="001A08A8" w:rsidP="00D52F33">
            <w:pPr>
              <w:jc w:val="right"/>
              <w:rPr>
                <w:rFonts w:eastAsia="Calibri"/>
                <w:szCs w:val="20"/>
              </w:rPr>
            </w:pPr>
            <w:r w:rsidRPr="00581869">
              <w:rPr>
                <w:rFonts w:eastAsia="Calibri"/>
                <w:szCs w:val="20"/>
              </w:rPr>
              <w:t>3,630</w:t>
            </w:r>
          </w:p>
        </w:tc>
        <w:tc>
          <w:tcPr>
            <w:tcW w:w="746" w:type="pct"/>
          </w:tcPr>
          <w:p w14:paraId="461AB060" w14:textId="77777777" w:rsidR="001A08A8" w:rsidRPr="00581869" w:rsidRDefault="001A08A8" w:rsidP="00D52F33">
            <w:pPr>
              <w:jc w:val="right"/>
              <w:rPr>
                <w:rFonts w:eastAsia="Calibri"/>
                <w:szCs w:val="20"/>
              </w:rPr>
            </w:pPr>
            <w:r w:rsidRPr="00581869">
              <w:rPr>
                <w:rFonts w:eastAsia="Calibri"/>
                <w:szCs w:val="20"/>
              </w:rPr>
              <w:t>$303,722</w:t>
            </w:r>
          </w:p>
        </w:tc>
      </w:tr>
      <w:tr w:rsidR="00252972" w:rsidRPr="00581869" w14:paraId="3FF95C77" w14:textId="77777777" w:rsidTr="00D77CAD">
        <w:trPr>
          <w:cantSplit/>
        </w:trPr>
        <w:tc>
          <w:tcPr>
            <w:tcW w:w="482" w:type="pct"/>
          </w:tcPr>
          <w:p w14:paraId="0BE230CA" w14:textId="77777777" w:rsidR="001A08A8" w:rsidRPr="00581869" w:rsidRDefault="001A08A8" w:rsidP="00D52F33">
            <w:pPr>
              <w:rPr>
                <w:rFonts w:eastAsia="Calibri"/>
                <w:szCs w:val="20"/>
              </w:rPr>
            </w:pPr>
            <w:r w:rsidRPr="00581869">
              <w:rPr>
                <w:rFonts w:eastAsia="Calibri"/>
                <w:szCs w:val="20"/>
              </w:rPr>
              <w:t>Totals</w:t>
            </w:r>
          </w:p>
        </w:tc>
        <w:tc>
          <w:tcPr>
            <w:tcW w:w="834" w:type="pct"/>
          </w:tcPr>
          <w:p w14:paraId="7F7660B0" w14:textId="77777777" w:rsidR="001A08A8" w:rsidRPr="00581869" w:rsidRDefault="001A08A8" w:rsidP="00D52F33">
            <w:pPr>
              <w:jc w:val="right"/>
              <w:rPr>
                <w:rFonts w:eastAsia="Calibri"/>
                <w:szCs w:val="20"/>
              </w:rPr>
            </w:pPr>
          </w:p>
        </w:tc>
        <w:tc>
          <w:tcPr>
            <w:tcW w:w="834" w:type="pct"/>
          </w:tcPr>
          <w:p w14:paraId="7B683FB0" w14:textId="77777777" w:rsidR="001A08A8" w:rsidRPr="00581869" w:rsidRDefault="001A08A8" w:rsidP="00D52F33">
            <w:pPr>
              <w:jc w:val="right"/>
              <w:rPr>
                <w:rFonts w:eastAsia="Calibri"/>
                <w:szCs w:val="20"/>
              </w:rPr>
            </w:pPr>
          </w:p>
        </w:tc>
        <w:tc>
          <w:tcPr>
            <w:tcW w:w="789" w:type="pct"/>
          </w:tcPr>
          <w:p w14:paraId="69603799" w14:textId="77777777" w:rsidR="001A08A8" w:rsidRPr="00581869" w:rsidRDefault="001A08A8" w:rsidP="00D52F33">
            <w:pPr>
              <w:jc w:val="right"/>
              <w:rPr>
                <w:rFonts w:eastAsia="Calibri"/>
                <w:szCs w:val="20"/>
              </w:rPr>
            </w:pPr>
          </w:p>
        </w:tc>
        <w:tc>
          <w:tcPr>
            <w:tcW w:w="614" w:type="pct"/>
          </w:tcPr>
          <w:p w14:paraId="2B41E1BE" w14:textId="77777777" w:rsidR="001A08A8" w:rsidRPr="00581869" w:rsidRDefault="001A08A8" w:rsidP="00D52F33">
            <w:pPr>
              <w:jc w:val="right"/>
              <w:rPr>
                <w:rFonts w:eastAsia="Calibri"/>
                <w:szCs w:val="20"/>
              </w:rPr>
            </w:pPr>
          </w:p>
        </w:tc>
        <w:tc>
          <w:tcPr>
            <w:tcW w:w="701" w:type="pct"/>
          </w:tcPr>
          <w:p w14:paraId="197E04DA" w14:textId="77777777" w:rsidR="001A08A8" w:rsidRPr="00581869" w:rsidRDefault="001A08A8" w:rsidP="00D52F33">
            <w:pPr>
              <w:jc w:val="right"/>
              <w:rPr>
                <w:rFonts w:eastAsia="Calibri"/>
                <w:szCs w:val="20"/>
              </w:rPr>
            </w:pPr>
            <w:r w:rsidRPr="00581869">
              <w:rPr>
                <w:rFonts w:eastAsia="Calibri"/>
                <w:szCs w:val="20"/>
              </w:rPr>
              <w:t>5,280</w:t>
            </w:r>
          </w:p>
        </w:tc>
        <w:tc>
          <w:tcPr>
            <w:tcW w:w="746" w:type="pct"/>
          </w:tcPr>
          <w:p w14:paraId="128CD5F9" w14:textId="77777777" w:rsidR="001A08A8" w:rsidRPr="00581869" w:rsidRDefault="001A08A8" w:rsidP="00D52F33">
            <w:pPr>
              <w:jc w:val="right"/>
              <w:rPr>
                <w:rFonts w:eastAsia="Calibri"/>
                <w:szCs w:val="20"/>
              </w:rPr>
            </w:pPr>
            <w:r w:rsidRPr="00581869">
              <w:rPr>
                <w:rFonts w:eastAsia="Calibri"/>
                <w:szCs w:val="20"/>
              </w:rPr>
              <w:t>$441,778</w:t>
            </w:r>
          </w:p>
        </w:tc>
      </w:tr>
    </w:tbl>
    <w:p w14:paraId="3C01CBAA" w14:textId="77777777" w:rsidR="00AB3297" w:rsidRDefault="00AB3297" w:rsidP="000A3EB7">
      <w:pPr>
        <w:pStyle w:val="FERCparanumber"/>
        <w:numPr>
          <w:ilvl w:val="0"/>
          <w:numId w:val="0"/>
        </w:numPr>
      </w:pPr>
    </w:p>
    <w:p w14:paraId="14631C29" w14:textId="20C9F852" w:rsidR="001A08A8" w:rsidRPr="00581869" w:rsidRDefault="00B66993" w:rsidP="000A3EB7">
      <w:pPr>
        <w:pStyle w:val="FERCparanumber"/>
        <w:numPr>
          <w:ilvl w:val="0"/>
          <w:numId w:val="0"/>
        </w:numPr>
      </w:pPr>
      <w:r w:rsidRPr="00581869">
        <w:t>Information Collection Costs:  The Commission seeks comments on the costs to comply with these requirements.  It has projected the average annualized cost for all respondents to be the following:</w:t>
      </w:r>
    </w:p>
    <w:tbl>
      <w:tblPr>
        <w:tblStyle w:val="TableGrid"/>
        <w:tblW w:w="0" w:type="auto"/>
        <w:tblLook w:val="04A0" w:firstRow="1" w:lastRow="0" w:firstColumn="1" w:lastColumn="0" w:noHBand="0" w:noVBand="1"/>
      </w:tblPr>
      <w:tblGrid>
        <w:gridCol w:w="3192"/>
        <w:gridCol w:w="3192"/>
        <w:gridCol w:w="3192"/>
      </w:tblGrid>
      <w:tr w:rsidR="0063202E" w:rsidRPr="00581869" w14:paraId="59F47FCC" w14:textId="77777777" w:rsidTr="0063202E">
        <w:tc>
          <w:tcPr>
            <w:tcW w:w="3192" w:type="dxa"/>
          </w:tcPr>
          <w:p w14:paraId="393C1874" w14:textId="77777777" w:rsidR="0063202E" w:rsidRPr="00581869" w:rsidRDefault="0063202E" w:rsidP="000A3EB7">
            <w:pPr>
              <w:pStyle w:val="FERCparanumber"/>
              <w:numPr>
                <w:ilvl w:val="0"/>
                <w:numId w:val="0"/>
              </w:numPr>
            </w:pPr>
          </w:p>
        </w:tc>
        <w:tc>
          <w:tcPr>
            <w:tcW w:w="3192" w:type="dxa"/>
          </w:tcPr>
          <w:p w14:paraId="5182DF86" w14:textId="77777777" w:rsidR="0063202E" w:rsidRPr="00581869" w:rsidRDefault="0063202E" w:rsidP="000A3EB7">
            <w:pPr>
              <w:pStyle w:val="FERCparanumber"/>
              <w:numPr>
                <w:ilvl w:val="0"/>
                <w:numId w:val="0"/>
              </w:numPr>
            </w:pPr>
            <w:r w:rsidRPr="00581869">
              <w:t>FERC-545</w:t>
            </w:r>
          </w:p>
        </w:tc>
        <w:tc>
          <w:tcPr>
            <w:tcW w:w="3192" w:type="dxa"/>
          </w:tcPr>
          <w:p w14:paraId="24C5F92A" w14:textId="77777777" w:rsidR="0063202E" w:rsidRPr="00581869" w:rsidRDefault="0063202E" w:rsidP="000A3EB7">
            <w:pPr>
              <w:pStyle w:val="FERCparanumber"/>
              <w:numPr>
                <w:ilvl w:val="0"/>
                <w:numId w:val="0"/>
              </w:numPr>
            </w:pPr>
            <w:r w:rsidRPr="00581869">
              <w:t>FERC-549C</w:t>
            </w:r>
          </w:p>
        </w:tc>
      </w:tr>
      <w:tr w:rsidR="0063202E" w:rsidRPr="00581869" w14:paraId="0C1EE198" w14:textId="77777777" w:rsidTr="0063202E">
        <w:tc>
          <w:tcPr>
            <w:tcW w:w="3192" w:type="dxa"/>
          </w:tcPr>
          <w:p w14:paraId="13D79026" w14:textId="77777777" w:rsidR="0063202E" w:rsidRPr="00581869" w:rsidRDefault="0063202E" w:rsidP="0063202E">
            <w:pPr>
              <w:pStyle w:val="FERCparanumber"/>
              <w:numPr>
                <w:ilvl w:val="0"/>
                <w:numId w:val="0"/>
              </w:numPr>
              <w:spacing w:line="240" w:lineRule="auto"/>
            </w:pPr>
            <w:r w:rsidRPr="00581869">
              <w:t>Annualized Capital/Startup Costs</w:t>
            </w:r>
          </w:p>
        </w:tc>
        <w:tc>
          <w:tcPr>
            <w:tcW w:w="3192" w:type="dxa"/>
          </w:tcPr>
          <w:p w14:paraId="4FC1CFE1" w14:textId="3BD44F05" w:rsidR="0063202E" w:rsidRPr="00581869" w:rsidRDefault="0063202E" w:rsidP="000A3EB7">
            <w:pPr>
              <w:pStyle w:val="FERCparanumber"/>
              <w:numPr>
                <w:ilvl w:val="0"/>
                <w:numId w:val="0"/>
              </w:numPr>
            </w:pPr>
            <w:r w:rsidRPr="00581869">
              <w:t>$</w:t>
            </w:r>
            <w:r w:rsidR="00DD292C" w:rsidRPr="00581869">
              <w:t>138,056</w:t>
            </w:r>
          </w:p>
        </w:tc>
        <w:tc>
          <w:tcPr>
            <w:tcW w:w="3192" w:type="dxa"/>
          </w:tcPr>
          <w:p w14:paraId="5950CEEB" w14:textId="5AE851E6" w:rsidR="0063202E" w:rsidRPr="00581869" w:rsidRDefault="0063202E" w:rsidP="000A3EB7">
            <w:pPr>
              <w:pStyle w:val="FERCparanumber"/>
              <w:numPr>
                <w:ilvl w:val="0"/>
                <w:numId w:val="0"/>
              </w:numPr>
            </w:pPr>
            <w:r w:rsidRPr="00581869">
              <w:t>$</w:t>
            </w:r>
            <w:r w:rsidR="00DD292C" w:rsidRPr="00581869">
              <w:t>303,722</w:t>
            </w:r>
          </w:p>
        </w:tc>
      </w:tr>
      <w:tr w:rsidR="0063202E" w:rsidRPr="00581869" w14:paraId="1536B330" w14:textId="77777777" w:rsidTr="0063202E">
        <w:tc>
          <w:tcPr>
            <w:tcW w:w="3192" w:type="dxa"/>
          </w:tcPr>
          <w:p w14:paraId="17C13DFE" w14:textId="77777777" w:rsidR="0063202E" w:rsidRPr="00581869" w:rsidRDefault="0063202E" w:rsidP="0063202E">
            <w:pPr>
              <w:pStyle w:val="FERCparanumber"/>
              <w:numPr>
                <w:ilvl w:val="0"/>
                <w:numId w:val="0"/>
              </w:numPr>
              <w:spacing w:line="240" w:lineRule="auto"/>
            </w:pPr>
            <w:r w:rsidRPr="00581869">
              <w:t>Annualized Costs (Operations &amp; Maintenance)</w:t>
            </w:r>
          </w:p>
        </w:tc>
        <w:tc>
          <w:tcPr>
            <w:tcW w:w="3192" w:type="dxa"/>
          </w:tcPr>
          <w:p w14:paraId="6B73EE78" w14:textId="77777777" w:rsidR="0063202E" w:rsidRPr="00581869" w:rsidRDefault="0063202E" w:rsidP="000A3EB7">
            <w:pPr>
              <w:pStyle w:val="FERCparanumber"/>
              <w:numPr>
                <w:ilvl w:val="0"/>
                <w:numId w:val="0"/>
              </w:numPr>
            </w:pPr>
            <w:r w:rsidRPr="00581869">
              <w:t>N/A</w:t>
            </w:r>
          </w:p>
        </w:tc>
        <w:tc>
          <w:tcPr>
            <w:tcW w:w="3192" w:type="dxa"/>
          </w:tcPr>
          <w:p w14:paraId="59907072" w14:textId="77777777" w:rsidR="0063202E" w:rsidRPr="00581869" w:rsidRDefault="0063202E" w:rsidP="000A3EB7">
            <w:pPr>
              <w:pStyle w:val="FERCparanumber"/>
              <w:numPr>
                <w:ilvl w:val="0"/>
                <w:numId w:val="0"/>
              </w:numPr>
            </w:pPr>
            <w:r w:rsidRPr="00581869">
              <w:t>N/A</w:t>
            </w:r>
          </w:p>
        </w:tc>
      </w:tr>
      <w:tr w:rsidR="0063202E" w:rsidRPr="00581869" w14:paraId="6FC221DC" w14:textId="77777777" w:rsidTr="0063202E">
        <w:tc>
          <w:tcPr>
            <w:tcW w:w="3192" w:type="dxa"/>
          </w:tcPr>
          <w:p w14:paraId="6E84EFE2" w14:textId="77777777" w:rsidR="0063202E" w:rsidRPr="00581869" w:rsidRDefault="0063202E" w:rsidP="0063202E">
            <w:pPr>
              <w:pStyle w:val="FERCparanumber"/>
              <w:numPr>
                <w:ilvl w:val="0"/>
                <w:numId w:val="0"/>
              </w:numPr>
              <w:spacing w:line="240" w:lineRule="auto"/>
            </w:pPr>
            <w:r w:rsidRPr="00581869">
              <w:t>Total Annualized Costs</w:t>
            </w:r>
          </w:p>
        </w:tc>
        <w:tc>
          <w:tcPr>
            <w:tcW w:w="3192" w:type="dxa"/>
          </w:tcPr>
          <w:p w14:paraId="7CF39AD2" w14:textId="1D9AD1A7" w:rsidR="0063202E" w:rsidRPr="00581869" w:rsidRDefault="0063202E" w:rsidP="000A3EB7">
            <w:pPr>
              <w:pStyle w:val="FERCparanumber"/>
              <w:numPr>
                <w:ilvl w:val="0"/>
                <w:numId w:val="0"/>
              </w:numPr>
            </w:pPr>
            <w:r w:rsidRPr="00581869">
              <w:t>$</w:t>
            </w:r>
            <w:r w:rsidR="00DD292C" w:rsidRPr="00581869">
              <w:t>138,056</w:t>
            </w:r>
          </w:p>
        </w:tc>
        <w:tc>
          <w:tcPr>
            <w:tcW w:w="3192" w:type="dxa"/>
          </w:tcPr>
          <w:p w14:paraId="288775E2" w14:textId="5769B920" w:rsidR="0063202E" w:rsidRPr="00581869" w:rsidRDefault="0063202E" w:rsidP="000A3EB7">
            <w:pPr>
              <w:pStyle w:val="FERCparanumber"/>
              <w:numPr>
                <w:ilvl w:val="0"/>
                <w:numId w:val="0"/>
              </w:numPr>
            </w:pPr>
            <w:r w:rsidRPr="00581869">
              <w:t>$</w:t>
            </w:r>
            <w:r w:rsidR="00DD292C" w:rsidRPr="00581869">
              <w:t>303,722</w:t>
            </w:r>
          </w:p>
        </w:tc>
      </w:tr>
    </w:tbl>
    <w:p w14:paraId="1545F841" w14:textId="77777777" w:rsidR="001A08A8" w:rsidRPr="00581869" w:rsidRDefault="00B66993" w:rsidP="00DD292C">
      <w:pPr>
        <w:pStyle w:val="FERCparanumber"/>
        <w:numPr>
          <w:ilvl w:val="0"/>
          <w:numId w:val="0"/>
        </w:numPr>
      </w:pPr>
      <w:r w:rsidRPr="00581869">
        <w:t>Total Cost for all Respondents = $</w:t>
      </w:r>
      <w:r w:rsidR="00DD292C" w:rsidRPr="00581869">
        <w:t>441,778</w:t>
      </w:r>
    </w:p>
    <w:p w14:paraId="7D74C8C5" w14:textId="38519707" w:rsidR="00B66993" w:rsidRPr="00581869" w:rsidRDefault="00B66993" w:rsidP="00DD292C">
      <w:pPr>
        <w:pStyle w:val="FERCparanumber"/>
        <w:numPr>
          <w:ilvl w:val="0"/>
          <w:numId w:val="0"/>
        </w:numPr>
      </w:pPr>
      <w:r w:rsidRPr="00581869">
        <w:t>OMB regulations require OMB to approve certain information collection requirements imposed by agency rule.  The Commission is submitting notification of this proposed rule to OMB.  These information collections are mandatory requirements.</w:t>
      </w:r>
    </w:p>
    <w:p w14:paraId="044721DC" w14:textId="6913AED6" w:rsidR="00B66993" w:rsidRPr="00581869" w:rsidRDefault="00B66993" w:rsidP="0063202E">
      <w:pPr>
        <w:pStyle w:val="FERCparanumber"/>
        <w:numPr>
          <w:ilvl w:val="0"/>
          <w:numId w:val="0"/>
        </w:numPr>
        <w:ind w:firstLine="720"/>
      </w:pPr>
      <w:r w:rsidRPr="00581869">
        <w:rPr>
          <w:i/>
        </w:rPr>
        <w:t>Title</w:t>
      </w:r>
      <w:r w:rsidR="006C35E8">
        <w:t xml:space="preserve">:  </w:t>
      </w:r>
      <w:r w:rsidRPr="00581869">
        <w:t>FERC-545, Gas Pipeline Rates:  Rates Change (Non-Formal);</w:t>
      </w:r>
      <w:r w:rsidRPr="00581869">
        <w:tab/>
      </w:r>
    </w:p>
    <w:p w14:paraId="37EAA4CD" w14:textId="1B5F4B1D" w:rsidR="00B66993" w:rsidRPr="00581869" w:rsidRDefault="00B66993" w:rsidP="0063202E">
      <w:pPr>
        <w:pStyle w:val="FERCparanumber"/>
        <w:numPr>
          <w:ilvl w:val="0"/>
          <w:numId w:val="0"/>
        </w:numPr>
      </w:pPr>
      <w:r w:rsidRPr="00581869">
        <w:t>FERC-549C, Standards for Business Practices of Interstate Natural Gas Pipelines</w:t>
      </w:r>
      <w:r w:rsidR="00891AF0">
        <w:t>.</w:t>
      </w:r>
    </w:p>
    <w:p w14:paraId="3FC128EF" w14:textId="5EFBBCA6" w:rsidR="00B66993" w:rsidRPr="00581869" w:rsidRDefault="00B66993" w:rsidP="0063202E">
      <w:pPr>
        <w:pStyle w:val="FERCparanumber"/>
        <w:numPr>
          <w:ilvl w:val="0"/>
          <w:numId w:val="0"/>
        </w:numPr>
        <w:ind w:firstLine="720"/>
      </w:pPr>
      <w:r w:rsidRPr="00581869">
        <w:rPr>
          <w:i/>
        </w:rPr>
        <w:t>Action</w:t>
      </w:r>
      <w:r w:rsidRPr="00581869">
        <w:t>:  Proposed collections</w:t>
      </w:r>
    </w:p>
    <w:p w14:paraId="704C3835" w14:textId="31D16324" w:rsidR="00B66993" w:rsidRPr="00581869" w:rsidRDefault="00B66993" w:rsidP="0063202E">
      <w:pPr>
        <w:pStyle w:val="FERCparanumber"/>
        <w:numPr>
          <w:ilvl w:val="0"/>
          <w:numId w:val="0"/>
        </w:numPr>
      </w:pPr>
      <w:r w:rsidRPr="00581869">
        <w:t>OMB Control Nos.:  1902-0154, 1902-0174</w:t>
      </w:r>
      <w:r w:rsidR="00891AF0">
        <w:t>.</w:t>
      </w:r>
    </w:p>
    <w:p w14:paraId="37152BDC" w14:textId="77777777" w:rsidR="00B66993" w:rsidRPr="00581869" w:rsidRDefault="00B66993" w:rsidP="0063202E">
      <w:pPr>
        <w:pStyle w:val="FERCparanumber"/>
        <w:numPr>
          <w:ilvl w:val="0"/>
          <w:numId w:val="0"/>
        </w:numPr>
        <w:ind w:firstLine="720"/>
      </w:pPr>
      <w:r w:rsidRPr="00581869">
        <w:rPr>
          <w:i/>
        </w:rPr>
        <w:lastRenderedPageBreak/>
        <w:t>Respondents</w:t>
      </w:r>
      <w:r w:rsidRPr="00581869">
        <w:t>:  Business or other for profit, (i.e., Natural Gas Pipelines, applicable to only a few small businesses.)  Although the intraday reporting requirements will affect electric plant operators, the Commission is not imposing the reporting burden of adopting these standards on those entities.</w:t>
      </w:r>
    </w:p>
    <w:p w14:paraId="42407242" w14:textId="41F46A84" w:rsidR="00B66993" w:rsidRPr="00581869" w:rsidRDefault="00B66993" w:rsidP="0063202E">
      <w:pPr>
        <w:pStyle w:val="FERCparanumber"/>
        <w:numPr>
          <w:ilvl w:val="0"/>
          <w:numId w:val="0"/>
        </w:numPr>
        <w:ind w:firstLine="720"/>
      </w:pPr>
      <w:r w:rsidRPr="00581869">
        <w:rPr>
          <w:i/>
        </w:rPr>
        <w:t>Frequency of Responses</w:t>
      </w:r>
      <w:r w:rsidRPr="00581869">
        <w:t>:  One-time implementation (business procedures, capital/start-up)</w:t>
      </w:r>
      <w:r w:rsidR="00CE26D6" w:rsidRPr="00581869">
        <w:t>.</w:t>
      </w:r>
    </w:p>
    <w:p w14:paraId="3D6C37ED" w14:textId="0F5356DF" w:rsidR="00B66993" w:rsidRPr="00581869" w:rsidRDefault="00B66993" w:rsidP="0063202E">
      <w:pPr>
        <w:pStyle w:val="FERCparanumber"/>
        <w:numPr>
          <w:ilvl w:val="0"/>
          <w:numId w:val="0"/>
        </w:numPr>
        <w:ind w:firstLine="720"/>
      </w:pPr>
      <w:r w:rsidRPr="00581869">
        <w:rPr>
          <w:i/>
        </w:rPr>
        <w:t>Necessity of Information</w:t>
      </w:r>
      <w:r w:rsidRPr="00581869">
        <w:t xml:space="preserve">:  The proposals in this NOPR would, if implemented, upgrade the Commission’s current business practices and communication standards by specifically:  (1) </w:t>
      </w:r>
      <w:r w:rsidR="00AD0C1A" w:rsidRPr="00581869">
        <w:t>requiring the posting of information on requests to purchase releasable capacity on a pipeline’s website</w:t>
      </w:r>
      <w:r w:rsidRPr="00581869">
        <w:t>; (</w:t>
      </w:r>
      <w:r w:rsidR="00593B5D" w:rsidRPr="00581869">
        <w:t>2</w:t>
      </w:r>
      <w:r w:rsidRPr="00581869">
        <w:t xml:space="preserve">) </w:t>
      </w:r>
      <w:r w:rsidR="00AD0C1A" w:rsidRPr="00581869">
        <w:t>revising standards to support the elimination of NAESB WGQ interpretations</w:t>
      </w:r>
      <w:r w:rsidRPr="00581869">
        <w:t>; (</w:t>
      </w:r>
      <w:r w:rsidR="00593B5D" w:rsidRPr="00581869">
        <w:t>3</w:t>
      </w:r>
      <w:r w:rsidRPr="00581869">
        <w:t xml:space="preserve">) </w:t>
      </w:r>
      <w:r w:rsidR="00AD0C1A" w:rsidRPr="00581869">
        <w:t>revising standards to add new data elements</w:t>
      </w:r>
      <w:r w:rsidRPr="00581869">
        <w:t xml:space="preserve">; </w:t>
      </w:r>
      <w:r w:rsidR="00AD0C1A" w:rsidRPr="00581869">
        <w:t xml:space="preserve">and </w:t>
      </w:r>
      <w:r w:rsidR="006C35E8">
        <w:br/>
      </w:r>
      <w:r w:rsidRPr="00581869">
        <w:t>(</w:t>
      </w:r>
      <w:r w:rsidR="00593B5D" w:rsidRPr="00581869">
        <w:t>4</w:t>
      </w:r>
      <w:r w:rsidRPr="00581869">
        <w:t xml:space="preserve">) </w:t>
      </w:r>
      <w:r w:rsidR="00AD0C1A" w:rsidRPr="00581869">
        <w:t>revising standards related to the technical implementation and data sets for the NAESB WGQ Standards</w:t>
      </w:r>
      <w:r w:rsidRPr="00581869">
        <w:t>.</w:t>
      </w:r>
    </w:p>
    <w:p w14:paraId="7BAA52CA" w14:textId="77777777" w:rsidR="00B66993" w:rsidRPr="00581869" w:rsidRDefault="00B66993" w:rsidP="0063202E">
      <w:pPr>
        <w:pStyle w:val="FERCparanumber"/>
        <w:numPr>
          <w:ilvl w:val="0"/>
          <w:numId w:val="0"/>
        </w:numPr>
        <w:ind w:firstLine="720"/>
      </w:pPr>
      <w:r w:rsidRPr="00581869">
        <w:t>The implementation of these data requirements will provide additional transparency to informational posting web sites and will improve communication standards, including gas-electric communications.  The implementation of these standards and regulations will promote the additional efficiency and reliability of the gas industries’ operations thereby helping the Commission to carry out its responsibilities under the Natural Gas Act of promoting the efficiency and reliability of the gas industries' operations.  In addition, the Commission's Office of Enforcement will use the data for general industry oversight.</w:t>
      </w:r>
    </w:p>
    <w:p w14:paraId="50370B77" w14:textId="77777777" w:rsidR="00B66993" w:rsidRPr="00581869" w:rsidRDefault="00B66993" w:rsidP="0063202E">
      <w:pPr>
        <w:pStyle w:val="FERCparanumber"/>
        <w:numPr>
          <w:ilvl w:val="0"/>
          <w:numId w:val="0"/>
        </w:numPr>
        <w:ind w:firstLine="720"/>
      </w:pPr>
      <w:r w:rsidRPr="00581869">
        <w:rPr>
          <w:i/>
        </w:rPr>
        <w:lastRenderedPageBreak/>
        <w:t>Internal Review</w:t>
      </w:r>
      <w:r w:rsidRPr="00581869">
        <w:t>:  The Commission has reviewed the requirements pertaining to business practices of natural gas pipelines and made a preliminary determination that the proposed revisions are necessary to establish more efficient coordination between the gas and electric industries.  Requiring such information ensures both a common means of communication and common business practices to limit miscommunication for participants engaged in the sale of electric energy at wholesale and the transportation of natural gas.  These requirements conform to the Commission's plan for efficient information collection, communication, and management within the natural gas pipeline industries.  The Commission has assured itself, by means of its internal review, that there is specific, objective support for the burden estimates associated with the information requirements.</w:t>
      </w:r>
    </w:p>
    <w:p w14:paraId="6ABFA646" w14:textId="3257DA06" w:rsidR="00B66993" w:rsidRPr="00581869" w:rsidRDefault="00B66993" w:rsidP="00581869">
      <w:pPr>
        <w:pStyle w:val="FERCparanumber"/>
      </w:pPr>
      <w:r w:rsidRPr="00581869">
        <w:t xml:space="preserve">Interested persons may obtain information on the reporting requirements by contacting the following:  Federal Energy Regulatory Commission, 888 First Street, NE, Washington, DC 20426 [Attention:  </w:t>
      </w:r>
      <w:r w:rsidR="00CE7807">
        <w:t>Ellen Brown</w:t>
      </w:r>
      <w:r w:rsidRPr="00581869">
        <w:t xml:space="preserve">, Office of the Executive Director, </w:t>
      </w:r>
      <w:r w:rsidR="00891AF0">
        <w:br/>
      </w:r>
      <w:r w:rsidRPr="00581869">
        <w:t>e-mail:  DataClearance@ferc.gov, phone:  (202) 502-</w:t>
      </w:r>
      <w:r w:rsidR="00CE7807">
        <w:t>8663</w:t>
      </w:r>
      <w:r w:rsidRPr="00581869">
        <w:t>, fax:  (202) 273-0873].</w:t>
      </w:r>
    </w:p>
    <w:p w14:paraId="555AC7A9" w14:textId="00D353B0" w:rsidR="00EB1FC7" w:rsidRPr="00581869" w:rsidRDefault="00B66993" w:rsidP="00581869">
      <w:pPr>
        <w:pStyle w:val="FERCparanumber"/>
      </w:pPr>
      <w:r w:rsidRPr="00581869">
        <w:t>Comments concerning the collection of information(s) and the associated burden estimate(s), should be sent to the contact listed above and to the Office of Management and Budget, Office of Information and Regulatory Affairs, Washington, DC 20503 [Attention:  Desk Officer for the Federal Energy Regulatory Commission, telephone:      (202) 395-</w:t>
      </w:r>
      <w:r w:rsidR="00CE7807">
        <w:t>0710</w:t>
      </w:r>
      <w:r w:rsidRPr="00581869">
        <w:t>, fax:</w:t>
      </w:r>
      <w:r w:rsidR="00891AF0">
        <w:t xml:space="preserve"> </w:t>
      </w:r>
      <w:r w:rsidRPr="00581869">
        <w:t xml:space="preserve"> (202) 395-4718].</w:t>
      </w:r>
    </w:p>
    <w:p w14:paraId="16AA7E61" w14:textId="77777777" w:rsidR="00EB1FC7" w:rsidRPr="00581869" w:rsidRDefault="00EB1FC7" w:rsidP="003B4990">
      <w:pPr>
        <w:pStyle w:val="Heading1"/>
      </w:pPr>
      <w:r w:rsidRPr="00581869">
        <w:lastRenderedPageBreak/>
        <w:t>Environmental Analysis</w:t>
      </w:r>
      <w:bookmarkStart w:id="20" w:name="_bmk14"/>
    </w:p>
    <w:bookmarkEnd w:id="20"/>
    <w:p w14:paraId="25BF1CDE" w14:textId="77777777" w:rsidR="00EB1FC7" w:rsidRPr="00581869" w:rsidRDefault="00EB1FC7" w:rsidP="00581869">
      <w:pPr>
        <w:pStyle w:val="FERCparanumber"/>
      </w:pPr>
      <w:r w:rsidRPr="00581869">
        <w:t>The Commission is required to prepare an Environmental Assessment or an Environmental Impact Statement for any action that may have a significant adverse effect on the human environment.</w:t>
      </w:r>
      <w:r w:rsidRPr="00581869">
        <w:rPr>
          <w:rStyle w:val="FootnoteReference"/>
        </w:rPr>
        <w:footnoteReference w:id="57"/>
      </w:r>
      <w:r w:rsidR="00B66993" w:rsidRPr="00581869">
        <w:t xml:space="preserve"> </w:t>
      </w:r>
      <w:r w:rsidRPr="00581869">
        <w:t xml:space="preserve"> </w:t>
      </w:r>
      <w:r w:rsidR="00B66993" w:rsidRPr="00581869">
        <w:t>The Commission has categorically excluded certain actions</w:t>
      </w:r>
      <w:r w:rsidR="00B66993" w:rsidRPr="00581869">
        <w:rPr>
          <w:b/>
          <w:bCs/>
        </w:rPr>
        <w:t xml:space="preserve"> </w:t>
      </w:r>
      <w:r w:rsidR="00B66993" w:rsidRPr="00581869">
        <w:t>from these requirements as not having a significant effect on the human environment.</w:t>
      </w:r>
      <w:r w:rsidR="00B66993" w:rsidRPr="00581869">
        <w:rPr>
          <w:rStyle w:val="FootnoteReference"/>
        </w:rPr>
        <w:footnoteReference w:id="58"/>
      </w:r>
      <w:r w:rsidR="00B66993" w:rsidRPr="00581869">
        <w:t xml:space="preserve">  The actions proposed here fall within categorical exclusions in the Commission's regulations for rules that are clarifying, corrective, or procedural, for information gathering, analysis, and dissemination, and for sales, exchange, and transportation of natural gas that requires no construction of facilities.</w:t>
      </w:r>
      <w:r w:rsidR="00B66993" w:rsidRPr="00581869">
        <w:rPr>
          <w:rStyle w:val="FootnoteReference"/>
        </w:rPr>
        <w:footnoteReference w:id="59"/>
      </w:r>
      <w:r w:rsidR="00B66993" w:rsidRPr="00581869">
        <w:rPr>
          <w:bCs/>
        </w:rPr>
        <w:t xml:space="preserve">  </w:t>
      </w:r>
      <w:r w:rsidR="00B66993" w:rsidRPr="00581869">
        <w:t>Therefore, an environmental assessment is unnecessary and has not been prepared as part of this NOPR.</w:t>
      </w:r>
    </w:p>
    <w:p w14:paraId="2FC32B05" w14:textId="77777777" w:rsidR="00EB1FC7" w:rsidRPr="00581869" w:rsidRDefault="00EB1FC7" w:rsidP="003B4990">
      <w:pPr>
        <w:pStyle w:val="Heading1"/>
      </w:pPr>
      <w:r w:rsidRPr="00581869">
        <w:t xml:space="preserve">Regulatory Flexibility Act Analysis </w:t>
      </w:r>
      <w:r w:rsidR="00AD0C1A" w:rsidRPr="00581869">
        <w:t xml:space="preserve">and </w:t>
      </w:r>
      <w:r w:rsidRPr="00581869">
        <w:t>Certification</w:t>
      </w:r>
      <w:bookmarkStart w:id="21" w:name="_bmk15"/>
    </w:p>
    <w:bookmarkEnd w:id="21"/>
    <w:p w14:paraId="6D562565" w14:textId="2F1B8E0C" w:rsidR="00B66993" w:rsidRPr="00581869" w:rsidRDefault="00EB1FC7" w:rsidP="00581869">
      <w:pPr>
        <w:pStyle w:val="FERCparanumber"/>
      </w:pPr>
      <w:r w:rsidRPr="00581869">
        <w:t>The Regulatory Flexibility Act of 1980 (RFA)</w:t>
      </w:r>
      <w:r w:rsidRPr="00581869">
        <w:rPr>
          <w:rStyle w:val="FootnoteReference"/>
        </w:rPr>
        <w:footnoteReference w:id="60"/>
      </w:r>
      <w:r w:rsidRPr="00581869">
        <w:t xml:space="preserve"> generally requires a description and analysis of proposed rules that will have significant economic impact on a substantial number of small entities.</w:t>
      </w:r>
      <w:r w:rsidR="00B66993" w:rsidRPr="00581869">
        <w:t xml:space="preserve">  The RFA mandates consideration of regulatory alternatives that accomplish the stated objectives of a proposed rule and that minimize any significant economic impact on a substantial number of small entities.  The Small Business </w:t>
      </w:r>
      <w:r w:rsidR="00B66993" w:rsidRPr="00581869">
        <w:lastRenderedPageBreak/>
        <w:t>Administration’s (SBA) Office of Size Standards develops the numerical definition of a small business.</w:t>
      </w:r>
      <w:r w:rsidR="00B66993" w:rsidRPr="00581869">
        <w:rPr>
          <w:rStyle w:val="FootnoteReference"/>
        </w:rPr>
        <w:footnoteReference w:id="61"/>
      </w:r>
      <w:r w:rsidR="00B66993" w:rsidRPr="00581869">
        <w:t xml:space="preserve">  The SBA has established a size standard for pipelines transporting natural gas, stating that a firm is small if its annual receipts are less than $</w:t>
      </w:r>
      <w:r w:rsidR="00DD292C" w:rsidRPr="00581869">
        <w:t>25.5</w:t>
      </w:r>
      <w:r w:rsidR="00B66993" w:rsidRPr="00581869">
        <w:t xml:space="preserve"> million.</w:t>
      </w:r>
      <w:r w:rsidR="00B66993" w:rsidRPr="00581869">
        <w:rPr>
          <w:rStyle w:val="FootnoteReference"/>
        </w:rPr>
        <w:footnoteReference w:id="62"/>
      </w:r>
    </w:p>
    <w:p w14:paraId="1CE597F1" w14:textId="612771D9" w:rsidR="00B66993" w:rsidRPr="00581869" w:rsidRDefault="00B66993" w:rsidP="00581869">
      <w:pPr>
        <w:pStyle w:val="FERCparanumber"/>
      </w:pPr>
      <w:r w:rsidRPr="00581869">
        <w:t>The regulations proposed here impose requirements only on interstate pipelines, the majority of which are not small businesses.  Most companies regulated by the Commission do not fall within the RFA’s definition of a small entity.  Approximately 16</w:t>
      </w:r>
      <w:r w:rsidR="00DD292C" w:rsidRPr="00581869">
        <w:t>5</w:t>
      </w:r>
      <w:r w:rsidRPr="00581869">
        <w:t xml:space="preserve"> entities </w:t>
      </w:r>
      <w:r w:rsidR="00DD292C" w:rsidRPr="00581869">
        <w:t>are</w:t>
      </w:r>
      <w:r w:rsidRPr="00581869">
        <w:t xml:space="preserve"> potential respondents subject to data collection FERC-545 reporting requirements and also </w:t>
      </w:r>
      <w:r w:rsidR="00DD292C" w:rsidRPr="00581869">
        <w:t xml:space="preserve">are </w:t>
      </w:r>
      <w:r w:rsidRPr="00581869">
        <w:t>subject to data collection FERC 549-C reporting requirements.  Nearly all of these entities are large entities.  For the year 201</w:t>
      </w:r>
      <w:r w:rsidR="00DD292C" w:rsidRPr="00581869">
        <w:t>2</w:t>
      </w:r>
      <w:r w:rsidRPr="00581869">
        <w:t xml:space="preserve"> (the most recent year for which information is available), only e</w:t>
      </w:r>
      <w:r w:rsidR="00DD292C" w:rsidRPr="00581869">
        <w:t>le</w:t>
      </w:r>
      <w:r w:rsidRPr="00581869">
        <w:t>ven companies not affiliated with larger companies had annual revenues of less than $</w:t>
      </w:r>
      <w:r w:rsidR="00DD292C" w:rsidRPr="00581869">
        <w:t>25.5</w:t>
      </w:r>
      <w:r w:rsidRPr="00581869">
        <w:t xml:space="preserve"> million</w:t>
      </w:r>
      <w:r w:rsidR="00DD292C" w:rsidRPr="00581869">
        <w:t xml:space="preserve"> and are defined by the SBA as “small entities.”  These companies constitute</w:t>
      </w:r>
      <w:r w:rsidRPr="00581869">
        <w:t xml:space="preserve"> about </w:t>
      </w:r>
      <w:r w:rsidR="00DD292C" w:rsidRPr="00581869">
        <w:t xml:space="preserve">seven </w:t>
      </w:r>
      <w:r w:rsidRPr="00581869">
        <w:t xml:space="preserve">percent of the total universe of potential respondents.  The Commission estimates that the one-time implementation cost of </w:t>
      </w:r>
      <w:r w:rsidR="009F0857" w:rsidRPr="00581869">
        <w:t>the proposals in this NOPR</w:t>
      </w:r>
      <w:r w:rsidRPr="00581869">
        <w:t xml:space="preserve"> is $</w:t>
      </w:r>
      <w:r w:rsidR="009F0857" w:rsidRPr="00581869">
        <w:t>441,778</w:t>
      </w:r>
      <w:r w:rsidRPr="00581869">
        <w:t xml:space="preserve"> </w:t>
      </w:r>
      <w:r w:rsidR="009F0857" w:rsidRPr="00581869">
        <w:t>(</w:t>
      </w:r>
      <w:r w:rsidRPr="00581869">
        <w:t>or $</w:t>
      </w:r>
      <w:r w:rsidR="009F0857" w:rsidRPr="00581869">
        <w:t>2</w:t>
      </w:r>
      <w:r w:rsidRPr="00581869">
        <w:t>,</w:t>
      </w:r>
      <w:r w:rsidR="009F0857" w:rsidRPr="00581869">
        <w:t>677</w:t>
      </w:r>
      <w:r w:rsidRPr="00581869">
        <w:t xml:space="preserve"> per </w:t>
      </w:r>
      <w:r w:rsidR="009F0857" w:rsidRPr="00581869">
        <w:t>entity, regardless of entity size)</w:t>
      </w:r>
      <w:r w:rsidRPr="00581869">
        <w:t>.</w:t>
      </w:r>
      <w:r w:rsidRPr="00581869">
        <w:rPr>
          <w:rStyle w:val="FootnoteReference"/>
        </w:rPr>
        <w:footnoteReference w:id="63"/>
      </w:r>
      <w:r w:rsidRPr="00581869">
        <w:t xml:space="preserve">  The Commission does not consider the estimated $</w:t>
      </w:r>
      <w:r w:rsidR="009F0857" w:rsidRPr="00581869">
        <w:t>2</w:t>
      </w:r>
      <w:r w:rsidRPr="00581869">
        <w:t>,</w:t>
      </w:r>
      <w:r w:rsidR="009F0857" w:rsidRPr="00581869">
        <w:t>677</w:t>
      </w:r>
      <w:r w:rsidRPr="00581869">
        <w:t xml:space="preserve"> impact per entity to be significant. </w:t>
      </w:r>
      <w:r w:rsidR="009F0857" w:rsidRPr="00581869">
        <w:t xml:space="preserve"> Moreover, these requirements are designed to benefit all customers, including small businesses that must comply with them.  Further, a</w:t>
      </w:r>
      <w:r w:rsidRPr="00581869">
        <w:t xml:space="preserve">s noted above, </w:t>
      </w:r>
      <w:r w:rsidRPr="00581869">
        <w:lastRenderedPageBreak/>
        <w:t>adoption of consensus standards helps ensure the reasonableness of the standards by requiring that the standards draw support from a broad spectrum of industry participants representing all segments of the industry.  Because of that representation and the fact that industry conducts business under these standards, the Commission’s regulations should reflect those standards that have the widest possible support.</w:t>
      </w:r>
    </w:p>
    <w:p w14:paraId="2F02C2F5" w14:textId="3B600DCF" w:rsidR="00EB1FC7" w:rsidRPr="00581869" w:rsidRDefault="00B66993" w:rsidP="00581869">
      <w:pPr>
        <w:pStyle w:val="FERCparanumber"/>
      </w:pPr>
      <w:r w:rsidRPr="00581869">
        <w:t>Accordingly, pursuant to § 605(b) of the RFA,</w:t>
      </w:r>
      <w:r w:rsidR="009F0857" w:rsidRPr="00581869">
        <w:rPr>
          <w:rStyle w:val="FootnoteReference"/>
        </w:rPr>
        <w:footnoteReference w:id="64"/>
      </w:r>
      <w:r w:rsidRPr="00581869">
        <w:t xml:space="preserve"> the regulations proposed herein should not have a significant economic impact on a substantial number of small entities.</w:t>
      </w:r>
    </w:p>
    <w:p w14:paraId="17FDF2A5" w14:textId="77777777" w:rsidR="00EB1FC7" w:rsidRPr="00581869" w:rsidRDefault="00EB1FC7" w:rsidP="003B4990">
      <w:pPr>
        <w:pStyle w:val="Heading1"/>
      </w:pPr>
      <w:r w:rsidRPr="00581869">
        <w:t>Comment Procedures</w:t>
      </w:r>
      <w:bookmarkStart w:id="22" w:name="_bmk16"/>
    </w:p>
    <w:bookmarkEnd w:id="22"/>
    <w:p w14:paraId="04525BEB" w14:textId="15673EEE" w:rsidR="00EB1FC7" w:rsidRPr="00581869" w:rsidRDefault="00EB1FC7" w:rsidP="00581869">
      <w:pPr>
        <w:pStyle w:val="FERCparanumber"/>
      </w:pPr>
      <w:r w:rsidRPr="00581869">
        <w:t>The Commission invites interested persons to submit comments on the matters and issues proposed in this notice to be adopted, including any related matters or alternative proposals that commenters may wish to discuss.  Comments are due [</w:t>
      </w:r>
      <w:r w:rsidRPr="00581869">
        <w:rPr>
          <w:b/>
        </w:rPr>
        <w:t xml:space="preserve">INSERT DATE </w:t>
      </w:r>
      <w:r w:rsidR="000D348F" w:rsidRPr="00581869">
        <w:rPr>
          <w:b/>
        </w:rPr>
        <w:t xml:space="preserve">thirty days </w:t>
      </w:r>
      <w:r w:rsidRPr="00581869">
        <w:rPr>
          <w:b/>
        </w:rPr>
        <w:t>after publication in the FEDERAL REGISTER</w:t>
      </w:r>
      <w:r w:rsidRPr="00581869">
        <w:t xml:space="preserve">].  Comments must refer to Docket No. </w:t>
      </w:r>
      <w:r w:rsidR="00B66993" w:rsidRPr="00581869">
        <w:t>RM96-1-038</w:t>
      </w:r>
      <w:r w:rsidRPr="00581869">
        <w:t>, and must include the commenter's name, the organization they represent, if applicable, and their address in their comments.</w:t>
      </w:r>
    </w:p>
    <w:p w14:paraId="669CEDC8" w14:textId="77777777" w:rsidR="00EB1FC7" w:rsidRPr="00581869" w:rsidRDefault="00EB1FC7" w:rsidP="00581869">
      <w:pPr>
        <w:pStyle w:val="FERCparanumber"/>
      </w:pPr>
      <w:r w:rsidRPr="00581869">
        <w:t xml:space="preserve">The Commission encourages comments to be filed electronically via the eFiling link on the Commission's web site at </w:t>
      </w:r>
      <w:hyperlink r:id="rId19" w:history="1">
        <w:r w:rsidRPr="00891AF0">
          <w:rPr>
            <w:rStyle w:val="Hyperlink"/>
            <w:u w:val="none"/>
          </w:rPr>
          <w:t>http://www.ferc.gov</w:t>
        </w:r>
      </w:hyperlink>
      <w:r w:rsidRPr="00581869">
        <w:t xml:space="preserve">.  The Commission accepts most standard word processing formats.  Documents created electronically using word processing software should be filed in native applications or print-to-PDF format and not </w:t>
      </w:r>
      <w:r w:rsidRPr="00581869">
        <w:lastRenderedPageBreak/>
        <w:t>in a scanned format.  Commenters filing electronically do not need to make a paper filing.</w:t>
      </w:r>
    </w:p>
    <w:p w14:paraId="2D5B0054" w14:textId="2DF63E55" w:rsidR="00EB1FC7" w:rsidRPr="00581869" w:rsidRDefault="00EB1FC7" w:rsidP="00581869">
      <w:pPr>
        <w:pStyle w:val="FERCparanumber"/>
      </w:pPr>
      <w:r w:rsidRPr="00581869">
        <w:t>Commenters that are not able to file comments electronically must send an original of their comments to:</w:t>
      </w:r>
      <w:r w:rsidR="000D348F" w:rsidRPr="00581869">
        <w:t xml:space="preserve"> </w:t>
      </w:r>
      <w:r w:rsidRPr="00581869">
        <w:t xml:space="preserve"> Federal Energy Regulatory Commission, Secretary of the</w:t>
      </w:r>
      <w:r w:rsidR="00942DB5">
        <w:t xml:space="preserve"> Commission, 888 First Street</w:t>
      </w:r>
      <w:r w:rsidR="00660579">
        <w:t>,</w:t>
      </w:r>
      <w:r w:rsidR="00942DB5">
        <w:t xml:space="preserve"> N</w:t>
      </w:r>
      <w:r w:rsidRPr="00581869">
        <w:t>E, Washington, DC 20426.</w:t>
      </w:r>
    </w:p>
    <w:p w14:paraId="172854DC" w14:textId="77777777" w:rsidR="00EB1FC7" w:rsidRPr="00581869" w:rsidRDefault="00EB1FC7" w:rsidP="00581869">
      <w:pPr>
        <w:pStyle w:val="FERCparanumber"/>
      </w:pPr>
      <w:r w:rsidRPr="00581869">
        <w:t>All comments will be placed in the Commission's public files and may be viewed, printed, or downloaded remotely as described in the Document Availability section below.  Commenters on this proposal are not required to serve copies of their comments on other commenters.</w:t>
      </w:r>
    </w:p>
    <w:p w14:paraId="014C3432" w14:textId="77777777" w:rsidR="00EB1FC7" w:rsidRPr="00581869" w:rsidRDefault="00EB1FC7" w:rsidP="003B4990">
      <w:pPr>
        <w:pStyle w:val="Heading1"/>
      </w:pPr>
      <w:r w:rsidRPr="00581869">
        <w:t>Document Availability</w:t>
      </w:r>
      <w:bookmarkStart w:id="23" w:name="_bmk17"/>
    </w:p>
    <w:bookmarkEnd w:id="23"/>
    <w:p w14:paraId="637B2573" w14:textId="6E45EA46" w:rsidR="00EB1FC7" w:rsidRPr="00581869" w:rsidRDefault="00EB1FC7" w:rsidP="00581869">
      <w:pPr>
        <w:pStyle w:val="FERCparanumber"/>
      </w:pPr>
      <w:r w:rsidRPr="00581869">
        <w:t>In addition to publishing the full text of this document in the Federal Register, the Commission provides all interested persons an opportunity to view and/or print the contents of this document via the Internet through the Commission's Home Page (</w:t>
      </w:r>
      <w:hyperlink r:id="rId20" w:history="1">
        <w:r w:rsidRPr="00891AF0">
          <w:rPr>
            <w:rStyle w:val="Hyperlink"/>
            <w:u w:val="none"/>
          </w:rPr>
          <w:t>http://www.ferc.gov</w:t>
        </w:r>
      </w:hyperlink>
      <w:r w:rsidRPr="00581869">
        <w:t>) and in the Commission's Public Reference Room during normal business hours (8:30 a.m. to 5:00 p.m. Eastern time) at 888 First Street, NE</w:t>
      </w:r>
      <w:r w:rsidR="00891AF0">
        <w:t>, Room 2A, Washington</w:t>
      </w:r>
      <w:r w:rsidR="00942DB5">
        <w:t>,</w:t>
      </w:r>
      <w:r w:rsidR="00891AF0">
        <w:t xml:space="preserve"> D</w:t>
      </w:r>
      <w:r w:rsidRPr="00581869">
        <w:t>C 20426.</w:t>
      </w:r>
    </w:p>
    <w:p w14:paraId="06588AF8" w14:textId="28B62213" w:rsidR="00EB1FC7" w:rsidRPr="00581869" w:rsidRDefault="00EB1FC7" w:rsidP="00581869">
      <w:pPr>
        <w:pStyle w:val="FERCparanumber"/>
      </w:pPr>
      <w:r w:rsidRPr="00581869">
        <w:t xml:space="preserve">From the Commission's Home Page on the Internet, this information is available on eLibrary.  The full text of this document is available on eLibrary in PDF and Microsoft Word format for viewing, printing, and/or downloading. </w:t>
      </w:r>
      <w:r w:rsidR="00942DB5">
        <w:t xml:space="preserve"> </w:t>
      </w:r>
      <w:r w:rsidRPr="00581869">
        <w:t>To access this document in eLibrary, type the docket number excluding the last three digits of this document in the docket number field.</w:t>
      </w:r>
    </w:p>
    <w:p w14:paraId="0DD7F109" w14:textId="7073225D" w:rsidR="00942DB5" w:rsidRDefault="00EB1FC7" w:rsidP="00581869">
      <w:pPr>
        <w:pStyle w:val="FERCparanumber"/>
      </w:pPr>
      <w:r w:rsidRPr="00581869">
        <w:lastRenderedPageBreak/>
        <w:t xml:space="preserve">User assistance is available for eLibrary and the Commission’s website during normal business hours from the Commission’s Online Support at </w:t>
      </w:r>
      <w:r w:rsidR="00942DB5">
        <w:t>(</w:t>
      </w:r>
      <w:r w:rsidRPr="00581869">
        <w:t>202</w:t>
      </w:r>
      <w:r w:rsidR="00942DB5">
        <w:t xml:space="preserve">) </w:t>
      </w:r>
      <w:r w:rsidRPr="00581869">
        <w:t xml:space="preserve">502-6652 (toll free at 1-866-208-3676) or email at </w:t>
      </w:r>
      <w:hyperlink r:id="rId21" w:history="1">
        <w:r w:rsidRPr="00942DB5">
          <w:rPr>
            <w:rStyle w:val="Hyperlink"/>
            <w:u w:val="none"/>
          </w:rPr>
          <w:t>ferconlinesupport@ferc.gov</w:t>
        </w:r>
      </w:hyperlink>
      <w:r w:rsidRPr="00581869">
        <w:t>, or the Public Reference Room at (202) 502-8371, TTY (202)</w:t>
      </w:r>
      <w:r w:rsidR="00891AF0">
        <w:t xml:space="preserve"> </w:t>
      </w:r>
      <w:r w:rsidRPr="00581869">
        <w:t xml:space="preserve">502-8659.  E-mail the Public Reference Room at </w:t>
      </w:r>
      <w:hyperlink r:id="rId22" w:history="1">
        <w:r w:rsidRPr="00942DB5">
          <w:rPr>
            <w:rStyle w:val="Hyperlink"/>
            <w:u w:val="none"/>
          </w:rPr>
          <w:t>public.referenceroom@ferc.gov</w:t>
        </w:r>
      </w:hyperlink>
      <w:r w:rsidRPr="00581869">
        <w:t>.</w:t>
      </w:r>
    </w:p>
    <w:p w14:paraId="0BFA2CEB" w14:textId="77777777" w:rsidR="00942DB5" w:rsidRDefault="00942DB5">
      <w:pPr>
        <w:widowControl/>
        <w:autoSpaceDE/>
        <w:autoSpaceDN/>
        <w:adjustRightInd/>
      </w:pPr>
      <w:r>
        <w:br w:type="page"/>
      </w:r>
    </w:p>
    <w:p w14:paraId="3046AECD" w14:textId="77777777" w:rsidR="00EB1FC7" w:rsidRPr="00581869" w:rsidRDefault="00EB1FC7" w:rsidP="00B231AF">
      <w:pPr>
        <w:spacing w:after="240"/>
      </w:pPr>
      <w:r w:rsidRPr="00581869">
        <w:rPr>
          <w:u w:val="single"/>
        </w:rPr>
        <w:lastRenderedPageBreak/>
        <w:t>List of subjects in 18 CFR Part</w:t>
      </w:r>
      <w:r w:rsidR="004877BB" w:rsidRPr="00581869">
        <w:rPr>
          <w:u w:val="single"/>
        </w:rPr>
        <w:t>s</w:t>
      </w:r>
      <w:r w:rsidRPr="00581869">
        <w:rPr>
          <w:u w:val="single"/>
        </w:rPr>
        <w:t xml:space="preserve"> </w:t>
      </w:r>
      <w:r w:rsidR="004877BB" w:rsidRPr="00581869">
        <w:rPr>
          <w:u w:val="single"/>
        </w:rPr>
        <w:t xml:space="preserve">157, 260, and </w:t>
      </w:r>
      <w:r w:rsidR="00B66993" w:rsidRPr="00581869">
        <w:rPr>
          <w:u w:val="single"/>
        </w:rPr>
        <w:t>284</w:t>
      </w:r>
    </w:p>
    <w:p w14:paraId="22ACC1B8" w14:textId="77777777" w:rsidR="00B66993" w:rsidRPr="00581869" w:rsidRDefault="00B66993" w:rsidP="00B66993">
      <w:r w:rsidRPr="00581869">
        <w:t>Incorporation by reference, Natural gas, Reporting and record keeping requirements.</w:t>
      </w:r>
    </w:p>
    <w:p w14:paraId="5890821D" w14:textId="77777777" w:rsidR="00EB1FC7" w:rsidRPr="00581869" w:rsidRDefault="00EB1FC7" w:rsidP="00F4490B"/>
    <w:p w14:paraId="3ADC7D4F" w14:textId="77777777" w:rsidR="00EB1FC7" w:rsidRPr="00581869" w:rsidRDefault="00EB1FC7" w:rsidP="00F4490B">
      <w:r w:rsidRPr="00581869">
        <w:t>By direction of the Commission.</w:t>
      </w:r>
    </w:p>
    <w:p w14:paraId="37C01352" w14:textId="77777777" w:rsidR="00EB1FC7" w:rsidRPr="00581869" w:rsidRDefault="00EB1FC7" w:rsidP="00F4490B"/>
    <w:p w14:paraId="5EB1FF8A" w14:textId="39A9F22D" w:rsidR="00B231AF" w:rsidRDefault="00891AF0" w:rsidP="00891AF0">
      <w:pPr>
        <w:widowControl/>
      </w:pPr>
      <w:r w:rsidRPr="00891AF0">
        <w:t>( S E A L )</w:t>
      </w:r>
    </w:p>
    <w:p w14:paraId="47BC8C60" w14:textId="27622B86" w:rsidR="00891AF0" w:rsidRDefault="00891AF0" w:rsidP="00891AF0">
      <w:pPr>
        <w:widowControl/>
      </w:pPr>
    </w:p>
    <w:p w14:paraId="7C2C75B0" w14:textId="50ABE21D" w:rsidR="00891AF0" w:rsidRDefault="00891AF0" w:rsidP="00891AF0">
      <w:pPr>
        <w:widowControl/>
      </w:pPr>
    </w:p>
    <w:p w14:paraId="6D0E5211" w14:textId="596F46B8" w:rsidR="00891AF0" w:rsidRDefault="00891AF0" w:rsidP="00891AF0">
      <w:pPr>
        <w:widowControl/>
      </w:pPr>
    </w:p>
    <w:p w14:paraId="1CF8D3F1" w14:textId="0E556771" w:rsidR="00891AF0" w:rsidRPr="00891AF0" w:rsidRDefault="00891AF0" w:rsidP="00891AF0">
      <w:pPr>
        <w:widowControl/>
        <w:ind w:firstLine="2606"/>
        <w:jc w:val="center"/>
      </w:pPr>
      <w:r w:rsidRPr="00891AF0">
        <w:t>Nathaniel J. Davis, Sr.,</w:t>
      </w:r>
    </w:p>
    <w:p w14:paraId="1D7B391E" w14:textId="7D6E056E" w:rsidR="00891AF0" w:rsidRPr="00891AF0" w:rsidRDefault="00891AF0" w:rsidP="00891AF0">
      <w:pPr>
        <w:widowControl/>
        <w:ind w:firstLine="2606"/>
        <w:jc w:val="center"/>
      </w:pPr>
      <w:r w:rsidRPr="00891AF0">
        <w:t>Deputy Secretary.</w:t>
      </w:r>
    </w:p>
    <w:p w14:paraId="284F895C" w14:textId="77777777" w:rsidR="00891AF0" w:rsidRDefault="00891AF0" w:rsidP="00891AF0">
      <w:pPr>
        <w:widowControl/>
      </w:pPr>
    </w:p>
    <w:p w14:paraId="473BAACC" w14:textId="1799F2D7" w:rsidR="00942DB5" w:rsidRDefault="00942DB5">
      <w:pPr>
        <w:widowControl/>
        <w:autoSpaceDE/>
        <w:autoSpaceDN/>
        <w:adjustRightInd/>
      </w:pPr>
      <w:r>
        <w:br w:type="page"/>
      </w:r>
    </w:p>
    <w:p w14:paraId="2E89DAD0" w14:textId="77777777" w:rsidR="00EB1FC7" w:rsidRPr="00581869" w:rsidRDefault="00EB1FC7" w:rsidP="008C1FDB">
      <w:pPr>
        <w:spacing w:line="480" w:lineRule="auto"/>
      </w:pPr>
      <w:r w:rsidRPr="00581869">
        <w:lastRenderedPageBreak/>
        <w:t>In consideration of the foregoing, the Commission proposes to amend Part</w:t>
      </w:r>
      <w:r w:rsidR="008C1FDB" w:rsidRPr="00581869">
        <w:t>s 157, 260, and</w:t>
      </w:r>
      <w:r w:rsidRPr="00581869">
        <w:t xml:space="preserve"> </w:t>
      </w:r>
      <w:r w:rsidR="00B66993" w:rsidRPr="00581869">
        <w:t>284</w:t>
      </w:r>
      <w:r w:rsidRPr="00581869">
        <w:t xml:space="preserve">, Chapter I, Title 18, </w:t>
      </w:r>
      <w:r w:rsidRPr="00581869">
        <w:rPr>
          <w:u w:val="single"/>
        </w:rPr>
        <w:t>Code of Federal Regulations</w:t>
      </w:r>
      <w:r w:rsidRPr="00581869">
        <w:t>, as follows.</w:t>
      </w:r>
    </w:p>
    <w:p w14:paraId="799C2078" w14:textId="77777777" w:rsidR="00EB1FC7" w:rsidRPr="00581869" w:rsidRDefault="00AD0C1A" w:rsidP="00F4490B">
      <w:r w:rsidRPr="00581869">
        <w:t>PART</w:t>
      </w:r>
      <w:r w:rsidR="008C1FDB" w:rsidRPr="00581869">
        <w:t xml:space="preserve"> 157 – APPLICATIONS FOR CERTIFICATES OF PUBLIC CONVENIENCE AND NECESSITY AND FOR ORDERS PERMITTING AND APPROVING ABANDONMENT UNDER SECTION 7 OF THE NATURAL GAS ACT</w:t>
      </w:r>
    </w:p>
    <w:p w14:paraId="7596A3A9" w14:textId="77777777" w:rsidR="008C1FDB" w:rsidRPr="00581869" w:rsidRDefault="008C1FDB" w:rsidP="00F4490B"/>
    <w:p w14:paraId="2F118534" w14:textId="77777777" w:rsidR="008C1FDB" w:rsidRPr="00581869" w:rsidRDefault="008C1FDB" w:rsidP="008C1FDB">
      <w:r w:rsidRPr="00581869">
        <w:t>1.</w:t>
      </w:r>
      <w:r w:rsidRPr="00581869">
        <w:tab/>
        <w:t xml:space="preserve">The </w:t>
      </w:r>
      <w:r w:rsidRPr="00581869">
        <w:rPr>
          <w:bCs/>
        </w:rPr>
        <w:t>authority</w:t>
      </w:r>
      <w:r w:rsidRPr="00581869">
        <w:t xml:space="preserve"> citation for part 157 continues to read as follows:</w:t>
      </w:r>
    </w:p>
    <w:p w14:paraId="4E2FEAA4" w14:textId="77777777" w:rsidR="008C1FDB" w:rsidRPr="00581869" w:rsidRDefault="008C1FDB" w:rsidP="008C1FDB">
      <w:pPr>
        <w:rPr>
          <w:bCs/>
        </w:rPr>
      </w:pPr>
    </w:p>
    <w:p w14:paraId="1F496BBF" w14:textId="620230C2" w:rsidR="008C1FDB" w:rsidRPr="00581869" w:rsidRDefault="008C1FDB" w:rsidP="008C1FDB">
      <w:pPr>
        <w:rPr>
          <w:bCs/>
        </w:rPr>
      </w:pPr>
      <w:r w:rsidRPr="00942DB5">
        <w:rPr>
          <w:b/>
          <w:bCs/>
          <w:u w:val="single"/>
        </w:rPr>
        <w:t>Authority</w:t>
      </w:r>
      <w:r w:rsidRPr="00581869">
        <w:rPr>
          <w:bCs/>
        </w:rPr>
        <w:t xml:space="preserve">: </w:t>
      </w:r>
      <w:r w:rsidR="00942DB5">
        <w:rPr>
          <w:bCs/>
        </w:rPr>
        <w:t xml:space="preserve"> </w:t>
      </w:r>
      <w:r w:rsidRPr="00581869">
        <w:rPr>
          <w:bCs/>
        </w:rPr>
        <w:t>15 U.S.C. 717-717Z.</w:t>
      </w:r>
    </w:p>
    <w:p w14:paraId="5EB753E1" w14:textId="77777777" w:rsidR="008C1FDB" w:rsidRPr="00581869" w:rsidRDefault="008C1FDB" w:rsidP="008C1FDB">
      <w:pPr>
        <w:rPr>
          <w:bCs/>
        </w:rPr>
      </w:pPr>
    </w:p>
    <w:p w14:paraId="3A19C23E" w14:textId="77777777" w:rsidR="008C1FDB" w:rsidRPr="00581869" w:rsidRDefault="008C1FDB" w:rsidP="008C1FDB">
      <w:pPr>
        <w:rPr>
          <w:bCs/>
        </w:rPr>
      </w:pPr>
      <w:r w:rsidRPr="00581869">
        <w:rPr>
          <w:bCs/>
        </w:rPr>
        <w:t xml:space="preserve">2. </w:t>
      </w:r>
      <w:r w:rsidRPr="00581869">
        <w:rPr>
          <w:bCs/>
        </w:rPr>
        <w:tab/>
        <w:t>Section 157.14 is amended by revising paragraph (a) to read as follows:</w:t>
      </w:r>
    </w:p>
    <w:p w14:paraId="093DA6C2" w14:textId="77777777" w:rsidR="008C1FDB" w:rsidRPr="00581869" w:rsidRDefault="008C1FDB" w:rsidP="00F4490B"/>
    <w:p w14:paraId="1D3318FA" w14:textId="77777777" w:rsidR="008C1FDB" w:rsidRPr="00581869" w:rsidRDefault="00700279" w:rsidP="00FF104D">
      <w:pPr>
        <w:spacing w:line="480" w:lineRule="auto"/>
      </w:pPr>
      <w:r w:rsidRPr="00581869">
        <w:t xml:space="preserve"> (a) </w:t>
      </w:r>
      <w:r w:rsidRPr="00581869">
        <w:rPr>
          <w:i/>
          <w:iCs/>
        </w:rPr>
        <w:t>To be attached to each application.</w:t>
      </w:r>
      <w:r w:rsidRPr="00581869">
        <w:rPr>
          <w:iCs/>
        </w:rPr>
        <w:t xml:space="preserve">  </w:t>
      </w:r>
      <w:r w:rsidRPr="00581869">
        <w:t>All exhibits specified must accompany</w:t>
      </w:r>
      <w:r w:rsidR="006C3B8E" w:rsidRPr="00581869">
        <w:t xml:space="preserve"> </w:t>
      </w:r>
      <w:r w:rsidRPr="00581869">
        <w:t>each</w:t>
      </w:r>
      <w:r w:rsidR="006C3B8E" w:rsidRPr="00581869">
        <w:t xml:space="preserve"> </w:t>
      </w:r>
      <w:r w:rsidRPr="00581869">
        <w:t>application when tendered for filing.  Together with each exhibit applicant</w:t>
      </w:r>
      <w:r w:rsidR="006C3B8E" w:rsidRPr="00581869">
        <w:t xml:space="preserve"> </w:t>
      </w:r>
      <w:r w:rsidRPr="00581869">
        <w:t>must provide a</w:t>
      </w:r>
      <w:r w:rsidR="006C3B8E" w:rsidRPr="00581869">
        <w:t xml:space="preserve"> </w:t>
      </w:r>
      <w:r w:rsidRPr="00581869">
        <w:t>full and complete explanation of the data submitted, the</w:t>
      </w:r>
      <w:r w:rsidR="006C3B8E" w:rsidRPr="00581869">
        <w:t xml:space="preserve"> </w:t>
      </w:r>
      <w:r w:rsidRPr="00581869">
        <w:t>manner in which it was obtained,</w:t>
      </w:r>
      <w:r w:rsidR="006C3B8E" w:rsidRPr="00581869">
        <w:t xml:space="preserve"> </w:t>
      </w:r>
      <w:r w:rsidRPr="00581869">
        <w:t>and the reasons for the conclusions derived</w:t>
      </w:r>
      <w:r w:rsidR="006C3B8E" w:rsidRPr="00581869">
        <w:t xml:space="preserve"> </w:t>
      </w:r>
      <w:r w:rsidRPr="00581869">
        <w:t>from the exhibits.</w:t>
      </w:r>
      <w:r w:rsidR="00AD0C1A" w:rsidRPr="00581869">
        <w:t xml:space="preserve"> </w:t>
      </w:r>
      <w:r w:rsidRPr="00581869">
        <w:t xml:space="preserve"> If the Commission </w:t>
      </w:r>
      <w:r w:rsidR="006C3B8E" w:rsidRPr="00581869">
        <w:t>d</w:t>
      </w:r>
      <w:r w:rsidRPr="00581869">
        <w:t>etermines that a formal hearing upon</w:t>
      </w:r>
      <w:r w:rsidR="006C3B8E" w:rsidRPr="00581869">
        <w:t xml:space="preserve"> </w:t>
      </w:r>
      <w:r w:rsidRPr="00581869">
        <w:t>the application is required or that testimony and hearing exhibits should be</w:t>
      </w:r>
      <w:r w:rsidR="006C3B8E" w:rsidRPr="00581869">
        <w:t xml:space="preserve"> </w:t>
      </w:r>
      <w:r w:rsidRPr="00581869">
        <w:t>filed, the Secretary will promptly notify the applicant that submittal of all</w:t>
      </w:r>
      <w:r w:rsidR="006C3B8E" w:rsidRPr="00581869">
        <w:t xml:space="preserve"> </w:t>
      </w:r>
      <w:r w:rsidRPr="00581869">
        <w:t>exhibits and testimony of all witnesses to be sponsored by the applicant in</w:t>
      </w:r>
      <w:r w:rsidR="00FF104D" w:rsidRPr="00581869">
        <w:t xml:space="preserve"> </w:t>
      </w:r>
      <w:r w:rsidRPr="00581869">
        <w:t>support of his case-in-chief is required.</w:t>
      </w:r>
      <w:r w:rsidR="00FF104D" w:rsidRPr="00581869">
        <w:t xml:space="preserve"> </w:t>
      </w:r>
      <w:r w:rsidRPr="00581869">
        <w:t xml:space="preserve"> Submittal of these exhibits and testimony</w:t>
      </w:r>
      <w:r w:rsidR="006C3B8E" w:rsidRPr="00581869">
        <w:t xml:space="preserve"> </w:t>
      </w:r>
      <w:r w:rsidRPr="00581869">
        <w:t>must be within 20 days from the date of the Secretary’s notice, or any other time as the Secretary will specify.</w:t>
      </w:r>
      <w:r w:rsidR="00FF104D" w:rsidRPr="00581869">
        <w:t xml:space="preserve"> </w:t>
      </w:r>
      <w:r w:rsidRPr="00581869">
        <w:t xml:space="preserve"> Exhibits, except exhibits F, F– 1, G, G–I, G–II, and H(iv), must be </w:t>
      </w:r>
      <w:r w:rsidR="006C3B8E" w:rsidRPr="00581869">
        <w:t>s</w:t>
      </w:r>
      <w:r w:rsidRPr="00581869">
        <w:t xml:space="preserve">ubmitted to the Commission on electronic media as prescribed in § 385.2011 of this chapter. </w:t>
      </w:r>
      <w:r w:rsidR="006C3B8E" w:rsidRPr="00581869">
        <w:t xml:space="preserve"> Receipt and delivery point information required in various exhibits must be labeled with a location point name in accordance with the name adopted in § 284.12 of this chapter.</w:t>
      </w:r>
    </w:p>
    <w:p w14:paraId="4C51E0A6" w14:textId="77777777" w:rsidR="00FF104D" w:rsidRPr="00581869" w:rsidRDefault="00FF104D" w:rsidP="00FF104D">
      <w:pPr>
        <w:spacing w:line="480" w:lineRule="auto"/>
        <w:ind w:firstLine="720"/>
      </w:pPr>
      <w:r w:rsidRPr="00581869">
        <w:rPr>
          <w:lang w:val="en"/>
        </w:rPr>
        <w:t>*</w:t>
      </w:r>
      <w:r w:rsidRPr="00581869">
        <w:rPr>
          <w:lang w:val="en"/>
        </w:rPr>
        <w:tab/>
      </w:r>
      <w:r w:rsidRPr="00581869">
        <w:rPr>
          <w:lang w:val="en"/>
        </w:rPr>
        <w:tab/>
        <w:t>*</w:t>
      </w:r>
      <w:r w:rsidRPr="00581869">
        <w:rPr>
          <w:lang w:val="en"/>
        </w:rPr>
        <w:tab/>
      </w:r>
      <w:r w:rsidRPr="00581869">
        <w:rPr>
          <w:lang w:val="en"/>
        </w:rPr>
        <w:tab/>
        <w:t>*</w:t>
      </w:r>
      <w:r w:rsidRPr="00581869">
        <w:rPr>
          <w:lang w:val="en"/>
        </w:rPr>
        <w:tab/>
      </w:r>
      <w:r w:rsidRPr="00581869">
        <w:rPr>
          <w:lang w:val="en"/>
        </w:rPr>
        <w:tab/>
        <w:t>*</w:t>
      </w:r>
      <w:r w:rsidRPr="00581869">
        <w:rPr>
          <w:lang w:val="en"/>
        </w:rPr>
        <w:tab/>
      </w:r>
      <w:r w:rsidRPr="00581869">
        <w:rPr>
          <w:lang w:val="en"/>
        </w:rPr>
        <w:tab/>
        <w:t>*</w:t>
      </w:r>
    </w:p>
    <w:p w14:paraId="7C24121F" w14:textId="77777777" w:rsidR="008C1FDB" w:rsidRPr="00581869" w:rsidRDefault="008C1FDB" w:rsidP="008C1FDB">
      <w:pPr>
        <w:rPr>
          <w:bCs/>
        </w:rPr>
      </w:pPr>
      <w:r w:rsidRPr="00581869">
        <w:lastRenderedPageBreak/>
        <w:t>3.</w:t>
      </w:r>
      <w:r w:rsidRPr="00581869">
        <w:tab/>
      </w:r>
      <w:r w:rsidRPr="00581869">
        <w:rPr>
          <w:bCs/>
        </w:rPr>
        <w:t>Section 157.18 is amended by revising paragraph (c) to read as follows:</w:t>
      </w:r>
    </w:p>
    <w:p w14:paraId="0ED83CF4" w14:textId="77777777" w:rsidR="008C1FDB" w:rsidRPr="00581869" w:rsidRDefault="008C1FDB" w:rsidP="008C1FDB"/>
    <w:p w14:paraId="18A722B4" w14:textId="77777777" w:rsidR="008C1FDB" w:rsidRPr="00581869" w:rsidRDefault="00FF104D" w:rsidP="00FF104D">
      <w:pPr>
        <w:spacing w:line="480" w:lineRule="auto"/>
      </w:pPr>
      <w:r w:rsidRPr="00581869">
        <w:rPr>
          <w:iCs/>
          <w:lang w:val="en"/>
        </w:rPr>
        <w:t xml:space="preserve">(c)  </w:t>
      </w:r>
      <w:r w:rsidR="006C3B8E" w:rsidRPr="00581869">
        <w:rPr>
          <w:iCs/>
          <w:lang w:val="en"/>
        </w:rPr>
        <w:t>Exhibit V—Flow diagram showing daily design capacity and reflecting operation of applicant's system after abandonment.</w:t>
      </w:r>
      <w:r w:rsidRPr="00581869">
        <w:rPr>
          <w:iCs/>
          <w:lang w:val="en"/>
        </w:rPr>
        <w:t xml:space="preserve"> </w:t>
      </w:r>
      <w:r w:rsidR="006C3B8E" w:rsidRPr="00581869">
        <w:rPr>
          <w:lang w:val="en"/>
        </w:rPr>
        <w:t xml:space="preserve"> </w:t>
      </w:r>
      <w:r w:rsidR="006C3B8E" w:rsidRPr="00581869">
        <w:t xml:space="preserve">Receipt and delivery point information required in various exhibits must be labeled with a location point name in accordance with the name adopted in § 284.12 of this chapter.  </w:t>
      </w:r>
      <w:r w:rsidR="006C3B8E" w:rsidRPr="00581869">
        <w:rPr>
          <w:lang w:val="en"/>
        </w:rPr>
        <w:t>A flow diagram showing daily design capacity and reflecting operating conditions of applicant's system after abandonment of facilities on that segment of the system affected by the abandonment, including the following:</w:t>
      </w:r>
    </w:p>
    <w:p w14:paraId="5EEB007F" w14:textId="77777777" w:rsidR="00FF104D" w:rsidRPr="00581869" w:rsidRDefault="00FF104D" w:rsidP="00FF104D">
      <w:pPr>
        <w:spacing w:after="240"/>
        <w:ind w:firstLine="720"/>
      </w:pPr>
      <w:r w:rsidRPr="00581869">
        <w:rPr>
          <w:lang w:val="en"/>
        </w:rPr>
        <w:t>*</w:t>
      </w:r>
      <w:r w:rsidRPr="00581869">
        <w:rPr>
          <w:lang w:val="en"/>
        </w:rPr>
        <w:tab/>
      </w:r>
      <w:r w:rsidRPr="00581869">
        <w:rPr>
          <w:lang w:val="en"/>
        </w:rPr>
        <w:tab/>
        <w:t>*</w:t>
      </w:r>
      <w:r w:rsidRPr="00581869">
        <w:rPr>
          <w:lang w:val="en"/>
        </w:rPr>
        <w:tab/>
      </w:r>
      <w:r w:rsidRPr="00581869">
        <w:rPr>
          <w:lang w:val="en"/>
        </w:rPr>
        <w:tab/>
        <w:t>*</w:t>
      </w:r>
      <w:r w:rsidRPr="00581869">
        <w:rPr>
          <w:lang w:val="en"/>
        </w:rPr>
        <w:tab/>
      </w:r>
      <w:r w:rsidRPr="00581869">
        <w:rPr>
          <w:lang w:val="en"/>
        </w:rPr>
        <w:tab/>
        <w:t>*</w:t>
      </w:r>
      <w:r w:rsidRPr="00581869">
        <w:rPr>
          <w:lang w:val="en"/>
        </w:rPr>
        <w:tab/>
      </w:r>
      <w:r w:rsidRPr="00581869">
        <w:rPr>
          <w:lang w:val="en"/>
        </w:rPr>
        <w:tab/>
        <w:t>*</w:t>
      </w:r>
    </w:p>
    <w:p w14:paraId="787EEF4F" w14:textId="77777777" w:rsidR="00700279" w:rsidRPr="00581869" w:rsidRDefault="00AD0C1A" w:rsidP="00FF104D">
      <w:pPr>
        <w:spacing w:after="240"/>
      </w:pPr>
      <w:r w:rsidRPr="00581869">
        <w:t>PART</w:t>
      </w:r>
      <w:r w:rsidR="008C1FDB" w:rsidRPr="00581869">
        <w:t xml:space="preserve"> 260 </w:t>
      </w:r>
      <w:r w:rsidR="00700279" w:rsidRPr="00581869">
        <w:t>–</w:t>
      </w:r>
      <w:r w:rsidR="008C1FDB" w:rsidRPr="00581869">
        <w:t xml:space="preserve"> </w:t>
      </w:r>
      <w:r w:rsidR="00700279" w:rsidRPr="00581869">
        <w:t>STATEMENTS AND REPORTS (SCHEDULES)</w:t>
      </w:r>
    </w:p>
    <w:p w14:paraId="38AFAE79" w14:textId="77777777" w:rsidR="008C1FDB" w:rsidRPr="00581869" w:rsidRDefault="00700279" w:rsidP="00700279">
      <w:r w:rsidRPr="00581869">
        <w:t>4.</w:t>
      </w:r>
      <w:r w:rsidRPr="00581869">
        <w:tab/>
      </w:r>
      <w:r w:rsidR="008C1FDB" w:rsidRPr="00581869">
        <w:t xml:space="preserve">The </w:t>
      </w:r>
      <w:r w:rsidR="008C1FDB" w:rsidRPr="00581869">
        <w:rPr>
          <w:bCs/>
        </w:rPr>
        <w:t>authority</w:t>
      </w:r>
      <w:r w:rsidR="008C1FDB" w:rsidRPr="00581869">
        <w:t xml:space="preserve"> citation for part </w:t>
      </w:r>
      <w:r w:rsidRPr="00581869">
        <w:t>260</w:t>
      </w:r>
      <w:r w:rsidR="008C1FDB" w:rsidRPr="00581869">
        <w:t xml:space="preserve"> continues to read as follows:</w:t>
      </w:r>
    </w:p>
    <w:p w14:paraId="46C52CB3" w14:textId="77777777" w:rsidR="00700279" w:rsidRPr="00581869" w:rsidRDefault="00700279" w:rsidP="00700279">
      <w:pPr>
        <w:rPr>
          <w:bCs/>
        </w:rPr>
      </w:pPr>
    </w:p>
    <w:p w14:paraId="1550B994" w14:textId="09156649" w:rsidR="00700279" w:rsidRPr="00581869" w:rsidRDefault="00700279" w:rsidP="00700279">
      <w:pPr>
        <w:rPr>
          <w:bCs/>
        </w:rPr>
      </w:pPr>
      <w:r w:rsidRPr="00942DB5">
        <w:rPr>
          <w:b/>
          <w:bCs/>
          <w:u w:val="single"/>
        </w:rPr>
        <w:t>Authority</w:t>
      </w:r>
      <w:r w:rsidRPr="00581869">
        <w:rPr>
          <w:bCs/>
        </w:rPr>
        <w:t>:</w:t>
      </w:r>
      <w:r w:rsidR="00942DB5">
        <w:rPr>
          <w:bCs/>
        </w:rPr>
        <w:t xml:space="preserve"> </w:t>
      </w:r>
      <w:r w:rsidRPr="00581869">
        <w:rPr>
          <w:bCs/>
        </w:rPr>
        <w:t xml:space="preserve"> 15 U.S.C. 717-717w, 3301-3432; 42 U.S.C. 7101-7352.</w:t>
      </w:r>
    </w:p>
    <w:p w14:paraId="54EC217B" w14:textId="77777777" w:rsidR="00700279" w:rsidRPr="00581869" w:rsidRDefault="00700279" w:rsidP="00700279">
      <w:pPr>
        <w:rPr>
          <w:bCs/>
        </w:rPr>
      </w:pPr>
    </w:p>
    <w:p w14:paraId="01CD46CD" w14:textId="77777777" w:rsidR="00700279" w:rsidRPr="00581869" w:rsidRDefault="00700279" w:rsidP="00700279">
      <w:pPr>
        <w:rPr>
          <w:bCs/>
        </w:rPr>
      </w:pPr>
      <w:r w:rsidRPr="00581869">
        <w:rPr>
          <w:bCs/>
        </w:rPr>
        <w:t xml:space="preserve">5. </w:t>
      </w:r>
      <w:r w:rsidRPr="00581869">
        <w:rPr>
          <w:bCs/>
        </w:rPr>
        <w:tab/>
        <w:t>Section 260.8 is amended by revising paragraph (a) to read as follows:</w:t>
      </w:r>
    </w:p>
    <w:p w14:paraId="3B21D527" w14:textId="77777777" w:rsidR="00700279" w:rsidRPr="00581869" w:rsidRDefault="00700279" w:rsidP="00700279"/>
    <w:p w14:paraId="1BFB193B" w14:textId="1501AFE6" w:rsidR="00700279" w:rsidRPr="00581869" w:rsidRDefault="00FF104D" w:rsidP="00FF104D">
      <w:pPr>
        <w:spacing w:line="480" w:lineRule="auto"/>
      </w:pPr>
      <w:r w:rsidRPr="00581869">
        <w:rPr>
          <w:lang w:val="en"/>
        </w:rPr>
        <w:t>(a)  Each Major natural gas pipeline company, having a system delivery capacity in excess of 100,000 Mcf per day (</w:t>
      </w:r>
      <w:r w:rsidRPr="00581869">
        <w:t>measured</w:t>
      </w:r>
      <w:r w:rsidRPr="00581869">
        <w:rPr>
          <w:lang w:val="en"/>
        </w:rPr>
        <w:t xml:space="preserve"> at 14.73 p.s.i.a. and 60</w:t>
      </w:r>
      <w:r w:rsidR="00AD0C1A" w:rsidRPr="00581869">
        <w:rPr>
          <w:lang w:val="en"/>
        </w:rPr>
        <w:t>º</w:t>
      </w:r>
      <w:r w:rsidRPr="00581869">
        <w:rPr>
          <w:lang w:val="en"/>
        </w:rPr>
        <w:t xml:space="preserve"> F), shall file with the Commission by June 1 of each year five (5) copies of a diagram or diagrams reflecting operating conditions on its main transmission system during the previous twelve months ended December 31. </w:t>
      </w:r>
      <w:r w:rsidR="004877BB" w:rsidRPr="00581869">
        <w:rPr>
          <w:lang w:val="en"/>
        </w:rPr>
        <w:t xml:space="preserve"> </w:t>
      </w:r>
      <w:r w:rsidRPr="00581869">
        <w:rPr>
          <w:lang w:val="en"/>
        </w:rPr>
        <w:t xml:space="preserve">For purposes of system peak deliveries, the heating season overlapping the year's end shall be used. </w:t>
      </w:r>
      <w:r w:rsidR="00942DB5">
        <w:rPr>
          <w:lang w:val="en"/>
        </w:rPr>
        <w:t xml:space="preserve"> </w:t>
      </w:r>
      <w:r w:rsidRPr="00581869">
        <w:rPr>
          <w:lang w:val="en"/>
        </w:rPr>
        <w:t>Facilities shall be those installed and in operation on December 31 of the reporting year.</w:t>
      </w:r>
      <w:r w:rsidR="004877BB" w:rsidRPr="00581869">
        <w:rPr>
          <w:lang w:val="en"/>
        </w:rPr>
        <w:t xml:space="preserve"> </w:t>
      </w:r>
      <w:r w:rsidRPr="00581869">
        <w:rPr>
          <w:lang w:val="en"/>
        </w:rPr>
        <w:t xml:space="preserve"> All volumes shall be reported on a uniform stated pressure and temperature base.  </w:t>
      </w:r>
      <w:r w:rsidRPr="00581869">
        <w:t>Receipt and delivery point information required in various exhibits must be labeled with a location point name in accordance with the name adopted in § 284.12 of this chapter.</w:t>
      </w:r>
    </w:p>
    <w:p w14:paraId="0B03B1AC" w14:textId="77777777" w:rsidR="00700279" w:rsidRPr="00581869" w:rsidRDefault="00AD0C1A" w:rsidP="00700279">
      <w:pPr>
        <w:pStyle w:val="FERCparanumber"/>
        <w:numPr>
          <w:ilvl w:val="0"/>
          <w:numId w:val="0"/>
        </w:numPr>
        <w:spacing w:after="240" w:line="240" w:lineRule="auto"/>
      </w:pPr>
      <w:r w:rsidRPr="00581869">
        <w:lastRenderedPageBreak/>
        <w:t>PART</w:t>
      </w:r>
      <w:r w:rsidR="00B231AF" w:rsidRPr="00581869">
        <w:t xml:space="preserve"> 284 -- CERTAIN SALES AND TRANSPORTATION OF NATURAL GAS UNDER THE NATURAL GAS POLICY ACT OF 1978 AND RELATED AUTHORITIES</w:t>
      </w:r>
    </w:p>
    <w:p w14:paraId="27C3C0AB" w14:textId="77777777" w:rsidR="00B231AF" w:rsidRPr="00581869" w:rsidRDefault="00700279" w:rsidP="0063202E">
      <w:pPr>
        <w:pStyle w:val="Caption"/>
        <w:spacing w:line="480" w:lineRule="auto"/>
        <w:rPr>
          <w:b w:val="0"/>
          <w:sz w:val="26"/>
          <w:szCs w:val="26"/>
        </w:rPr>
      </w:pPr>
      <w:r w:rsidRPr="00581869">
        <w:rPr>
          <w:b w:val="0"/>
          <w:sz w:val="26"/>
          <w:szCs w:val="26"/>
        </w:rPr>
        <w:t>6</w:t>
      </w:r>
      <w:r w:rsidR="00B231AF" w:rsidRPr="00581869">
        <w:rPr>
          <w:b w:val="0"/>
          <w:sz w:val="26"/>
          <w:szCs w:val="26"/>
        </w:rPr>
        <w:t xml:space="preserve">. </w:t>
      </w:r>
      <w:r w:rsidR="008C1FDB" w:rsidRPr="00581869">
        <w:rPr>
          <w:b w:val="0"/>
          <w:sz w:val="26"/>
          <w:szCs w:val="26"/>
        </w:rPr>
        <w:tab/>
      </w:r>
      <w:r w:rsidR="00B231AF" w:rsidRPr="00581869">
        <w:rPr>
          <w:b w:val="0"/>
          <w:sz w:val="26"/>
          <w:szCs w:val="26"/>
        </w:rPr>
        <w:t>The authority citation for part 284 continues to read as follows:</w:t>
      </w:r>
    </w:p>
    <w:p w14:paraId="1BC327E8" w14:textId="7CC5D8ED" w:rsidR="00B231AF" w:rsidRPr="00581869" w:rsidRDefault="00B231AF" w:rsidP="0063202E">
      <w:pPr>
        <w:pStyle w:val="Caption"/>
        <w:spacing w:line="480" w:lineRule="auto"/>
        <w:rPr>
          <w:b w:val="0"/>
          <w:sz w:val="26"/>
          <w:szCs w:val="26"/>
        </w:rPr>
      </w:pPr>
      <w:r w:rsidRPr="00942DB5">
        <w:rPr>
          <w:sz w:val="26"/>
          <w:szCs w:val="26"/>
          <w:u w:val="single"/>
        </w:rPr>
        <w:t>Authority</w:t>
      </w:r>
      <w:r w:rsidRPr="00581869">
        <w:rPr>
          <w:b w:val="0"/>
          <w:sz w:val="26"/>
          <w:szCs w:val="26"/>
        </w:rPr>
        <w:t xml:space="preserve">: </w:t>
      </w:r>
      <w:r w:rsidR="00942DB5">
        <w:rPr>
          <w:b w:val="0"/>
          <w:sz w:val="26"/>
          <w:szCs w:val="26"/>
        </w:rPr>
        <w:t xml:space="preserve"> </w:t>
      </w:r>
      <w:r w:rsidRPr="00581869">
        <w:rPr>
          <w:b w:val="0"/>
          <w:sz w:val="26"/>
          <w:szCs w:val="26"/>
        </w:rPr>
        <w:t>15 U.S.C. 717-717w, 3301-3432; 42 U.S.C. 7101-7352; 43 U.S.C. 1331-1356.</w:t>
      </w:r>
    </w:p>
    <w:p w14:paraId="28DEA335" w14:textId="77777777" w:rsidR="00B231AF" w:rsidRPr="00581869" w:rsidRDefault="00700279" w:rsidP="0063202E">
      <w:pPr>
        <w:pStyle w:val="Caption"/>
        <w:spacing w:line="480" w:lineRule="auto"/>
        <w:rPr>
          <w:b w:val="0"/>
          <w:sz w:val="26"/>
          <w:szCs w:val="26"/>
        </w:rPr>
      </w:pPr>
      <w:r w:rsidRPr="00581869">
        <w:rPr>
          <w:b w:val="0"/>
          <w:sz w:val="26"/>
          <w:szCs w:val="26"/>
        </w:rPr>
        <w:t>7</w:t>
      </w:r>
      <w:r w:rsidR="00B231AF" w:rsidRPr="00581869">
        <w:rPr>
          <w:b w:val="0"/>
          <w:sz w:val="26"/>
          <w:szCs w:val="26"/>
        </w:rPr>
        <w:t xml:space="preserve">. </w:t>
      </w:r>
      <w:r w:rsidRPr="00581869">
        <w:rPr>
          <w:b w:val="0"/>
          <w:sz w:val="26"/>
          <w:szCs w:val="26"/>
        </w:rPr>
        <w:tab/>
      </w:r>
      <w:r w:rsidR="00B231AF" w:rsidRPr="00581869">
        <w:rPr>
          <w:b w:val="0"/>
          <w:sz w:val="26"/>
          <w:szCs w:val="26"/>
        </w:rPr>
        <w:t>Section 284.12 is amended by revising paragraph (a) (1) to read as follows:</w:t>
      </w:r>
    </w:p>
    <w:p w14:paraId="0027FD60" w14:textId="77777777" w:rsidR="00B231AF" w:rsidRPr="00581869" w:rsidRDefault="00B231AF" w:rsidP="00B231AF">
      <w:pPr>
        <w:pStyle w:val="Caption"/>
        <w:rPr>
          <w:b w:val="0"/>
          <w:sz w:val="26"/>
          <w:szCs w:val="26"/>
        </w:rPr>
      </w:pPr>
      <w:r w:rsidRPr="00C16BB8">
        <w:rPr>
          <w:sz w:val="26"/>
          <w:szCs w:val="26"/>
        </w:rPr>
        <w:t xml:space="preserve">Section 284.12  </w:t>
      </w:r>
      <w:r w:rsidRPr="00C16BB8">
        <w:rPr>
          <w:sz w:val="26"/>
          <w:szCs w:val="26"/>
          <w:u w:val="single"/>
        </w:rPr>
        <w:t>Standards for pipeline business operations and communications</w:t>
      </w:r>
      <w:r w:rsidRPr="00581869">
        <w:rPr>
          <w:b w:val="0"/>
          <w:sz w:val="26"/>
          <w:szCs w:val="26"/>
        </w:rPr>
        <w:t>.</w:t>
      </w:r>
    </w:p>
    <w:p w14:paraId="19300C8A" w14:textId="3D7D70E5" w:rsidR="00B231AF" w:rsidRPr="00581869" w:rsidRDefault="00B231AF" w:rsidP="00B231AF">
      <w:pPr>
        <w:pStyle w:val="Caption"/>
        <w:rPr>
          <w:b w:val="0"/>
          <w:sz w:val="26"/>
          <w:szCs w:val="26"/>
        </w:rPr>
      </w:pPr>
      <w:r w:rsidRPr="00581869">
        <w:rPr>
          <w:b w:val="0"/>
          <w:sz w:val="26"/>
          <w:szCs w:val="26"/>
        </w:rPr>
        <w:t xml:space="preserve">    (a)</w:t>
      </w:r>
      <w:r w:rsidR="00167D5C" w:rsidRPr="00581869">
        <w:rPr>
          <w:b w:val="0"/>
          <w:sz w:val="26"/>
          <w:szCs w:val="26"/>
        </w:rPr>
        <w:t xml:space="preserve"> *</w:t>
      </w:r>
      <w:r w:rsidR="00167D5C" w:rsidRPr="00581869">
        <w:rPr>
          <w:b w:val="0"/>
          <w:sz w:val="26"/>
          <w:szCs w:val="26"/>
        </w:rPr>
        <w:tab/>
        <w:t xml:space="preserve">* </w:t>
      </w:r>
      <w:r w:rsidR="00167D5C" w:rsidRPr="00581869">
        <w:rPr>
          <w:b w:val="0"/>
          <w:sz w:val="26"/>
          <w:szCs w:val="26"/>
        </w:rPr>
        <w:tab/>
      </w:r>
      <w:r w:rsidRPr="00581869">
        <w:rPr>
          <w:b w:val="0"/>
          <w:sz w:val="26"/>
          <w:szCs w:val="26"/>
        </w:rPr>
        <w:t>*</w:t>
      </w:r>
    </w:p>
    <w:p w14:paraId="369AD83D" w14:textId="4E63ACEB" w:rsidR="00B231AF" w:rsidRPr="00581869" w:rsidRDefault="00B231AF" w:rsidP="00BB5540">
      <w:pPr>
        <w:pStyle w:val="Caption"/>
        <w:spacing w:line="480" w:lineRule="auto"/>
        <w:rPr>
          <w:b w:val="0"/>
          <w:sz w:val="26"/>
          <w:szCs w:val="26"/>
        </w:rPr>
      </w:pPr>
      <w:r w:rsidRPr="00581869">
        <w:rPr>
          <w:b w:val="0"/>
          <w:sz w:val="26"/>
          <w:szCs w:val="26"/>
        </w:rPr>
        <w:t xml:space="preserve"> </w:t>
      </w:r>
      <w:r w:rsidR="00167D5C" w:rsidRPr="00581869">
        <w:rPr>
          <w:b w:val="0"/>
          <w:sz w:val="26"/>
          <w:szCs w:val="26"/>
        </w:rPr>
        <w:t xml:space="preserve">   </w:t>
      </w:r>
      <w:r w:rsidRPr="00581869">
        <w:rPr>
          <w:b w:val="0"/>
          <w:sz w:val="26"/>
          <w:szCs w:val="26"/>
        </w:rPr>
        <w:t xml:space="preserve">(1) </w:t>
      </w:r>
      <w:r w:rsidRPr="00581869">
        <w:rPr>
          <w:b w:val="0"/>
          <w:sz w:val="26"/>
          <w:szCs w:val="26"/>
        </w:rPr>
        <w:tab/>
      </w:r>
      <w:r w:rsidR="00167D5C" w:rsidRPr="00581869">
        <w:rPr>
          <w:b w:val="0"/>
          <w:sz w:val="26"/>
          <w:szCs w:val="26"/>
        </w:rPr>
        <w:t xml:space="preserve">An interstate pipeline that transports gas under subparts B or G of this part must comply with the business practices and electronic communications standards as promulgated by the North American Energy Standards Board, as incorporated herein by reference in paragraphs </w:t>
      </w:r>
      <w:r w:rsidR="00E14EC8" w:rsidRPr="00581869">
        <w:rPr>
          <w:b w:val="0"/>
          <w:sz w:val="26"/>
          <w:szCs w:val="26"/>
        </w:rPr>
        <w:t>(a)(1)</w:t>
      </w:r>
      <w:r w:rsidR="00167D5C" w:rsidRPr="00581869">
        <w:rPr>
          <w:b w:val="0"/>
          <w:sz w:val="26"/>
          <w:szCs w:val="26"/>
        </w:rPr>
        <w:t xml:space="preserve">(i) thru (vii) </w:t>
      </w:r>
      <w:r w:rsidR="00E14EC8" w:rsidRPr="00581869">
        <w:rPr>
          <w:b w:val="0"/>
          <w:sz w:val="26"/>
          <w:szCs w:val="26"/>
        </w:rPr>
        <w:t>of this section</w:t>
      </w:r>
      <w:r w:rsidR="00167D5C" w:rsidRPr="00581869">
        <w:rPr>
          <w:b w:val="0"/>
          <w:sz w:val="26"/>
          <w:szCs w:val="26"/>
        </w:rPr>
        <w:t>, and as revised by Minor Correction</w:t>
      </w:r>
      <w:r w:rsidR="00AB6257">
        <w:rPr>
          <w:b w:val="0"/>
          <w:sz w:val="26"/>
          <w:szCs w:val="26"/>
        </w:rPr>
        <w:t>/Clarification</w:t>
      </w:r>
      <w:r w:rsidR="00167D5C" w:rsidRPr="00581869">
        <w:rPr>
          <w:b w:val="0"/>
          <w:sz w:val="26"/>
          <w:szCs w:val="26"/>
        </w:rPr>
        <w:t xml:space="preserve"> MC150</w:t>
      </w:r>
      <w:r w:rsidR="00AB6257">
        <w:rPr>
          <w:b w:val="0"/>
          <w:sz w:val="26"/>
          <w:szCs w:val="26"/>
        </w:rPr>
        <w:t>09</w:t>
      </w:r>
      <w:r w:rsidR="00167D5C" w:rsidRPr="00581869">
        <w:rPr>
          <w:b w:val="0"/>
          <w:sz w:val="26"/>
          <w:szCs w:val="26"/>
        </w:rPr>
        <w:t xml:space="preserve"> </w:t>
      </w:r>
      <w:r w:rsidR="00D03E45" w:rsidRPr="00581869">
        <w:rPr>
          <w:b w:val="0"/>
          <w:sz w:val="26"/>
          <w:szCs w:val="26"/>
        </w:rPr>
        <w:t>and Minor Correction</w:t>
      </w:r>
      <w:r w:rsidR="00AB6257">
        <w:rPr>
          <w:b w:val="0"/>
          <w:sz w:val="26"/>
          <w:szCs w:val="26"/>
        </w:rPr>
        <w:t>/Clarification</w:t>
      </w:r>
      <w:r w:rsidR="00D03E45" w:rsidRPr="00581869">
        <w:rPr>
          <w:b w:val="0"/>
          <w:sz w:val="26"/>
          <w:szCs w:val="26"/>
        </w:rPr>
        <w:t xml:space="preserve"> MC150</w:t>
      </w:r>
      <w:r w:rsidR="00AB6257">
        <w:rPr>
          <w:b w:val="0"/>
          <w:sz w:val="26"/>
          <w:szCs w:val="26"/>
        </w:rPr>
        <w:t>12</w:t>
      </w:r>
      <w:r w:rsidR="00D03E45" w:rsidRPr="00581869">
        <w:rPr>
          <w:b w:val="0"/>
          <w:sz w:val="26"/>
          <w:szCs w:val="26"/>
        </w:rPr>
        <w:t>,</w:t>
      </w:r>
      <w:r w:rsidR="00167D5C" w:rsidRPr="00581869">
        <w:rPr>
          <w:b w:val="0"/>
          <w:sz w:val="26"/>
          <w:szCs w:val="26"/>
        </w:rPr>
        <w:t xml:space="preserve"> as incorporated herein by reference in paragraphs </w:t>
      </w:r>
      <w:r w:rsidR="00E14EC8" w:rsidRPr="00581869">
        <w:rPr>
          <w:b w:val="0"/>
          <w:sz w:val="26"/>
          <w:szCs w:val="26"/>
        </w:rPr>
        <w:t>(a)(1)</w:t>
      </w:r>
      <w:r w:rsidR="00167D5C" w:rsidRPr="00581869">
        <w:rPr>
          <w:b w:val="0"/>
          <w:sz w:val="26"/>
          <w:szCs w:val="26"/>
        </w:rPr>
        <w:t xml:space="preserve">(viii) </w:t>
      </w:r>
      <w:r w:rsidR="00E14EC8" w:rsidRPr="00581869">
        <w:rPr>
          <w:b w:val="0"/>
          <w:sz w:val="26"/>
          <w:szCs w:val="26"/>
        </w:rPr>
        <w:t>and (ix) of this section.</w:t>
      </w:r>
    </w:p>
    <w:p w14:paraId="229857AA" w14:textId="650F869C" w:rsidR="00B231AF" w:rsidRPr="00581869" w:rsidRDefault="00B231AF" w:rsidP="00B231AF">
      <w:pPr>
        <w:pStyle w:val="Caption"/>
        <w:spacing w:line="480" w:lineRule="auto"/>
        <w:rPr>
          <w:b w:val="0"/>
          <w:sz w:val="26"/>
          <w:szCs w:val="26"/>
        </w:rPr>
      </w:pPr>
      <w:r w:rsidRPr="00581869">
        <w:rPr>
          <w:b w:val="0"/>
          <w:sz w:val="26"/>
          <w:szCs w:val="26"/>
        </w:rPr>
        <w:t xml:space="preserve">    (i)    Additional Standards (Version </w:t>
      </w:r>
      <w:r w:rsidR="00AD0C1A" w:rsidRPr="00581869">
        <w:rPr>
          <w:b w:val="0"/>
          <w:sz w:val="26"/>
          <w:szCs w:val="26"/>
        </w:rPr>
        <w:t>3</w:t>
      </w:r>
      <w:r w:rsidRPr="00581869">
        <w:rPr>
          <w:b w:val="0"/>
          <w:sz w:val="26"/>
          <w:szCs w:val="26"/>
        </w:rPr>
        <w:t xml:space="preserve">.0, November </w:t>
      </w:r>
      <w:r w:rsidR="00AD0C1A" w:rsidRPr="00581869">
        <w:rPr>
          <w:b w:val="0"/>
          <w:sz w:val="26"/>
          <w:szCs w:val="26"/>
        </w:rPr>
        <w:t>14</w:t>
      </w:r>
      <w:r w:rsidRPr="00581869">
        <w:rPr>
          <w:b w:val="0"/>
          <w:sz w:val="26"/>
          <w:szCs w:val="26"/>
        </w:rPr>
        <w:t>, 201</w:t>
      </w:r>
      <w:r w:rsidR="00AD0C1A" w:rsidRPr="00581869">
        <w:rPr>
          <w:b w:val="0"/>
          <w:sz w:val="26"/>
          <w:szCs w:val="26"/>
        </w:rPr>
        <w:t>4</w:t>
      </w:r>
      <w:r w:rsidRPr="00581869">
        <w:rPr>
          <w:b w:val="0"/>
          <w:sz w:val="26"/>
          <w:szCs w:val="26"/>
        </w:rPr>
        <w:t>);</w:t>
      </w:r>
    </w:p>
    <w:p w14:paraId="4967DB44" w14:textId="77777777" w:rsidR="00B231AF" w:rsidRPr="00581869" w:rsidRDefault="00B231AF" w:rsidP="00B231AF">
      <w:pPr>
        <w:pStyle w:val="Caption"/>
        <w:spacing w:line="480" w:lineRule="auto"/>
        <w:rPr>
          <w:b w:val="0"/>
          <w:sz w:val="26"/>
          <w:szCs w:val="26"/>
        </w:rPr>
      </w:pPr>
      <w:r w:rsidRPr="00581869">
        <w:rPr>
          <w:b w:val="0"/>
          <w:sz w:val="26"/>
          <w:szCs w:val="26"/>
        </w:rPr>
        <w:t xml:space="preserve">    (ii)   Nominations Related Standards (Version </w:t>
      </w:r>
      <w:r w:rsidR="00AD0C1A" w:rsidRPr="00581869">
        <w:rPr>
          <w:b w:val="0"/>
          <w:sz w:val="26"/>
          <w:szCs w:val="26"/>
        </w:rPr>
        <w:t>3</w:t>
      </w:r>
      <w:r w:rsidRPr="00581869">
        <w:rPr>
          <w:b w:val="0"/>
          <w:sz w:val="26"/>
          <w:szCs w:val="26"/>
        </w:rPr>
        <w:t xml:space="preserve">.0, November </w:t>
      </w:r>
      <w:r w:rsidR="00AD0C1A" w:rsidRPr="00581869">
        <w:rPr>
          <w:b w:val="0"/>
          <w:sz w:val="26"/>
          <w:szCs w:val="26"/>
        </w:rPr>
        <w:t>14</w:t>
      </w:r>
      <w:r w:rsidRPr="00581869">
        <w:rPr>
          <w:b w:val="0"/>
          <w:sz w:val="26"/>
          <w:szCs w:val="26"/>
        </w:rPr>
        <w:t>, 201</w:t>
      </w:r>
      <w:r w:rsidR="00AD0C1A" w:rsidRPr="00581869">
        <w:rPr>
          <w:b w:val="0"/>
          <w:sz w:val="26"/>
          <w:szCs w:val="26"/>
        </w:rPr>
        <w:t>4)</w:t>
      </w:r>
      <w:r w:rsidRPr="00581869">
        <w:rPr>
          <w:b w:val="0"/>
          <w:sz w:val="26"/>
          <w:szCs w:val="26"/>
        </w:rPr>
        <w:t xml:space="preserve">; </w:t>
      </w:r>
    </w:p>
    <w:p w14:paraId="3053969F" w14:textId="77777777" w:rsidR="00B231AF" w:rsidRPr="00581869" w:rsidRDefault="00B231AF" w:rsidP="00B231AF">
      <w:pPr>
        <w:pStyle w:val="Caption"/>
        <w:spacing w:line="480" w:lineRule="auto"/>
        <w:rPr>
          <w:b w:val="0"/>
          <w:sz w:val="26"/>
          <w:szCs w:val="26"/>
        </w:rPr>
      </w:pPr>
      <w:r w:rsidRPr="00581869">
        <w:rPr>
          <w:b w:val="0"/>
          <w:sz w:val="26"/>
          <w:szCs w:val="26"/>
        </w:rPr>
        <w:t xml:space="preserve">    (iii)   Flowing Gas Related Standards (Version </w:t>
      </w:r>
      <w:r w:rsidR="00AD0C1A" w:rsidRPr="00581869">
        <w:rPr>
          <w:b w:val="0"/>
          <w:sz w:val="26"/>
          <w:szCs w:val="26"/>
        </w:rPr>
        <w:t>3</w:t>
      </w:r>
      <w:r w:rsidRPr="00581869">
        <w:rPr>
          <w:b w:val="0"/>
          <w:sz w:val="26"/>
          <w:szCs w:val="26"/>
        </w:rPr>
        <w:t xml:space="preserve">.0, November </w:t>
      </w:r>
      <w:r w:rsidR="00AD0C1A" w:rsidRPr="00581869">
        <w:rPr>
          <w:b w:val="0"/>
          <w:sz w:val="26"/>
          <w:szCs w:val="26"/>
        </w:rPr>
        <w:t>14</w:t>
      </w:r>
      <w:r w:rsidRPr="00581869">
        <w:rPr>
          <w:b w:val="0"/>
          <w:sz w:val="26"/>
          <w:szCs w:val="26"/>
        </w:rPr>
        <w:t>, 201</w:t>
      </w:r>
      <w:r w:rsidR="00AD0C1A" w:rsidRPr="00581869">
        <w:rPr>
          <w:b w:val="0"/>
          <w:sz w:val="26"/>
          <w:szCs w:val="26"/>
        </w:rPr>
        <w:t>4)</w:t>
      </w:r>
      <w:r w:rsidRPr="00581869">
        <w:rPr>
          <w:b w:val="0"/>
          <w:sz w:val="26"/>
          <w:szCs w:val="26"/>
        </w:rPr>
        <w:t>;</w:t>
      </w:r>
    </w:p>
    <w:p w14:paraId="11C62037" w14:textId="77777777" w:rsidR="00B231AF" w:rsidRPr="00581869" w:rsidRDefault="00B231AF" w:rsidP="00B231AF">
      <w:pPr>
        <w:pStyle w:val="Caption"/>
        <w:spacing w:line="480" w:lineRule="auto"/>
        <w:rPr>
          <w:b w:val="0"/>
          <w:sz w:val="26"/>
          <w:szCs w:val="26"/>
        </w:rPr>
      </w:pPr>
      <w:r w:rsidRPr="00581869">
        <w:rPr>
          <w:b w:val="0"/>
          <w:sz w:val="26"/>
          <w:szCs w:val="26"/>
        </w:rPr>
        <w:t xml:space="preserve">    (iv)   Invoicing Related Standards (Version </w:t>
      </w:r>
      <w:r w:rsidR="00AD0C1A" w:rsidRPr="00581869">
        <w:rPr>
          <w:b w:val="0"/>
          <w:sz w:val="26"/>
          <w:szCs w:val="26"/>
        </w:rPr>
        <w:t>3</w:t>
      </w:r>
      <w:r w:rsidRPr="00581869">
        <w:rPr>
          <w:b w:val="0"/>
          <w:sz w:val="26"/>
          <w:szCs w:val="26"/>
        </w:rPr>
        <w:t xml:space="preserve">.0, November </w:t>
      </w:r>
      <w:r w:rsidR="00AD0C1A" w:rsidRPr="00581869">
        <w:rPr>
          <w:b w:val="0"/>
          <w:sz w:val="26"/>
          <w:szCs w:val="26"/>
        </w:rPr>
        <w:t>14</w:t>
      </w:r>
      <w:r w:rsidRPr="00581869">
        <w:rPr>
          <w:b w:val="0"/>
          <w:sz w:val="26"/>
          <w:szCs w:val="26"/>
        </w:rPr>
        <w:t>, 201</w:t>
      </w:r>
      <w:r w:rsidR="00AD0C1A" w:rsidRPr="00581869">
        <w:rPr>
          <w:b w:val="0"/>
          <w:sz w:val="26"/>
          <w:szCs w:val="26"/>
        </w:rPr>
        <w:t>4)</w:t>
      </w:r>
      <w:r w:rsidRPr="00581869">
        <w:rPr>
          <w:b w:val="0"/>
          <w:sz w:val="26"/>
          <w:szCs w:val="26"/>
        </w:rPr>
        <w:t>;</w:t>
      </w:r>
    </w:p>
    <w:p w14:paraId="28B49B69" w14:textId="30FD446B" w:rsidR="00B231AF" w:rsidRPr="00581869" w:rsidRDefault="00B231AF" w:rsidP="00B231AF">
      <w:pPr>
        <w:pStyle w:val="Caption"/>
        <w:spacing w:line="480" w:lineRule="auto"/>
        <w:rPr>
          <w:b w:val="0"/>
          <w:sz w:val="26"/>
          <w:szCs w:val="26"/>
        </w:rPr>
      </w:pPr>
      <w:r w:rsidRPr="00581869">
        <w:rPr>
          <w:b w:val="0"/>
          <w:sz w:val="26"/>
          <w:szCs w:val="26"/>
        </w:rPr>
        <w:t xml:space="preserve">    (v)   Quadrant Electronic Delivery Mechanism Related Standards (Version </w:t>
      </w:r>
      <w:r w:rsidR="00AD0C1A" w:rsidRPr="00581869">
        <w:rPr>
          <w:b w:val="0"/>
          <w:sz w:val="26"/>
          <w:szCs w:val="26"/>
        </w:rPr>
        <w:t>3</w:t>
      </w:r>
      <w:r w:rsidRPr="00581869">
        <w:rPr>
          <w:b w:val="0"/>
          <w:sz w:val="26"/>
          <w:szCs w:val="26"/>
        </w:rPr>
        <w:t xml:space="preserve">.0, November </w:t>
      </w:r>
      <w:r w:rsidR="00AD0C1A" w:rsidRPr="00581869">
        <w:rPr>
          <w:b w:val="0"/>
          <w:sz w:val="26"/>
          <w:szCs w:val="26"/>
        </w:rPr>
        <w:t>14</w:t>
      </w:r>
      <w:r w:rsidRPr="00581869">
        <w:rPr>
          <w:b w:val="0"/>
          <w:sz w:val="26"/>
          <w:szCs w:val="26"/>
        </w:rPr>
        <w:t>, 201</w:t>
      </w:r>
      <w:r w:rsidR="00AD0C1A" w:rsidRPr="00581869">
        <w:rPr>
          <w:b w:val="0"/>
          <w:sz w:val="26"/>
          <w:szCs w:val="26"/>
        </w:rPr>
        <w:t>4)</w:t>
      </w:r>
      <w:r w:rsidRPr="00581869">
        <w:rPr>
          <w:b w:val="0"/>
          <w:sz w:val="26"/>
          <w:szCs w:val="26"/>
        </w:rPr>
        <w:t>;</w:t>
      </w:r>
    </w:p>
    <w:p w14:paraId="4BA1EA1A" w14:textId="7F369D73" w:rsidR="007A14F4" w:rsidRPr="00581869" w:rsidRDefault="00B231AF" w:rsidP="00E708CB">
      <w:pPr>
        <w:pStyle w:val="Caption"/>
        <w:spacing w:line="480" w:lineRule="auto"/>
        <w:rPr>
          <w:b w:val="0"/>
          <w:sz w:val="26"/>
          <w:szCs w:val="26"/>
        </w:rPr>
      </w:pPr>
      <w:r w:rsidRPr="00581869">
        <w:rPr>
          <w:b w:val="0"/>
          <w:sz w:val="26"/>
          <w:szCs w:val="26"/>
        </w:rPr>
        <w:t xml:space="preserve">    (vi)   Capacity Release Related Standards (Version </w:t>
      </w:r>
      <w:r w:rsidR="00AD0C1A" w:rsidRPr="00581869">
        <w:rPr>
          <w:b w:val="0"/>
          <w:sz w:val="26"/>
          <w:szCs w:val="26"/>
        </w:rPr>
        <w:t>3</w:t>
      </w:r>
      <w:r w:rsidRPr="00581869">
        <w:rPr>
          <w:b w:val="0"/>
          <w:sz w:val="26"/>
          <w:szCs w:val="26"/>
        </w:rPr>
        <w:t xml:space="preserve">.0, November </w:t>
      </w:r>
      <w:r w:rsidR="00AD0C1A" w:rsidRPr="00581869">
        <w:rPr>
          <w:b w:val="0"/>
          <w:sz w:val="26"/>
          <w:szCs w:val="26"/>
        </w:rPr>
        <w:t>14</w:t>
      </w:r>
      <w:r w:rsidRPr="00581869">
        <w:rPr>
          <w:b w:val="0"/>
          <w:sz w:val="26"/>
          <w:szCs w:val="26"/>
        </w:rPr>
        <w:t>, 201</w:t>
      </w:r>
      <w:r w:rsidR="00AD0C1A" w:rsidRPr="00581869">
        <w:rPr>
          <w:b w:val="0"/>
          <w:sz w:val="26"/>
          <w:szCs w:val="26"/>
        </w:rPr>
        <w:t>4)</w:t>
      </w:r>
      <w:r w:rsidRPr="00581869">
        <w:rPr>
          <w:b w:val="0"/>
          <w:sz w:val="26"/>
          <w:szCs w:val="26"/>
        </w:rPr>
        <w:t>;</w:t>
      </w:r>
    </w:p>
    <w:p w14:paraId="1F6BDD36" w14:textId="1F12E9F0" w:rsidR="00B231AF" w:rsidRPr="00581869" w:rsidRDefault="00AB6257" w:rsidP="00E708CB">
      <w:pPr>
        <w:pStyle w:val="Caption"/>
        <w:spacing w:line="480" w:lineRule="auto"/>
        <w:rPr>
          <w:b w:val="0"/>
          <w:sz w:val="26"/>
          <w:szCs w:val="26"/>
        </w:rPr>
      </w:pPr>
      <w:r>
        <w:rPr>
          <w:b w:val="0"/>
          <w:sz w:val="26"/>
          <w:szCs w:val="26"/>
        </w:rPr>
        <w:lastRenderedPageBreak/>
        <w:t xml:space="preserve">    </w:t>
      </w:r>
      <w:r w:rsidR="00B231AF" w:rsidRPr="00581869">
        <w:rPr>
          <w:b w:val="0"/>
          <w:sz w:val="26"/>
          <w:szCs w:val="26"/>
        </w:rPr>
        <w:t xml:space="preserve">(vii)   Internet Electronic Transport Related Standards (Version </w:t>
      </w:r>
      <w:r w:rsidR="00484FFB" w:rsidRPr="00581869">
        <w:rPr>
          <w:b w:val="0"/>
          <w:sz w:val="26"/>
          <w:szCs w:val="26"/>
        </w:rPr>
        <w:t>3</w:t>
      </w:r>
      <w:r w:rsidR="00B231AF" w:rsidRPr="00581869">
        <w:rPr>
          <w:b w:val="0"/>
          <w:sz w:val="26"/>
          <w:szCs w:val="26"/>
        </w:rPr>
        <w:t xml:space="preserve">.0, November </w:t>
      </w:r>
      <w:r w:rsidR="00484FFB" w:rsidRPr="00581869">
        <w:rPr>
          <w:b w:val="0"/>
          <w:sz w:val="26"/>
          <w:szCs w:val="26"/>
        </w:rPr>
        <w:t>14</w:t>
      </w:r>
      <w:r w:rsidR="00B231AF" w:rsidRPr="00581869">
        <w:rPr>
          <w:b w:val="0"/>
          <w:sz w:val="26"/>
          <w:szCs w:val="26"/>
        </w:rPr>
        <w:t>, 201</w:t>
      </w:r>
      <w:r w:rsidR="00484FFB" w:rsidRPr="00581869">
        <w:rPr>
          <w:b w:val="0"/>
          <w:sz w:val="26"/>
          <w:szCs w:val="26"/>
        </w:rPr>
        <w:t>4)</w:t>
      </w:r>
      <w:r w:rsidR="007A14F4" w:rsidRPr="00581869">
        <w:rPr>
          <w:b w:val="0"/>
          <w:sz w:val="26"/>
          <w:szCs w:val="26"/>
        </w:rPr>
        <w:t>;</w:t>
      </w:r>
    </w:p>
    <w:p w14:paraId="40407DB9" w14:textId="2F9B080B" w:rsidR="001067F2" w:rsidRPr="00581869" w:rsidRDefault="00167D5C" w:rsidP="00D03E45">
      <w:pPr>
        <w:spacing w:line="480" w:lineRule="auto"/>
      </w:pPr>
      <w:r w:rsidRPr="00581869">
        <w:t xml:space="preserve">  </w:t>
      </w:r>
      <w:r w:rsidR="00AB6257">
        <w:t xml:space="preserve">  </w:t>
      </w:r>
      <w:r w:rsidRPr="00581869">
        <w:t xml:space="preserve">(viii) </w:t>
      </w:r>
      <w:r w:rsidR="00C16BB8">
        <w:t xml:space="preserve">  </w:t>
      </w:r>
      <w:r w:rsidR="001067F2" w:rsidRPr="00581869">
        <w:t>Minor Correction/Clarification, Request No. MC15009, approved April 30, 2015; and</w:t>
      </w:r>
    </w:p>
    <w:p w14:paraId="6E52182E" w14:textId="69906C67" w:rsidR="00167D5C" w:rsidRPr="00581869" w:rsidRDefault="001067F2" w:rsidP="00093227">
      <w:pPr>
        <w:spacing w:line="480" w:lineRule="auto"/>
      </w:pPr>
      <w:r w:rsidRPr="00581869">
        <w:t xml:space="preserve">  </w:t>
      </w:r>
      <w:r w:rsidR="00AB6257">
        <w:t xml:space="preserve">  </w:t>
      </w:r>
      <w:r w:rsidRPr="00581869">
        <w:t xml:space="preserve">(ix)  </w:t>
      </w:r>
      <w:r w:rsidR="00C16BB8">
        <w:t xml:space="preserve">   </w:t>
      </w:r>
      <w:r w:rsidR="00167D5C" w:rsidRPr="00581869">
        <w:t>Minor Correction/Clarification, Request No. MC15012</w:t>
      </w:r>
      <w:r w:rsidR="00E14EC8" w:rsidRPr="00581869">
        <w:t>, approved</w:t>
      </w:r>
      <w:r w:rsidR="00167D5C" w:rsidRPr="00581869">
        <w:t xml:space="preserve"> May 29, 2015</w:t>
      </w:r>
      <w:r w:rsidR="007A14F4" w:rsidRPr="00581869">
        <w:t>.</w:t>
      </w:r>
    </w:p>
    <w:p w14:paraId="08121AB1" w14:textId="77777777" w:rsidR="00B231AF" w:rsidRPr="00581869" w:rsidRDefault="00B231AF" w:rsidP="00B231AF">
      <w:pPr>
        <w:pStyle w:val="Caption"/>
        <w:rPr>
          <w:b w:val="0"/>
          <w:sz w:val="26"/>
          <w:szCs w:val="26"/>
        </w:rPr>
      </w:pPr>
      <w:r w:rsidRPr="00581869">
        <w:rPr>
          <w:b w:val="0"/>
          <w:sz w:val="26"/>
          <w:szCs w:val="26"/>
        </w:rPr>
        <w:t>*</w:t>
      </w:r>
      <w:r w:rsidRPr="00581869">
        <w:rPr>
          <w:b w:val="0"/>
          <w:sz w:val="26"/>
          <w:szCs w:val="26"/>
        </w:rPr>
        <w:tab/>
      </w:r>
      <w:r w:rsidRPr="00581869">
        <w:rPr>
          <w:b w:val="0"/>
          <w:sz w:val="26"/>
          <w:szCs w:val="26"/>
        </w:rPr>
        <w:tab/>
        <w:t xml:space="preserve"> *</w:t>
      </w:r>
      <w:r w:rsidRPr="00581869">
        <w:rPr>
          <w:b w:val="0"/>
          <w:sz w:val="26"/>
          <w:szCs w:val="26"/>
        </w:rPr>
        <w:tab/>
      </w:r>
      <w:r w:rsidRPr="00581869">
        <w:rPr>
          <w:b w:val="0"/>
          <w:sz w:val="26"/>
          <w:szCs w:val="26"/>
        </w:rPr>
        <w:tab/>
        <w:t xml:space="preserve"> *</w:t>
      </w:r>
      <w:r w:rsidRPr="00581869">
        <w:rPr>
          <w:b w:val="0"/>
          <w:sz w:val="26"/>
          <w:szCs w:val="26"/>
        </w:rPr>
        <w:tab/>
      </w:r>
      <w:r w:rsidRPr="00581869">
        <w:rPr>
          <w:b w:val="0"/>
          <w:sz w:val="26"/>
          <w:szCs w:val="26"/>
        </w:rPr>
        <w:tab/>
        <w:t xml:space="preserve"> *</w:t>
      </w:r>
      <w:r w:rsidRPr="00581869">
        <w:rPr>
          <w:b w:val="0"/>
          <w:sz w:val="26"/>
          <w:szCs w:val="26"/>
        </w:rPr>
        <w:tab/>
      </w:r>
      <w:r w:rsidRPr="00581869">
        <w:rPr>
          <w:b w:val="0"/>
          <w:sz w:val="26"/>
          <w:szCs w:val="26"/>
        </w:rPr>
        <w:tab/>
        <w:t xml:space="preserve"> *</w:t>
      </w:r>
    </w:p>
    <w:p w14:paraId="3996A303" w14:textId="77777777" w:rsidR="004877BB" w:rsidRPr="00581869" w:rsidRDefault="004877BB" w:rsidP="00475744">
      <w:pPr>
        <w:spacing w:line="480" w:lineRule="auto"/>
      </w:pPr>
      <w:r w:rsidRPr="00581869">
        <w:t>8.</w:t>
      </w:r>
      <w:r w:rsidRPr="00581869">
        <w:tab/>
        <w:t>Section 284.13 is amended by revising paragraph (</w:t>
      </w:r>
      <w:r w:rsidR="00475744" w:rsidRPr="00581869">
        <w:t>c</w:t>
      </w:r>
      <w:r w:rsidRPr="00581869">
        <w:t>)(</w:t>
      </w:r>
      <w:r w:rsidR="00475744" w:rsidRPr="00581869">
        <w:t>2</w:t>
      </w:r>
      <w:r w:rsidRPr="00581869">
        <w:t>)</w:t>
      </w:r>
      <w:r w:rsidR="00475744" w:rsidRPr="00581869">
        <w:t>(vi)</w:t>
      </w:r>
      <w:r w:rsidRPr="00581869">
        <w:t xml:space="preserve"> to read as follows:</w:t>
      </w:r>
    </w:p>
    <w:p w14:paraId="4B813600" w14:textId="77777777" w:rsidR="006354A6" w:rsidRPr="00581869" w:rsidRDefault="006354A6" w:rsidP="006354A6">
      <w:pPr>
        <w:spacing w:line="480" w:lineRule="auto"/>
        <w:rPr>
          <w:bCs/>
        </w:rPr>
      </w:pPr>
      <w:bookmarkStart w:id="24" w:name="c_2"/>
      <w:bookmarkEnd w:id="24"/>
      <w:r w:rsidRPr="00581869">
        <w:rPr>
          <w:bCs/>
        </w:rPr>
        <w:t>*</w:t>
      </w:r>
      <w:r w:rsidRPr="00581869">
        <w:rPr>
          <w:bCs/>
        </w:rPr>
        <w:tab/>
      </w:r>
      <w:r w:rsidRPr="00581869">
        <w:rPr>
          <w:bCs/>
        </w:rPr>
        <w:tab/>
        <w:t xml:space="preserve"> *</w:t>
      </w:r>
      <w:r w:rsidRPr="00581869">
        <w:rPr>
          <w:bCs/>
        </w:rPr>
        <w:tab/>
      </w:r>
      <w:r w:rsidRPr="00581869">
        <w:rPr>
          <w:bCs/>
        </w:rPr>
        <w:tab/>
        <w:t xml:space="preserve"> *</w:t>
      </w:r>
      <w:r w:rsidRPr="00581869">
        <w:rPr>
          <w:bCs/>
        </w:rPr>
        <w:tab/>
      </w:r>
      <w:r w:rsidRPr="00581869">
        <w:rPr>
          <w:bCs/>
        </w:rPr>
        <w:tab/>
        <w:t xml:space="preserve"> *</w:t>
      </w:r>
      <w:r w:rsidRPr="00581869">
        <w:rPr>
          <w:bCs/>
        </w:rPr>
        <w:tab/>
      </w:r>
      <w:r w:rsidRPr="00581869">
        <w:rPr>
          <w:bCs/>
        </w:rPr>
        <w:tab/>
        <w:t xml:space="preserve"> *</w:t>
      </w:r>
    </w:p>
    <w:p w14:paraId="3701797D" w14:textId="77777777" w:rsidR="006354A6" w:rsidRPr="00581869" w:rsidRDefault="006354A6" w:rsidP="00475744">
      <w:pPr>
        <w:spacing w:line="480" w:lineRule="auto"/>
      </w:pPr>
      <w:r w:rsidRPr="00581869">
        <w:t xml:space="preserve">(c) </w:t>
      </w:r>
      <w:r w:rsidRPr="00581869">
        <w:rPr>
          <w:bCs/>
          <w:lang w:val="en"/>
        </w:rPr>
        <w:t>*</w:t>
      </w:r>
      <w:r w:rsidRPr="00581869">
        <w:rPr>
          <w:bCs/>
          <w:lang w:val="en"/>
        </w:rPr>
        <w:tab/>
        <w:t>*</w:t>
      </w:r>
      <w:r w:rsidRPr="00581869">
        <w:rPr>
          <w:bCs/>
          <w:lang w:val="en"/>
        </w:rPr>
        <w:tab/>
        <w:t>*</w:t>
      </w:r>
    </w:p>
    <w:p w14:paraId="4E9E81EE" w14:textId="77777777" w:rsidR="00277C63" w:rsidRPr="00581869" w:rsidRDefault="00475744" w:rsidP="00277C63">
      <w:pPr>
        <w:spacing w:line="480" w:lineRule="auto"/>
        <w:rPr>
          <w:lang w:val="en"/>
        </w:rPr>
      </w:pPr>
      <w:r w:rsidRPr="00581869">
        <w:rPr>
          <w:bCs/>
          <w:lang w:val="en"/>
        </w:rPr>
        <w:t>(2)</w:t>
      </w:r>
      <w:r w:rsidR="00277C63" w:rsidRPr="00581869">
        <w:rPr>
          <w:bCs/>
          <w:lang w:val="en"/>
        </w:rPr>
        <w:t xml:space="preserve"> *</w:t>
      </w:r>
      <w:r w:rsidR="00277C63" w:rsidRPr="00581869">
        <w:rPr>
          <w:bCs/>
          <w:lang w:val="en"/>
        </w:rPr>
        <w:tab/>
        <w:t>*</w:t>
      </w:r>
      <w:r w:rsidR="00277C63" w:rsidRPr="00581869">
        <w:rPr>
          <w:bCs/>
          <w:lang w:val="en"/>
        </w:rPr>
        <w:tab/>
        <w:t>*</w:t>
      </w:r>
    </w:p>
    <w:p w14:paraId="09F0F5EF" w14:textId="22F8938C" w:rsidR="00475744" w:rsidRPr="00581869" w:rsidRDefault="00AB6257" w:rsidP="005F31CF">
      <w:pPr>
        <w:spacing w:line="480" w:lineRule="auto"/>
        <w:rPr>
          <w:bCs/>
          <w:lang w:val="en"/>
        </w:rPr>
      </w:pPr>
      <w:bookmarkStart w:id="25" w:name="c_2_i"/>
      <w:bookmarkStart w:id="26" w:name="c_2_ii"/>
      <w:bookmarkStart w:id="27" w:name="c_2_iii"/>
      <w:bookmarkStart w:id="28" w:name="c_2_iv"/>
      <w:bookmarkStart w:id="29" w:name="c_2_v"/>
      <w:bookmarkStart w:id="30" w:name="c_2_vi"/>
      <w:bookmarkEnd w:id="25"/>
      <w:bookmarkEnd w:id="26"/>
      <w:bookmarkEnd w:id="27"/>
      <w:bookmarkEnd w:id="28"/>
      <w:bookmarkEnd w:id="29"/>
      <w:bookmarkEnd w:id="30"/>
      <w:r>
        <w:rPr>
          <w:bCs/>
        </w:rPr>
        <w:t xml:space="preserve">    </w:t>
      </w:r>
      <w:r w:rsidR="00475744" w:rsidRPr="00581869">
        <w:rPr>
          <w:bCs/>
        </w:rPr>
        <w:t>(vi)</w:t>
      </w:r>
      <w:r>
        <w:rPr>
          <w:bCs/>
        </w:rPr>
        <w:t xml:space="preserve">   </w:t>
      </w:r>
      <w:r w:rsidR="00475744" w:rsidRPr="00581869">
        <w:rPr>
          <w:bCs/>
        </w:rPr>
        <w:t xml:space="preserve">The receipt and delivery points and the zones or segments covered by the contract in which the capacity is held, including the </w:t>
      </w:r>
      <w:r w:rsidR="008F6389" w:rsidRPr="00581869">
        <w:rPr>
          <w:bCs/>
        </w:rPr>
        <w:t xml:space="preserve">location </w:t>
      </w:r>
      <w:r w:rsidR="00475744" w:rsidRPr="00581869">
        <w:rPr>
          <w:bCs/>
        </w:rPr>
        <w:t>code for each point zone or segment</w:t>
      </w:r>
      <w:r w:rsidR="008F6389" w:rsidRPr="00581869">
        <w:rPr>
          <w:bCs/>
        </w:rPr>
        <w:t xml:space="preserve"> along with a posting on the pipeline’s website that identifies </w:t>
      </w:r>
      <w:r w:rsidR="006354A6" w:rsidRPr="00581869">
        <w:rPr>
          <w:bCs/>
        </w:rPr>
        <w:t xml:space="preserve">active and inactive points, </w:t>
      </w:r>
      <w:r w:rsidR="008F6389" w:rsidRPr="00581869">
        <w:rPr>
          <w:bCs/>
        </w:rPr>
        <w:t>the</w:t>
      </w:r>
      <w:r w:rsidR="00105FF6" w:rsidRPr="00581869">
        <w:rPr>
          <w:bCs/>
        </w:rPr>
        <w:t xml:space="preserve"> date the point</w:t>
      </w:r>
      <w:r w:rsidR="006354A6" w:rsidRPr="00581869">
        <w:rPr>
          <w:bCs/>
        </w:rPr>
        <w:t xml:space="preserve"> becomes active or inactive</w:t>
      </w:r>
      <w:r w:rsidR="00105FF6" w:rsidRPr="00581869">
        <w:rPr>
          <w:bCs/>
        </w:rPr>
        <w:t>, the location of the point, and an identification of the upstream or downstream entity, if any, at that point.</w:t>
      </w:r>
    </w:p>
    <w:p w14:paraId="31986F43" w14:textId="77777777" w:rsidR="002C012F" w:rsidRPr="00581869" w:rsidRDefault="002C012F" w:rsidP="002C012F">
      <w:pPr>
        <w:spacing w:line="480" w:lineRule="auto"/>
        <w:rPr>
          <w:bCs/>
        </w:rPr>
      </w:pPr>
      <w:bookmarkStart w:id="31" w:name="c_2_vii"/>
      <w:bookmarkEnd w:id="31"/>
      <w:r w:rsidRPr="00581869">
        <w:rPr>
          <w:bCs/>
        </w:rPr>
        <w:t>*</w:t>
      </w:r>
      <w:r w:rsidRPr="00581869">
        <w:rPr>
          <w:bCs/>
        </w:rPr>
        <w:tab/>
      </w:r>
      <w:r w:rsidRPr="00581869">
        <w:rPr>
          <w:bCs/>
        </w:rPr>
        <w:tab/>
        <w:t xml:space="preserve"> *</w:t>
      </w:r>
      <w:r w:rsidRPr="00581869">
        <w:rPr>
          <w:bCs/>
        </w:rPr>
        <w:tab/>
      </w:r>
      <w:r w:rsidRPr="00581869">
        <w:rPr>
          <w:bCs/>
        </w:rPr>
        <w:tab/>
        <w:t xml:space="preserve"> *</w:t>
      </w:r>
      <w:r w:rsidRPr="00581869">
        <w:rPr>
          <w:bCs/>
        </w:rPr>
        <w:tab/>
      </w:r>
      <w:r w:rsidRPr="00581869">
        <w:rPr>
          <w:bCs/>
        </w:rPr>
        <w:tab/>
        <w:t xml:space="preserve"> *</w:t>
      </w:r>
      <w:r w:rsidRPr="00581869">
        <w:rPr>
          <w:bCs/>
        </w:rPr>
        <w:tab/>
      </w:r>
      <w:r w:rsidRPr="00581869">
        <w:rPr>
          <w:bCs/>
        </w:rPr>
        <w:tab/>
        <w:t xml:space="preserve"> *</w:t>
      </w:r>
    </w:p>
    <w:p w14:paraId="74B7ADA3" w14:textId="757BD2B5" w:rsidR="00150A29" w:rsidRPr="00581869" w:rsidRDefault="00150A29">
      <w:pPr>
        <w:widowControl/>
        <w:autoSpaceDE/>
        <w:autoSpaceDN/>
        <w:adjustRightInd/>
        <w:rPr>
          <w:lang w:val="en"/>
        </w:rPr>
      </w:pPr>
      <w:bookmarkStart w:id="32" w:name="c_2_viii"/>
      <w:bookmarkStart w:id="33" w:name="c_2_ix"/>
      <w:bookmarkEnd w:id="32"/>
      <w:bookmarkEnd w:id="33"/>
      <w:r w:rsidRPr="00581869">
        <w:rPr>
          <w:lang w:val="en"/>
        </w:rPr>
        <w:br w:type="page"/>
      </w:r>
    </w:p>
    <w:p w14:paraId="2A4F6B15" w14:textId="43CBCBBC" w:rsidR="002C012F" w:rsidRPr="00581869" w:rsidRDefault="00150A29" w:rsidP="00C16BB8">
      <w:pPr>
        <w:pStyle w:val="Heading1"/>
        <w:numPr>
          <w:ilvl w:val="0"/>
          <w:numId w:val="0"/>
        </w:numPr>
        <w:ind w:left="792"/>
        <w:jc w:val="center"/>
        <w:rPr>
          <w:lang w:val="en"/>
        </w:rPr>
      </w:pPr>
      <w:r w:rsidRPr="00581869">
        <w:rPr>
          <w:lang w:val="en"/>
        </w:rPr>
        <w:lastRenderedPageBreak/>
        <w:t>Appendix</w:t>
      </w:r>
      <w:bookmarkStart w:id="34" w:name="_bmk18"/>
    </w:p>
    <w:bookmarkEnd w:id="34"/>
    <w:p w14:paraId="5E1FFEC4" w14:textId="77777777" w:rsidR="00DB6E11" w:rsidRPr="00581869" w:rsidRDefault="00DB6E11">
      <w:pPr>
        <w:widowControl/>
        <w:autoSpaceDE/>
        <w:autoSpaceDN/>
        <w:adjustRightInd/>
        <w:rPr>
          <w:b/>
          <w:u w:val="single"/>
          <w:lang w:val="en"/>
        </w:rPr>
      </w:pPr>
    </w:p>
    <w:p w14:paraId="0C7D8F61" w14:textId="3EE206E4" w:rsidR="00DB6E11" w:rsidRPr="00581869" w:rsidRDefault="008B5BC3">
      <w:pPr>
        <w:widowControl/>
        <w:autoSpaceDE/>
        <w:autoSpaceDN/>
        <w:adjustRightInd/>
        <w:rPr>
          <w:b/>
          <w:u w:val="single"/>
          <w:lang w:val="en"/>
        </w:rPr>
      </w:pPr>
      <w:r w:rsidRPr="00581869">
        <w:rPr>
          <w:b/>
          <w:u w:val="single"/>
          <w:lang w:val="en"/>
        </w:rPr>
        <w:t>Note: The following Appendix will not appear</w:t>
      </w:r>
      <w:r w:rsidR="00DB6E11" w:rsidRPr="00581869">
        <w:rPr>
          <w:b/>
          <w:u w:val="single"/>
          <w:lang w:val="en"/>
        </w:rPr>
        <w:t xml:space="preserve"> in the Code of Federal Regulations</w:t>
      </w:r>
      <w:r w:rsidRPr="00581869">
        <w:rPr>
          <w:b/>
          <w:u w:val="single"/>
          <w:lang w:val="en"/>
        </w:rPr>
        <w:t>.</w:t>
      </w:r>
    </w:p>
    <w:p w14:paraId="7C53D398" w14:textId="77777777" w:rsidR="00150A29" w:rsidRPr="00581869" w:rsidRDefault="00150A29">
      <w:pPr>
        <w:widowControl/>
        <w:autoSpaceDE/>
        <w:autoSpaceDN/>
        <w:adjustRightInd/>
        <w:rPr>
          <w:b/>
          <w:u w:val="single"/>
          <w:lang w:val="en"/>
        </w:rPr>
      </w:pPr>
    </w:p>
    <w:p w14:paraId="50A9DC90" w14:textId="77777777" w:rsidR="00C06E6F" w:rsidRPr="00581869" w:rsidRDefault="00150A29" w:rsidP="00365F9F">
      <w:pPr>
        <w:widowControl/>
        <w:autoSpaceDE/>
        <w:autoSpaceDN/>
        <w:adjustRightInd/>
        <w:jc w:val="center"/>
        <w:rPr>
          <w:b/>
          <w:u w:val="single"/>
          <w:lang w:val="en"/>
        </w:rPr>
      </w:pPr>
      <w:r w:rsidRPr="00581869">
        <w:rPr>
          <w:b/>
          <w:u w:val="single"/>
          <w:lang w:val="en"/>
        </w:rPr>
        <w:t xml:space="preserve">List of </w:t>
      </w:r>
      <w:r w:rsidR="00DB6E11" w:rsidRPr="00581869">
        <w:rPr>
          <w:b/>
          <w:u w:val="single"/>
          <w:lang w:val="en"/>
        </w:rPr>
        <w:t xml:space="preserve">Revisions </w:t>
      </w:r>
      <w:r w:rsidR="00C06E6F" w:rsidRPr="00581869">
        <w:rPr>
          <w:b/>
          <w:u w:val="single"/>
          <w:lang w:val="en"/>
        </w:rPr>
        <w:t>in NAESB’s WGQ Version 3.0 Business</w:t>
      </w:r>
    </w:p>
    <w:p w14:paraId="36E9686D" w14:textId="0CD96563" w:rsidR="00150A29" w:rsidRPr="00581869" w:rsidRDefault="00C06E6F" w:rsidP="00365F9F">
      <w:pPr>
        <w:widowControl/>
        <w:autoSpaceDE/>
        <w:autoSpaceDN/>
        <w:adjustRightInd/>
        <w:jc w:val="center"/>
        <w:rPr>
          <w:lang w:val="en"/>
        </w:rPr>
      </w:pPr>
      <w:r w:rsidRPr="00581869">
        <w:rPr>
          <w:b/>
          <w:u w:val="single"/>
          <w:lang w:val="en"/>
        </w:rPr>
        <w:t xml:space="preserve">Practice Standards </w:t>
      </w:r>
      <w:r w:rsidR="00DB6E11" w:rsidRPr="00581869">
        <w:rPr>
          <w:b/>
          <w:u w:val="single"/>
          <w:lang w:val="en"/>
        </w:rPr>
        <w:t xml:space="preserve">to </w:t>
      </w:r>
      <w:r w:rsidRPr="00581869">
        <w:rPr>
          <w:b/>
          <w:u w:val="single"/>
          <w:lang w:val="en"/>
        </w:rPr>
        <w:t xml:space="preserve">its </w:t>
      </w:r>
      <w:r w:rsidR="00DB6E11" w:rsidRPr="00581869">
        <w:rPr>
          <w:b/>
          <w:u w:val="single"/>
          <w:lang w:val="en"/>
        </w:rPr>
        <w:t xml:space="preserve">Prior </w:t>
      </w:r>
      <w:r w:rsidR="00150A29" w:rsidRPr="00581869">
        <w:rPr>
          <w:b/>
          <w:u w:val="single"/>
          <w:lang w:val="en"/>
        </w:rPr>
        <w:t>Business Practice Standards</w:t>
      </w:r>
    </w:p>
    <w:p w14:paraId="54236CDB" w14:textId="77777777" w:rsidR="00DB6E11" w:rsidRPr="00581869" w:rsidRDefault="00DB6E11">
      <w:pPr>
        <w:widowControl/>
        <w:autoSpaceDE/>
        <w:autoSpaceDN/>
        <w:adjustRightInd/>
        <w:rPr>
          <w:lang w:val="en"/>
        </w:rPr>
      </w:pPr>
    </w:p>
    <w:p w14:paraId="15F7578E" w14:textId="77777777" w:rsidR="00DB6E11" w:rsidRPr="00581869" w:rsidRDefault="00DB6E11" w:rsidP="005F33CB">
      <w:pPr>
        <w:widowControl/>
        <w:autoSpaceDE/>
        <w:autoSpaceDN/>
        <w:adjustRightInd/>
        <w:spacing w:line="480" w:lineRule="auto"/>
        <w:ind w:firstLine="720"/>
      </w:pPr>
      <w:r w:rsidRPr="00581869">
        <w:t xml:space="preserve">Version 3.0 </w:t>
      </w:r>
      <w:r w:rsidR="00FC4ABF" w:rsidRPr="00581869">
        <w:t xml:space="preserve">makes </w:t>
      </w:r>
      <w:r w:rsidRPr="00581869">
        <w:t xml:space="preserve">the following changes to </w:t>
      </w:r>
      <w:r w:rsidR="00FC4ABF" w:rsidRPr="00581869">
        <w:t xml:space="preserve">the </w:t>
      </w:r>
      <w:r w:rsidRPr="00581869">
        <w:t>Version 2.1 Standards:</w:t>
      </w:r>
    </w:p>
    <w:p w14:paraId="5EEA260C" w14:textId="540323A6" w:rsidR="00DB6E11" w:rsidRPr="00581869" w:rsidRDefault="00FC4ABF" w:rsidP="00DB6E11">
      <w:pPr>
        <w:widowControl/>
        <w:numPr>
          <w:ilvl w:val="0"/>
          <w:numId w:val="14"/>
        </w:numPr>
        <w:autoSpaceDE/>
        <w:autoSpaceDN/>
        <w:adjustRightInd/>
      </w:pPr>
      <w:r w:rsidRPr="00581869">
        <w:t>Revises</w:t>
      </w:r>
      <w:r w:rsidR="00DB6E11" w:rsidRPr="00581869">
        <w:t xml:space="preserve"> Standards 0.3.28, 1.1.3, 1.3.1, 1.3.2 through 1.3.5, 1.3.7 through 1.3.9, 1.3.11, 1.3.13 through 1.3.15, 1.3.22, 1.3.27, 1.3.33, 1.3.41, 1.3.42, 1.3.51, 1.3.80, 2.3.5, 2.3.9, 2.3.14, 2.3.15, 2.3.21, 2.3.26, 2.3.40, 2.3.46, 2.3.47, 3.3.3, 3.3.7, 3.3.14, 3.3.15, 4.3.2, 4.3.3, 4.3.16, 4.3.23, 4.3.35, 4.3.45, 4.3.46, 4.3.54, 4.3.90, 5.3.2, 5.3.32, 5.3.44, 5.3.45, 5.3.48, 5.3.49, 5.3.53, 5.3.54, 5.3.56; Datasets 0.4.1, 0.4.2, 0.4.4, 1.4.1 through 1.4.7, 2.4.1 through 2.4.11, 2.4.17, 2.4.18, 3.4.1 through 3.4.4, 5.4.14 through 5.4.17, 5.4.20 through 5.4.27; Principles 1.1.15, 1.1.18, 2.1.5; and Definitions 1.2.2, 1.2.4, 2.2.5.</w:t>
      </w:r>
    </w:p>
    <w:p w14:paraId="1C7E8077" w14:textId="77777777" w:rsidR="00DB6E11" w:rsidRPr="00581869" w:rsidRDefault="00DB6E11" w:rsidP="005F33CB">
      <w:pPr>
        <w:widowControl/>
        <w:autoSpaceDE/>
        <w:autoSpaceDN/>
        <w:adjustRightInd/>
        <w:ind w:left="1080"/>
      </w:pPr>
    </w:p>
    <w:p w14:paraId="57C283C8" w14:textId="177B7C3C" w:rsidR="00DB6E11" w:rsidRPr="00581869" w:rsidRDefault="00FC4ABF" w:rsidP="00DB6E11">
      <w:pPr>
        <w:widowControl/>
        <w:numPr>
          <w:ilvl w:val="0"/>
          <w:numId w:val="14"/>
        </w:numPr>
        <w:autoSpaceDE/>
        <w:autoSpaceDN/>
        <w:adjustRightInd/>
      </w:pPr>
      <w:r w:rsidRPr="00581869">
        <w:t>Adds</w:t>
      </w:r>
      <w:r w:rsidR="00DB6E11" w:rsidRPr="00581869">
        <w:t xml:space="preserve"> Standards 0.2.5, 4.3.105, 5.3.73.</w:t>
      </w:r>
    </w:p>
    <w:p w14:paraId="42FC8582" w14:textId="77777777" w:rsidR="00DB6E11" w:rsidRPr="00581869" w:rsidRDefault="00DB6E11" w:rsidP="005F33CB">
      <w:pPr>
        <w:pStyle w:val="ListParagraph"/>
      </w:pPr>
    </w:p>
    <w:p w14:paraId="5C467F4C" w14:textId="7759D6F8" w:rsidR="00DB6E11" w:rsidRPr="00581869" w:rsidRDefault="00FC4ABF" w:rsidP="00DB6E11">
      <w:pPr>
        <w:widowControl/>
        <w:numPr>
          <w:ilvl w:val="0"/>
          <w:numId w:val="14"/>
        </w:numPr>
        <w:autoSpaceDE/>
        <w:autoSpaceDN/>
        <w:adjustRightInd/>
      </w:pPr>
      <w:r w:rsidRPr="00581869">
        <w:t>Deletes</w:t>
      </w:r>
      <w:r w:rsidR="00DB6E11" w:rsidRPr="00581869">
        <w:t xml:space="preserve"> Standards 1.3.52, 2.3.49, 3.3.2, 3.3.20, 4.3.4, 4.3.39, 4.3.65, 5.3.27, 10.3.2; Datasets 2.4.12 through 2.4.16; and Principles 1.1.5, 1.1.7, 1.1.9, 1.1.17, 4.1.31.</w:t>
      </w:r>
    </w:p>
    <w:p w14:paraId="06710E5D" w14:textId="77777777" w:rsidR="00DB6E11" w:rsidRPr="00581869" w:rsidRDefault="00DB6E11" w:rsidP="005F33CB">
      <w:pPr>
        <w:pStyle w:val="ListParagraph"/>
      </w:pPr>
    </w:p>
    <w:p w14:paraId="178E792D" w14:textId="7AC0F362" w:rsidR="00DB6E11" w:rsidRPr="00581869" w:rsidRDefault="00DB6E11" w:rsidP="005F33CB">
      <w:pPr>
        <w:widowControl/>
        <w:autoSpaceDE/>
        <w:autoSpaceDN/>
        <w:adjustRightInd/>
        <w:spacing w:line="480" w:lineRule="auto"/>
        <w:ind w:firstLine="720"/>
      </w:pPr>
      <w:r w:rsidRPr="00581869">
        <w:t xml:space="preserve">Version 2.1 made the following changes to </w:t>
      </w:r>
      <w:r w:rsidR="00FC4ABF" w:rsidRPr="00581869">
        <w:t>the</w:t>
      </w:r>
      <w:r w:rsidRPr="00581869">
        <w:t xml:space="preserve"> Version 2.0 Standards: </w:t>
      </w:r>
    </w:p>
    <w:p w14:paraId="4FCB82C5" w14:textId="5745F84D" w:rsidR="00DB6E11" w:rsidRPr="00581869" w:rsidRDefault="00822B85" w:rsidP="00DB6E11">
      <w:pPr>
        <w:widowControl/>
        <w:numPr>
          <w:ilvl w:val="1"/>
          <w:numId w:val="1"/>
        </w:numPr>
        <w:autoSpaceDE/>
        <w:autoSpaceDN/>
        <w:adjustRightInd/>
      </w:pPr>
      <w:r w:rsidRPr="00581869">
        <w:t>R</w:t>
      </w:r>
      <w:r w:rsidR="00DB6E11" w:rsidRPr="00581869">
        <w:t>evise</w:t>
      </w:r>
      <w:r w:rsidRPr="00581869">
        <w:t>s</w:t>
      </w:r>
      <w:r w:rsidR="00DB6E11" w:rsidRPr="00581869">
        <w:t xml:space="preserve"> Standards 0.3.18, 0.3.20, 0.3.21, 1.3.27, 1.3.55, 1.3.73, 2.3.32, 4.3.23, 4.3.28, 4.3.35, 4.3.52, 4.3.67, 5.3.2, 5.3.4, 5.3.26, 5.3.38, 5.3.70, 5.3.71, 6.5.2, 7.3.16, 7.3.27; Datasets 0.4.1 through 0.4.3, 1.4.1 through 1.4.7, 2.4.1 through 2.4.7, 2.4.9 through 2.4.11, 2.4.13 through 2.4.18, 3.4.1 through 3.4.4, 5.4.14 through 5.4.17, 5.4.20 through 5.4.22, 5.4.24 through 5.4.26; and Definitions 10.2.8, 10.2.30.</w:t>
      </w:r>
    </w:p>
    <w:p w14:paraId="4D4689B5" w14:textId="77777777" w:rsidR="00DB6E11" w:rsidRPr="00581869" w:rsidRDefault="00DB6E11" w:rsidP="005F33CB">
      <w:pPr>
        <w:widowControl/>
        <w:autoSpaceDE/>
        <w:autoSpaceDN/>
        <w:adjustRightInd/>
        <w:ind w:left="1440"/>
      </w:pPr>
    </w:p>
    <w:p w14:paraId="4D64AE16" w14:textId="32538BFF" w:rsidR="00DB6E11" w:rsidRPr="00581869" w:rsidRDefault="00822B85" w:rsidP="00DB6E11">
      <w:pPr>
        <w:widowControl/>
        <w:numPr>
          <w:ilvl w:val="1"/>
          <w:numId w:val="1"/>
        </w:numPr>
        <w:autoSpaceDE/>
        <w:autoSpaceDN/>
        <w:adjustRightInd/>
      </w:pPr>
      <w:r w:rsidRPr="00581869">
        <w:t>Adds</w:t>
      </w:r>
      <w:r w:rsidR="00DB6E11" w:rsidRPr="00581869">
        <w:t xml:space="preserve"> Standards 0.3.23 through 0.3.29, 1.3.58, 1.3.73, 1.3.81, 2.3.66, 4.3.103, 4.3.104; and Dataset 0.4.4.</w:t>
      </w:r>
    </w:p>
    <w:p w14:paraId="0B916F39" w14:textId="77777777" w:rsidR="00A56F69" w:rsidRPr="00581869" w:rsidRDefault="00A56F69" w:rsidP="00A56F69">
      <w:pPr>
        <w:pStyle w:val="ListParagraph"/>
      </w:pPr>
    </w:p>
    <w:p w14:paraId="6E13E380" w14:textId="02174EAB" w:rsidR="00DB6E11" w:rsidRPr="00581869" w:rsidRDefault="00A56F69" w:rsidP="00A56F69">
      <w:pPr>
        <w:widowControl/>
        <w:numPr>
          <w:ilvl w:val="1"/>
          <w:numId w:val="1"/>
        </w:numPr>
        <w:autoSpaceDE/>
        <w:autoSpaceDN/>
        <w:adjustRightInd/>
        <w:rPr>
          <w:lang w:val="en"/>
        </w:rPr>
      </w:pPr>
      <w:r w:rsidRPr="00581869">
        <w:t xml:space="preserve"> </w:t>
      </w:r>
      <w:r w:rsidR="00822B85" w:rsidRPr="00581869">
        <w:t>Deletes</w:t>
      </w:r>
      <w:r w:rsidR="00DB6E11" w:rsidRPr="00581869">
        <w:t xml:space="preserve"> Standards 0.3.19, 1.3.47, 1.3.49, 1.3.50, 1.3.54, 1.3.57, 1.3.59 through 1.3.61, 1.3.63, 2.3.33 through 2.3.35, 3.3.1, 4.3.39, 4.3.51, 4.3.56, 4.3.59, 4.3.73, 4.3.74, 4.3.76</w:t>
      </w:r>
      <w:r w:rsidR="005F33CB" w:rsidRPr="00581869">
        <w:t>.</w:t>
      </w:r>
    </w:p>
    <w:sectPr w:rsidR="00DB6E11" w:rsidRPr="00581869" w:rsidSect="00EB1FC7">
      <w:pgSz w:w="12240" w:h="15840"/>
      <w:pgMar w:top="1440" w:right="1440" w:bottom="1440" w:left="1440" w:header="720" w:footer="1440" w:gutter="0"/>
      <w:pgNumType w:fmt="numberInDash" w:start="1"/>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385DB" w14:textId="77777777" w:rsidR="00937FB2" w:rsidRDefault="00937FB2">
      <w:r>
        <w:separator/>
      </w:r>
    </w:p>
  </w:endnote>
  <w:endnote w:type="continuationSeparator" w:id="0">
    <w:p w14:paraId="27B4AAEE" w14:textId="77777777" w:rsidR="00937FB2" w:rsidRDefault="00937FB2">
      <w:r>
        <w:continuationSeparator/>
      </w:r>
    </w:p>
  </w:endnote>
  <w:endnote w:type="continuationNotice" w:id="1">
    <w:p w14:paraId="1307F105" w14:textId="77777777" w:rsidR="00937FB2" w:rsidRDefault="00937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B207B" w14:textId="77777777" w:rsidR="00937FB2" w:rsidRDefault="00937FB2">
      <w:r>
        <w:separator/>
      </w:r>
    </w:p>
  </w:footnote>
  <w:footnote w:type="continuationSeparator" w:id="0">
    <w:p w14:paraId="50054202" w14:textId="77777777" w:rsidR="00937FB2" w:rsidRDefault="00937FB2">
      <w:r>
        <w:continuationSeparator/>
      </w:r>
    </w:p>
  </w:footnote>
  <w:footnote w:type="continuationNotice" w:id="1">
    <w:p w14:paraId="5839D765" w14:textId="77777777" w:rsidR="00937FB2" w:rsidRDefault="00937FB2" w:rsidP="00EB1FC7">
      <w:pPr>
        <w:pStyle w:val="Footer"/>
        <w:rPr>
          <w:i/>
        </w:rPr>
      </w:pPr>
    </w:p>
    <w:p w14:paraId="3E092E02" w14:textId="77777777" w:rsidR="00937FB2" w:rsidRPr="001A426E" w:rsidRDefault="00937FB2" w:rsidP="001A426E">
      <w:pPr>
        <w:pStyle w:val="Footer"/>
        <w:jc w:val="right"/>
      </w:pPr>
      <w:r>
        <w:t>(continued</w:t>
      </w:r>
      <w:r w:rsidRPr="001A426E">
        <w:t>...)</w:t>
      </w:r>
    </w:p>
  </w:footnote>
  <w:footnote w:id="2">
    <w:p w14:paraId="11B22CAF" w14:textId="057BF782" w:rsidR="0084314C" w:rsidRDefault="0084314C" w:rsidP="00806DB5">
      <w:pPr>
        <w:pStyle w:val="FootnoteText"/>
      </w:pPr>
      <w:r w:rsidRPr="00581869">
        <w:rPr>
          <w:rStyle w:val="FootnoteReference"/>
        </w:rPr>
        <w:footnoteRef/>
      </w:r>
      <w:r>
        <w:t xml:space="preserve"> </w:t>
      </w:r>
      <w:r w:rsidRPr="006F5A2A">
        <w:rPr>
          <w:i/>
        </w:rPr>
        <w:t>Coordination of the Scheduling Processes of Interstate Natural Gas Pipelines and Public Utilities</w:t>
      </w:r>
      <w:r>
        <w:t>, Order No. 809, Final Rule, 80 FR 23197 (Apr. 24, 2015), FERC Stats. &amp; Regs. ¶ 31,368.</w:t>
      </w:r>
    </w:p>
  </w:footnote>
  <w:footnote w:id="3">
    <w:p w14:paraId="7B68EB4B" w14:textId="6CEA7C3A" w:rsidR="0084314C" w:rsidRDefault="0084314C">
      <w:pPr>
        <w:pStyle w:val="FootnoteText"/>
      </w:pPr>
      <w:r w:rsidRPr="00581869">
        <w:rPr>
          <w:rStyle w:val="FootnoteReference"/>
        </w:rPr>
        <w:footnoteRef/>
      </w:r>
      <w:r>
        <w:t xml:space="preserve"> </w:t>
      </w:r>
      <w:r w:rsidRPr="00110725">
        <w:t xml:space="preserve">This series of orders began with the Commission’s issuance of </w:t>
      </w:r>
      <w:r w:rsidRPr="00110725">
        <w:rPr>
          <w:i/>
        </w:rPr>
        <w:t>Standards for Business Practices of Interstate Natural Gas Pipelines</w:t>
      </w:r>
      <w:r w:rsidRPr="00110725">
        <w:t xml:space="preserve">, Order No. 587, FERC Stats. </w:t>
      </w:r>
      <w:r w:rsidR="000A6C3B">
        <w:br/>
      </w:r>
      <w:r w:rsidRPr="00110725">
        <w:t>&amp; Regs. ¶</w:t>
      </w:r>
      <w:r>
        <w:t> </w:t>
      </w:r>
      <w:r w:rsidRPr="00110725">
        <w:t>31,038 (1996).</w:t>
      </w:r>
    </w:p>
  </w:footnote>
  <w:footnote w:id="4">
    <w:p w14:paraId="0317A585" w14:textId="46DE2999" w:rsidR="0084314C" w:rsidRDefault="0084314C">
      <w:pPr>
        <w:pStyle w:val="FootnoteText"/>
      </w:pPr>
      <w:r w:rsidRPr="00581869">
        <w:rPr>
          <w:rStyle w:val="FootnoteReference"/>
        </w:rPr>
        <w:footnoteRef/>
      </w:r>
      <w:r>
        <w:t xml:space="preserve"> </w:t>
      </w:r>
      <w:r w:rsidRPr="0010758E">
        <w:t>NAESB Version 2.1 Report dated July 23, 2013 (NAESB Version 2.1 Report).</w:t>
      </w:r>
      <w:r>
        <w:t xml:space="preserve">  As explained in the </w:t>
      </w:r>
      <w:r w:rsidRPr="0010758E">
        <w:t xml:space="preserve">NAESB Version 2.1 </w:t>
      </w:r>
      <w:r>
        <w:t xml:space="preserve">Report, this request was received by NAESB in November 2010 and was included by the NAESB Board of Directors in the 2011 WGQ Annual Plan as part of Item No. 7 and as part of the 2012 WGQ Annual Plan Item No. 8.  </w:t>
      </w:r>
      <w:r w:rsidRPr="00393FAA">
        <w:rPr>
          <w:i/>
        </w:rPr>
        <w:t>See</w:t>
      </w:r>
      <w:r>
        <w:t xml:space="preserve"> </w:t>
      </w:r>
      <w:r w:rsidRPr="0010758E">
        <w:t xml:space="preserve">NAESB Version 2.1 </w:t>
      </w:r>
      <w:r>
        <w:t>Report at 3.  The proposed modifications made in response to this request were developed by the WGQ’s Business Practices Subcommittee and jointly by the Information Requirements/Technical Subcommittees.</w:t>
      </w:r>
    </w:p>
  </w:footnote>
  <w:footnote w:id="5">
    <w:p w14:paraId="3D3589CD" w14:textId="0442D4F7" w:rsidR="0084314C" w:rsidRDefault="0084314C">
      <w:pPr>
        <w:pStyle w:val="FootnoteText"/>
      </w:pPr>
      <w:r w:rsidRPr="00581869">
        <w:rPr>
          <w:rStyle w:val="FootnoteReference"/>
        </w:rPr>
        <w:footnoteRef/>
      </w:r>
      <w:r>
        <w:t xml:space="preserve"> NAESB Version 2.1 Report at 2.</w:t>
      </w:r>
    </w:p>
  </w:footnote>
  <w:footnote w:id="6">
    <w:p w14:paraId="49F456F0" w14:textId="77777777" w:rsidR="0084314C" w:rsidRDefault="0084314C">
      <w:pPr>
        <w:pStyle w:val="FootnoteText"/>
      </w:pPr>
      <w:r w:rsidRPr="00581869">
        <w:rPr>
          <w:rStyle w:val="FootnoteReference"/>
        </w:rPr>
        <w:footnoteRef/>
      </w:r>
      <w:r>
        <w:t xml:space="preserve"> </w:t>
      </w:r>
      <w:r w:rsidRPr="00404C1B">
        <w:rPr>
          <w:i/>
        </w:rPr>
        <w:t>Id.</w:t>
      </w:r>
      <w:r>
        <w:t xml:space="preserve"> at 4.</w:t>
      </w:r>
    </w:p>
  </w:footnote>
  <w:footnote w:id="7">
    <w:p w14:paraId="3DB82162" w14:textId="77777777" w:rsidR="0084314C" w:rsidRDefault="0084314C">
      <w:pPr>
        <w:pStyle w:val="FootnoteText"/>
      </w:pPr>
      <w:r w:rsidRPr="00581869">
        <w:rPr>
          <w:rStyle w:val="FootnoteReference"/>
        </w:rPr>
        <w:footnoteRef/>
      </w:r>
      <w:r>
        <w:t xml:space="preserve"> </w:t>
      </w:r>
      <w:r w:rsidRPr="00395B29">
        <w:rPr>
          <w:i/>
        </w:rPr>
        <w:t>Standards for Business Practices of Interstate Natural Gas Pipelines</w:t>
      </w:r>
      <w:r w:rsidRPr="00395B29">
        <w:t>, Final Rule, Order No. 587-V, FERC Stats. &amp; Regs. ¶ </w:t>
      </w:r>
      <w:r>
        <w:t>31</w:t>
      </w:r>
      <w:r w:rsidRPr="00395B29">
        <w:t>,3</w:t>
      </w:r>
      <w:r>
        <w:t>32</w:t>
      </w:r>
      <w:r w:rsidRPr="00395B29">
        <w:t xml:space="preserve"> (2012) (Order No. 587-V).</w:t>
      </w:r>
    </w:p>
  </w:footnote>
  <w:footnote w:id="8">
    <w:p w14:paraId="5BE59187" w14:textId="77777777" w:rsidR="0084314C" w:rsidRDefault="0084314C">
      <w:pPr>
        <w:pStyle w:val="FootnoteText"/>
      </w:pPr>
      <w:r w:rsidRPr="00581869">
        <w:rPr>
          <w:rStyle w:val="FootnoteReference"/>
        </w:rPr>
        <w:footnoteRef/>
      </w:r>
      <w:r w:rsidRPr="00404C1B">
        <w:rPr>
          <w:i/>
        </w:rPr>
        <w:t xml:space="preserve"> Id</w:t>
      </w:r>
      <w:r>
        <w:t>. at 2-3.</w:t>
      </w:r>
    </w:p>
  </w:footnote>
  <w:footnote w:id="9">
    <w:p w14:paraId="110CDB96" w14:textId="77777777" w:rsidR="0084314C" w:rsidRDefault="0084314C">
      <w:pPr>
        <w:pStyle w:val="FootnoteText"/>
      </w:pPr>
      <w:r w:rsidRPr="00581869">
        <w:rPr>
          <w:rStyle w:val="FootnoteReference"/>
        </w:rPr>
        <w:footnoteRef/>
      </w:r>
      <w:r>
        <w:t xml:space="preserve"> </w:t>
      </w:r>
      <w:r w:rsidRPr="00404C1B">
        <w:rPr>
          <w:i/>
        </w:rPr>
        <w:t>Id</w:t>
      </w:r>
      <w:r>
        <w:t>. at 3.</w:t>
      </w:r>
    </w:p>
  </w:footnote>
  <w:footnote w:id="10">
    <w:p w14:paraId="3550C06A" w14:textId="77777777" w:rsidR="0084314C" w:rsidRDefault="0084314C" w:rsidP="00795132">
      <w:pPr>
        <w:pStyle w:val="FootnoteText"/>
      </w:pPr>
      <w:r w:rsidRPr="00581869">
        <w:rPr>
          <w:rStyle w:val="FootnoteReference"/>
        </w:rPr>
        <w:footnoteRef/>
      </w:r>
      <w:r>
        <w:t xml:space="preserve"> </w:t>
      </w:r>
      <w:r w:rsidRPr="00795132">
        <w:rPr>
          <w:i/>
        </w:rPr>
        <w:t>See, e.g.</w:t>
      </w:r>
      <w:r w:rsidRPr="00CE26D6">
        <w:t xml:space="preserve">, </w:t>
      </w:r>
      <w:r>
        <w:t>Order No. 587-V, FERC Stats. &amp; Regs. ¶ 31,332 at n.11.</w:t>
      </w:r>
    </w:p>
  </w:footnote>
  <w:footnote w:id="11">
    <w:p w14:paraId="75F281D0" w14:textId="77777777" w:rsidR="0084314C" w:rsidRPr="00404C1B" w:rsidRDefault="0084314C">
      <w:pPr>
        <w:pStyle w:val="FootnoteText"/>
      </w:pPr>
      <w:r w:rsidRPr="00581869">
        <w:rPr>
          <w:rStyle w:val="FootnoteReference"/>
        </w:rPr>
        <w:footnoteRef/>
      </w:r>
      <w:r>
        <w:t xml:space="preserve"> </w:t>
      </w:r>
      <w:r w:rsidRPr="00795132">
        <w:t xml:space="preserve">NAESB Version 2.1 </w:t>
      </w:r>
      <w:r>
        <w:t>R</w:t>
      </w:r>
      <w:r w:rsidRPr="00795132">
        <w:t>ep</w:t>
      </w:r>
      <w:r>
        <w:t>o</w:t>
      </w:r>
      <w:r w:rsidRPr="00795132">
        <w:t xml:space="preserve">rt at </w:t>
      </w:r>
      <w:r>
        <w:t>18</w:t>
      </w:r>
      <w:r w:rsidRPr="00795132">
        <w:t>.</w:t>
      </w:r>
    </w:p>
  </w:footnote>
  <w:footnote w:id="12">
    <w:p w14:paraId="736B0A8F" w14:textId="77777777" w:rsidR="0084314C" w:rsidRDefault="0084314C" w:rsidP="00E21F46">
      <w:pPr>
        <w:pStyle w:val="FootnoteText"/>
      </w:pPr>
      <w:r w:rsidRPr="00581869">
        <w:rPr>
          <w:rStyle w:val="FootnoteReference"/>
        </w:rPr>
        <w:footnoteRef/>
      </w:r>
      <w:r>
        <w:t xml:space="preserve"> </w:t>
      </w:r>
      <w:r w:rsidRPr="004459B6">
        <w:rPr>
          <w:i/>
        </w:rPr>
        <w:t>Id.</w:t>
      </w:r>
      <w:r>
        <w:t xml:space="preserve"> at 17-18</w:t>
      </w:r>
      <w:r w:rsidRPr="00E21F46">
        <w:t>.</w:t>
      </w:r>
    </w:p>
  </w:footnote>
  <w:footnote w:id="13">
    <w:p w14:paraId="6C8115D8" w14:textId="77777777" w:rsidR="0084314C" w:rsidRDefault="0084314C" w:rsidP="00E21F46">
      <w:pPr>
        <w:pStyle w:val="FootnoteText"/>
      </w:pPr>
      <w:r w:rsidRPr="00581869">
        <w:rPr>
          <w:rStyle w:val="FootnoteReference"/>
        </w:rPr>
        <w:footnoteRef/>
      </w:r>
      <w:r>
        <w:t xml:space="preserve"> </w:t>
      </w:r>
      <w:r w:rsidRPr="00E21F46">
        <w:t>NAESB Version 3.0 Report dated Nov. 14, 2014 (NAESB Version 3.0 Report) at 2.</w:t>
      </w:r>
    </w:p>
  </w:footnote>
  <w:footnote w:id="14">
    <w:p w14:paraId="2F2FF016" w14:textId="77777777" w:rsidR="0084314C" w:rsidRDefault="0084314C">
      <w:pPr>
        <w:pStyle w:val="FootnoteText"/>
      </w:pPr>
      <w:r w:rsidRPr="00581869">
        <w:rPr>
          <w:rStyle w:val="FootnoteReference"/>
        </w:rPr>
        <w:footnoteRef/>
      </w:r>
      <w:r>
        <w:t xml:space="preserve"> </w:t>
      </w:r>
      <w:r w:rsidRPr="00E21F46">
        <w:rPr>
          <w:i/>
        </w:rPr>
        <w:t>See supra</w:t>
      </w:r>
      <w:r>
        <w:t xml:space="preserve"> n.1.</w:t>
      </w:r>
    </w:p>
  </w:footnote>
  <w:footnote w:id="15">
    <w:p w14:paraId="72928539" w14:textId="4F822BBC" w:rsidR="0084314C" w:rsidRPr="00310DCC" w:rsidRDefault="0084314C" w:rsidP="00182BF3">
      <w:pPr>
        <w:pStyle w:val="FootnoteText"/>
      </w:pPr>
      <w:r w:rsidRPr="00581869">
        <w:rPr>
          <w:rStyle w:val="FootnoteReference"/>
        </w:rPr>
        <w:footnoteRef/>
      </w:r>
      <w:r>
        <w:t xml:space="preserve"> </w:t>
      </w:r>
      <w:r w:rsidRPr="00010561">
        <w:rPr>
          <w:i/>
        </w:rPr>
        <w:t>Posting of Offers to Purchase Capacity</w:t>
      </w:r>
      <w:r>
        <w:t xml:space="preserve">, </w:t>
      </w:r>
      <w:r w:rsidRPr="00EA3921">
        <w:t>146 FERC ¶ 61,203, at P 6 (2014)</w:t>
      </w:r>
      <w:r w:rsidRPr="00E7558F">
        <w:rPr>
          <w:szCs w:val="24"/>
        </w:rPr>
        <w:t xml:space="preserve"> </w:t>
      </w:r>
      <w:r w:rsidRPr="00EA3921">
        <w:t>(Show Cause Order)</w:t>
      </w:r>
      <w:r>
        <w:t xml:space="preserve">; </w:t>
      </w:r>
      <w:r w:rsidRPr="00043E6A">
        <w:rPr>
          <w:i/>
        </w:rPr>
        <w:t>B-R Pipeline Co</w:t>
      </w:r>
      <w:r w:rsidRPr="00043E6A">
        <w:t>.</w:t>
      </w:r>
      <w:r>
        <w:t>,</w:t>
      </w:r>
      <w:r w:rsidRPr="00043E6A">
        <w:t xml:space="preserve"> 149 FERC </w:t>
      </w:r>
      <w:r>
        <w:t xml:space="preserve">¶ </w:t>
      </w:r>
      <w:r w:rsidRPr="00043E6A">
        <w:t>61,031 (2014)</w:t>
      </w:r>
      <w:r>
        <w:t xml:space="preserve"> (order accepting compliance filings)</w:t>
      </w:r>
      <w:r w:rsidRPr="00043E6A">
        <w:t>.</w:t>
      </w:r>
    </w:p>
  </w:footnote>
  <w:footnote w:id="16">
    <w:p w14:paraId="7A0DD922" w14:textId="77777777" w:rsidR="0084314C" w:rsidRDefault="0084314C" w:rsidP="00DC4E34">
      <w:pPr>
        <w:pStyle w:val="FootnoteText"/>
      </w:pPr>
      <w:r w:rsidRPr="00581869">
        <w:rPr>
          <w:rStyle w:val="FootnoteReference"/>
        </w:rPr>
        <w:footnoteRef/>
      </w:r>
      <w:r>
        <w:t xml:space="preserve"> Order No. 587-V, FERC Stats. &amp; Regs. ¶ 31,332 at P 8.</w:t>
      </w:r>
    </w:p>
  </w:footnote>
  <w:footnote w:id="17">
    <w:p w14:paraId="5D1A5621" w14:textId="395EC613" w:rsidR="0084314C" w:rsidRDefault="0084314C" w:rsidP="001067F2">
      <w:pPr>
        <w:pStyle w:val="FootnoteText"/>
      </w:pPr>
      <w:r w:rsidRPr="00581869">
        <w:rPr>
          <w:rStyle w:val="FootnoteReference"/>
        </w:rPr>
        <w:footnoteRef/>
      </w:r>
      <w:r>
        <w:t xml:space="preserve"> The NAESB Version 3.0 Report also provides information on other NAESB activities and tools unrelated to standards development.</w:t>
      </w:r>
    </w:p>
  </w:footnote>
  <w:footnote w:id="18">
    <w:p w14:paraId="262DFB7C" w14:textId="03E19176" w:rsidR="0084314C" w:rsidRDefault="0084314C">
      <w:pPr>
        <w:pStyle w:val="FootnoteText"/>
      </w:pPr>
      <w:r>
        <w:rPr>
          <w:rStyle w:val="FootnoteReference"/>
        </w:rPr>
        <w:footnoteRef/>
      </w:r>
      <w:r>
        <w:t xml:space="preserve"> NAESB adopted two minor corrections, MC15009 and MC15012, approved on April 30, 2015 and May 29, 2015, respectively.</w:t>
      </w:r>
    </w:p>
  </w:footnote>
  <w:footnote w:id="19">
    <w:p w14:paraId="56F8F4FD" w14:textId="6EF1016B" w:rsidR="0084314C" w:rsidRDefault="0084314C">
      <w:pPr>
        <w:pStyle w:val="FootnoteText"/>
      </w:pPr>
      <w:r>
        <w:rPr>
          <w:rStyle w:val="FootnoteReference"/>
        </w:rPr>
        <w:footnoteRef/>
      </w:r>
      <w:r>
        <w:t xml:space="preserve"> Order No. 809, FERC Stats. &amp; Regs. ¶ 31,368 at P 171.</w:t>
      </w:r>
    </w:p>
  </w:footnote>
  <w:footnote w:id="20">
    <w:p w14:paraId="53B7D025" w14:textId="572540EB" w:rsidR="0084314C" w:rsidRPr="00636FD8" w:rsidRDefault="0084314C" w:rsidP="00365F9F">
      <w:pPr>
        <w:pStyle w:val="FootnoteText"/>
      </w:pPr>
      <w:r w:rsidRPr="00581869">
        <w:rPr>
          <w:rStyle w:val="FootnoteReference"/>
        </w:rPr>
        <w:footnoteRef/>
      </w:r>
      <w:r>
        <w:t xml:space="preserve"> A </w:t>
      </w:r>
      <w:r w:rsidRPr="00DB6E11">
        <w:rPr>
          <w:lang w:val="en"/>
        </w:rPr>
        <w:t xml:space="preserve">list of </w:t>
      </w:r>
      <w:r>
        <w:rPr>
          <w:lang w:val="en"/>
        </w:rPr>
        <w:t xml:space="preserve">the </w:t>
      </w:r>
      <w:r w:rsidRPr="00DB6E11">
        <w:rPr>
          <w:lang w:val="en"/>
        </w:rPr>
        <w:t xml:space="preserve">revisions </w:t>
      </w:r>
      <w:r>
        <w:rPr>
          <w:lang w:val="en"/>
        </w:rPr>
        <w:t xml:space="preserve">NAESB’s WGQ Version 3.0 Standards made </w:t>
      </w:r>
      <w:r w:rsidRPr="00DB6E11">
        <w:rPr>
          <w:lang w:val="en"/>
        </w:rPr>
        <w:t xml:space="preserve">to prior standards </w:t>
      </w:r>
      <w:r>
        <w:rPr>
          <w:lang w:val="en"/>
        </w:rPr>
        <w:t>is appended to this NOPR.</w:t>
      </w:r>
    </w:p>
  </w:footnote>
  <w:footnote w:id="21">
    <w:p w14:paraId="4DB8F79A" w14:textId="77777777" w:rsidR="0084314C" w:rsidRPr="00D15DE0" w:rsidRDefault="0084314C" w:rsidP="00B66993">
      <w:pPr>
        <w:pStyle w:val="FootnoteText"/>
      </w:pPr>
      <w:r w:rsidRPr="00581869">
        <w:rPr>
          <w:rStyle w:val="FootnoteReference"/>
        </w:rPr>
        <w:footnoteRef/>
      </w:r>
      <w:r w:rsidRPr="00E3034B">
        <w:t xml:space="preserve"> </w:t>
      </w:r>
      <w:r>
        <w:t xml:space="preserve">In the discussion below we identify the NAESB WGQ Version 3.0 Standards that we propose </w:t>
      </w:r>
      <w:r w:rsidRPr="00077D3E">
        <w:rPr>
          <w:u w:val="single"/>
        </w:rPr>
        <w:t>not</w:t>
      </w:r>
      <w:r>
        <w:t xml:space="preserve"> to incorporate by reference.</w:t>
      </w:r>
    </w:p>
  </w:footnote>
  <w:footnote w:id="22">
    <w:p w14:paraId="4BFFB8D2" w14:textId="77777777" w:rsidR="0084314C" w:rsidRDefault="0084314C" w:rsidP="00B66993">
      <w:pPr>
        <w:pStyle w:val="FootnoteText"/>
      </w:pPr>
      <w:r w:rsidRPr="00581869">
        <w:rPr>
          <w:rStyle w:val="FootnoteReference"/>
        </w:rPr>
        <w:footnoteRef/>
      </w:r>
      <w:r>
        <w:t xml:space="preserve"> </w:t>
      </w:r>
      <w:r w:rsidRPr="00E3034B">
        <w:t>Th</w:t>
      </w:r>
      <w:r>
        <w:t xml:space="preserve">e NAESB </w:t>
      </w:r>
      <w:r w:rsidRPr="00E3034B">
        <w:t>process first requires a super-majority vote of 17 out of 25 members of the WGQ's Executive Committee with support from at least two members from each of the five industry segments – Distributors, End Users, Pipelines, Producers, and Services (including marketers and computer service providers).  For final approval, 67 percent of the WGQ's general membership voting must ratify the standards.</w:t>
      </w:r>
    </w:p>
  </w:footnote>
  <w:footnote w:id="23">
    <w:p w14:paraId="2C621D04" w14:textId="77777777" w:rsidR="0084314C" w:rsidRDefault="0084314C" w:rsidP="00B66993">
      <w:pPr>
        <w:pStyle w:val="FootnoteText"/>
      </w:pPr>
      <w:r w:rsidRPr="00581869">
        <w:rPr>
          <w:rStyle w:val="FootnoteReference"/>
        </w:rPr>
        <w:footnoteRef/>
      </w:r>
      <w:r>
        <w:t xml:space="preserve"> </w:t>
      </w:r>
      <w:r w:rsidRPr="00E3034B">
        <w:t>Pub</w:t>
      </w:r>
      <w:r>
        <w:t>.</w:t>
      </w:r>
      <w:r w:rsidRPr="00E3034B">
        <w:t xml:space="preserve"> L. No. 104</w:t>
      </w:r>
      <w:r w:rsidRPr="00E3034B">
        <w:noBreakHyphen/>
        <w:t>113, section 12(d), 110 Stat. 775 (1996), 15 U.S.C. 272</w:t>
      </w:r>
      <w:r>
        <w:t>,</w:t>
      </w:r>
      <w:r w:rsidRPr="00E3034B">
        <w:t xml:space="preserve"> note (1997).</w:t>
      </w:r>
    </w:p>
  </w:footnote>
  <w:footnote w:id="24">
    <w:p w14:paraId="5AC398A6" w14:textId="77777777" w:rsidR="0084314C" w:rsidRPr="00434BFC" w:rsidRDefault="0084314C" w:rsidP="00095B81">
      <w:pPr>
        <w:pStyle w:val="FootnoteText"/>
      </w:pPr>
      <w:r w:rsidRPr="00581869">
        <w:rPr>
          <w:rStyle w:val="FootnoteReference"/>
        </w:rPr>
        <w:footnoteRef/>
      </w:r>
      <w:r>
        <w:t xml:space="preserve"> </w:t>
      </w:r>
      <w:r w:rsidRPr="00C84F1B">
        <w:t>Show Cause Order</w:t>
      </w:r>
      <w:r>
        <w:t>, 146 FERC ¶ 61,203 at P 6.</w:t>
      </w:r>
    </w:p>
  </w:footnote>
  <w:footnote w:id="25">
    <w:p w14:paraId="1CC3FFEF" w14:textId="77777777" w:rsidR="0084314C" w:rsidRPr="00E2438A" w:rsidRDefault="0084314C" w:rsidP="00095B81">
      <w:pPr>
        <w:pStyle w:val="FootnoteText"/>
        <w:rPr>
          <w:szCs w:val="26"/>
        </w:rPr>
      </w:pPr>
      <w:r w:rsidRPr="00581869">
        <w:rPr>
          <w:rStyle w:val="FootnoteReference"/>
        </w:rPr>
        <w:footnoteRef/>
      </w:r>
      <w:r>
        <w:t xml:space="preserve"> 18 CFR </w:t>
      </w:r>
      <w:r w:rsidRPr="003444B9">
        <w:rPr>
          <w:szCs w:val="26"/>
        </w:rPr>
        <w:t>284.8(d)</w:t>
      </w:r>
      <w:r>
        <w:rPr>
          <w:szCs w:val="26"/>
        </w:rPr>
        <w:t>.  That section</w:t>
      </w:r>
      <w:r w:rsidRPr="003444B9">
        <w:rPr>
          <w:szCs w:val="26"/>
        </w:rPr>
        <w:t xml:space="preserve"> states that</w:t>
      </w:r>
      <w:r>
        <w:rPr>
          <w:color w:val="FF0000"/>
          <w:szCs w:val="26"/>
        </w:rPr>
        <w:t xml:space="preserve"> </w:t>
      </w:r>
      <w:r w:rsidRPr="00E2438A">
        <w:rPr>
          <w:szCs w:val="26"/>
        </w:rPr>
        <w:t>“</w:t>
      </w:r>
      <w:r>
        <w:rPr>
          <w:szCs w:val="26"/>
        </w:rPr>
        <w:t xml:space="preserve">[t]he pipeline must </w:t>
      </w:r>
      <w:r w:rsidRPr="00E2438A">
        <w:rPr>
          <w:szCs w:val="26"/>
        </w:rPr>
        <w:t>provide notice of offers to releas</w:t>
      </w:r>
      <w:r>
        <w:rPr>
          <w:szCs w:val="26"/>
        </w:rPr>
        <w:t xml:space="preserve">e or to purchase capacity, </w:t>
      </w:r>
      <w:r w:rsidRPr="00E2438A">
        <w:rPr>
          <w:szCs w:val="26"/>
        </w:rPr>
        <w:t>the term</w:t>
      </w:r>
      <w:r>
        <w:rPr>
          <w:szCs w:val="26"/>
        </w:rPr>
        <w:t>s and conditions of such offers</w:t>
      </w:r>
      <w:r w:rsidRPr="00E2438A">
        <w:rPr>
          <w:szCs w:val="26"/>
        </w:rPr>
        <w:t>,</w:t>
      </w:r>
      <w:r>
        <w:rPr>
          <w:szCs w:val="26"/>
        </w:rPr>
        <w:t xml:space="preserve"> and the name of any replacement shipper …, on an I</w:t>
      </w:r>
      <w:r w:rsidRPr="00E2438A">
        <w:rPr>
          <w:szCs w:val="26"/>
        </w:rPr>
        <w:t>nternet web site, for a reasonable period.”</w:t>
      </w:r>
    </w:p>
  </w:footnote>
  <w:footnote w:id="26">
    <w:p w14:paraId="6FD6DA47" w14:textId="77777777" w:rsidR="0084314C" w:rsidRPr="00434BFC" w:rsidRDefault="0084314C" w:rsidP="00095B81">
      <w:pPr>
        <w:pStyle w:val="FootnoteText"/>
      </w:pPr>
      <w:r w:rsidRPr="00581869">
        <w:rPr>
          <w:rStyle w:val="FootnoteReference"/>
        </w:rPr>
        <w:footnoteRef/>
      </w:r>
      <w:r>
        <w:t xml:space="preserve"> </w:t>
      </w:r>
      <w:r w:rsidRPr="00C84F1B">
        <w:t>Show Cause Order</w:t>
      </w:r>
      <w:r>
        <w:t>, 146 FERC ¶ 61,203 at P 6.</w:t>
      </w:r>
    </w:p>
  </w:footnote>
  <w:footnote w:id="27">
    <w:p w14:paraId="40CC3229" w14:textId="40320C3D" w:rsidR="0084314C" w:rsidRDefault="0084314C">
      <w:pPr>
        <w:pStyle w:val="FootnoteText"/>
      </w:pPr>
      <w:r w:rsidRPr="00581869">
        <w:rPr>
          <w:rStyle w:val="FootnoteReference"/>
        </w:rPr>
        <w:footnoteRef/>
      </w:r>
      <w:r w:rsidRPr="00CE26D6">
        <w:rPr>
          <w:rStyle w:val="Hyperlink"/>
        </w:rPr>
        <w:t xml:space="preserve"> </w:t>
      </w:r>
      <w:hyperlink r:id="rId1" w:history="1">
        <w:r w:rsidRPr="006B22FB">
          <w:rPr>
            <w:rStyle w:val="Hyperlink"/>
            <w:u w:val="none"/>
          </w:rPr>
          <w:t>http://www.ferc.gov/industries/gas/indus-act/pipelines/standards.asp</w:t>
        </w:r>
      </w:hyperlink>
      <w:r w:rsidRPr="00CE26D6">
        <w:t>.</w:t>
      </w:r>
    </w:p>
  </w:footnote>
  <w:footnote w:id="28">
    <w:p w14:paraId="74AD3684" w14:textId="71BBA834" w:rsidR="0084314C" w:rsidRPr="00691487" w:rsidRDefault="0084314C">
      <w:pPr>
        <w:pStyle w:val="FootnoteText"/>
      </w:pPr>
      <w:r w:rsidRPr="00581869">
        <w:rPr>
          <w:rStyle w:val="FootnoteReference"/>
        </w:rPr>
        <w:footnoteRef/>
      </w:r>
      <w:r>
        <w:t xml:space="preserve"> </w:t>
      </w:r>
      <w:r w:rsidRPr="00691487">
        <w:rPr>
          <w:i/>
        </w:rPr>
        <w:t>Electronic Filing Protocols for Commission Forms</w:t>
      </w:r>
      <w:r>
        <w:t xml:space="preserve">, </w:t>
      </w:r>
      <w:r w:rsidRPr="00691487">
        <w:t>151 FERC ¶</w:t>
      </w:r>
      <w:r>
        <w:t> </w:t>
      </w:r>
      <w:r w:rsidRPr="00691487">
        <w:t>61,025</w:t>
      </w:r>
      <w:r>
        <w:t xml:space="preserve"> (2015).</w:t>
      </w:r>
    </w:p>
  </w:footnote>
  <w:footnote w:id="29">
    <w:p w14:paraId="34116E2C" w14:textId="77777777" w:rsidR="0084314C" w:rsidRPr="00240E9E" w:rsidRDefault="0084314C" w:rsidP="00F4490B">
      <w:pPr>
        <w:pStyle w:val="FootnoteText"/>
      </w:pPr>
      <w:r w:rsidRPr="00581869">
        <w:rPr>
          <w:rStyle w:val="FootnoteReference"/>
        </w:rPr>
        <w:footnoteRef/>
      </w:r>
      <w:r w:rsidRPr="00A07065">
        <w:t xml:space="preserve"> </w:t>
      </w:r>
      <w:r>
        <w:t>NAESB defines Operating Capacity as “the total capacity which could be scheduled at (or through) the identified point, segment or zone in the indicated direction of flow.”</w:t>
      </w:r>
    </w:p>
  </w:footnote>
  <w:footnote w:id="30">
    <w:p w14:paraId="1BBC705E" w14:textId="106DDAB6" w:rsidR="0084314C" w:rsidRPr="004054C4" w:rsidRDefault="0084314C" w:rsidP="00F4490B">
      <w:pPr>
        <w:pStyle w:val="FootnoteText"/>
      </w:pPr>
      <w:r w:rsidRPr="00581869">
        <w:rPr>
          <w:rStyle w:val="FootnoteReference"/>
        </w:rPr>
        <w:footnoteRef/>
      </w:r>
      <w:r>
        <w:t xml:space="preserve"> In Order No. 587-V, the Commission explained that while pipelines that post both design and operating capacity, often report the same number for both types of capacity, they may sometimes report differences between operating and design capacity.  </w:t>
      </w:r>
      <w:r>
        <w:rPr>
          <w:i/>
        </w:rPr>
        <w:t xml:space="preserve">See </w:t>
      </w:r>
      <w:r w:rsidRPr="003B03C4">
        <w:t>Order No. 587-V, FERC Stats. &amp; Regs.</w:t>
      </w:r>
      <w:r w:rsidRPr="003B03C4">
        <w:rPr>
          <w:i/>
        </w:rPr>
        <w:t xml:space="preserve"> </w:t>
      </w:r>
      <w:r w:rsidRPr="003B03C4">
        <w:t>¶</w:t>
      </w:r>
      <w:r>
        <w:t> </w:t>
      </w:r>
      <w:r w:rsidRPr="003B03C4">
        <w:t xml:space="preserve">31,332 </w:t>
      </w:r>
      <w:r w:rsidRPr="004054C4">
        <w:t>at P 30, n.41.</w:t>
      </w:r>
    </w:p>
  </w:footnote>
  <w:footnote w:id="31">
    <w:p w14:paraId="272F8C95" w14:textId="77777777" w:rsidR="0084314C" w:rsidRPr="00DF7E58" w:rsidRDefault="0084314C" w:rsidP="00F4490B">
      <w:pPr>
        <w:pStyle w:val="FootnoteText"/>
      </w:pPr>
      <w:r w:rsidRPr="00581869">
        <w:rPr>
          <w:rStyle w:val="FootnoteReference"/>
        </w:rPr>
        <w:footnoteRef/>
      </w:r>
      <w:r w:rsidRPr="00A07065">
        <w:t xml:space="preserve"> </w:t>
      </w:r>
      <w:r w:rsidRPr="00E708CB">
        <w:rPr>
          <w:i/>
        </w:rPr>
        <w:t>Id.</w:t>
      </w:r>
      <w:r w:rsidRPr="00DF7E58">
        <w:t xml:space="preserve"> P 30.</w:t>
      </w:r>
      <w:r>
        <w:t xml:space="preserve">  </w:t>
      </w:r>
      <w:r w:rsidRPr="00290472">
        <w:t>NAESB also states it proposes to correct typographical errors and to clarify that “All Quantities Available Indicator” in NAESB WGQ Dataset 0.4.2 applies to all quantities at a specific identified point, segment, or zone.</w:t>
      </w:r>
    </w:p>
  </w:footnote>
  <w:footnote w:id="32">
    <w:p w14:paraId="66310013" w14:textId="77777777" w:rsidR="0084314C" w:rsidRDefault="0084314C">
      <w:pPr>
        <w:pStyle w:val="FootnoteText"/>
      </w:pPr>
      <w:r w:rsidRPr="00581869">
        <w:rPr>
          <w:rStyle w:val="FootnoteReference"/>
        </w:rPr>
        <w:footnoteRef/>
      </w:r>
      <w:r>
        <w:t xml:space="preserve"> </w:t>
      </w:r>
      <w:r w:rsidRPr="006D7368">
        <w:t>NAESB also states it proposes to correct typographical errors and to clarify that “All Quantities Available Indicator” in NAESB WGQ Dataset 0.4.2 applies to all quantities at a specific identified point, segment, or zone.</w:t>
      </w:r>
    </w:p>
  </w:footnote>
  <w:footnote w:id="33">
    <w:p w14:paraId="4AFFFC4B" w14:textId="7F9C0342" w:rsidR="0084314C" w:rsidRPr="00393FAA" w:rsidRDefault="0084314C" w:rsidP="00B66993">
      <w:pPr>
        <w:pStyle w:val="FootnoteText"/>
      </w:pPr>
      <w:r w:rsidRPr="00581869">
        <w:rPr>
          <w:rStyle w:val="FootnoteReference"/>
        </w:rPr>
        <w:footnoteRef/>
      </w:r>
      <w:r>
        <w:t xml:space="preserve"> </w:t>
      </w:r>
      <w:r w:rsidRPr="006224AA">
        <w:t>Order No. 587-V, FERC Stats. &amp; Regs.</w:t>
      </w:r>
      <w:r w:rsidRPr="006224AA">
        <w:rPr>
          <w:i/>
        </w:rPr>
        <w:t xml:space="preserve"> </w:t>
      </w:r>
      <w:r w:rsidRPr="006224AA">
        <w:t>¶</w:t>
      </w:r>
      <w:r>
        <w:t> </w:t>
      </w:r>
      <w:r w:rsidRPr="006224AA">
        <w:t xml:space="preserve">31,332 at </w:t>
      </w:r>
      <w:r>
        <w:t>n.11.</w:t>
      </w:r>
    </w:p>
  </w:footnote>
  <w:footnote w:id="34">
    <w:p w14:paraId="597E9AEB" w14:textId="4C7A35DF" w:rsidR="0084314C" w:rsidRDefault="0084314C" w:rsidP="00B66993">
      <w:pPr>
        <w:pStyle w:val="FootnoteText"/>
      </w:pPr>
      <w:r w:rsidRPr="00581869">
        <w:rPr>
          <w:rStyle w:val="FootnoteReference"/>
        </w:rPr>
        <w:footnoteRef/>
      </w:r>
      <w:r>
        <w:t xml:space="preserve"> </w:t>
      </w:r>
      <w:r w:rsidRPr="006B6CBC">
        <w:rPr>
          <w:i/>
        </w:rPr>
        <w:t>See</w:t>
      </w:r>
      <w:r w:rsidRPr="006B6CBC">
        <w:t xml:space="preserve"> </w:t>
      </w:r>
      <w:r w:rsidRPr="006B6CBC">
        <w:rPr>
          <w:i/>
        </w:rPr>
        <w:t>Electronic Tariff Filings</w:t>
      </w:r>
      <w:r>
        <w:t xml:space="preserve">, </w:t>
      </w:r>
      <w:r w:rsidR="00993563">
        <w:t xml:space="preserve">Order No. 714, </w:t>
      </w:r>
      <w:r>
        <w:t>FERC Stats. &amp; Regs. ¶ 31,276 (2008).</w:t>
      </w:r>
    </w:p>
  </w:footnote>
  <w:footnote w:id="35">
    <w:p w14:paraId="690A02C2" w14:textId="0BBF8518" w:rsidR="0084314C" w:rsidRPr="00BA39BE" w:rsidRDefault="0084314C" w:rsidP="00CA3479">
      <w:pPr>
        <w:pStyle w:val="FootnoteText"/>
      </w:pPr>
      <w:r w:rsidRPr="00581869">
        <w:rPr>
          <w:rStyle w:val="FootnoteReference"/>
        </w:rPr>
        <w:footnoteRef/>
      </w:r>
      <w:r>
        <w:t xml:space="preserve"> </w:t>
      </w:r>
      <w:r w:rsidRPr="006B6CBC">
        <w:rPr>
          <w:i/>
        </w:rPr>
        <w:t>See, e.g., Standards for Business Practices for Interstate Natural Gas Pipelines</w:t>
      </w:r>
      <w:r>
        <w:t xml:space="preserve">, Final Rule, Order No. 587-T, FERC Stats. &amp; Regs. ¶ 31,289, at P 5 &amp; n.9 (2009); </w:t>
      </w:r>
      <w:r>
        <w:rPr>
          <w:i/>
        </w:rPr>
        <w:t>see also</w:t>
      </w:r>
      <w:r>
        <w:t xml:space="preserve"> Order No. 587-V, FERC Stats. &amp; Regs. ¶ </w:t>
      </w:r>
      <w:r w:rsidR="00993563">
        <w:t>31</w:t>
      </w:r>
      <w:r>
        <w:t>,</w:t>
      </w:r>
      <w:r w:rsidR="00993563">
        <w:t>332</w:t>
      </w:r>
      <w:r>
        <w:t xml:space="preserve"> at P 8.</w:t>
      </w:r>
    </w:p>
  </w:footnote>
  <w:footnote w:id="36">
    <w:p w14:paraId="4018C111" w14:textId="74B2A84D" w:rsidR="0084314C" w:rsidRDefault="0084314C" w:rsidP="00CA3479">
      <w:pPr>
        <w:pStyle w:val="FootnoteText"/>
      </w:pPr>
      <w:r w:rsidRPr="00581869">
        <w:rPr>
          <w:rStyle w:val="FootnoteReference"/>
        </w:rPr>
        <w:footnoteRef/>
      </w:r>
      <w:r>
        <w:t xml:space="preserve"> Order No. 587-V, FERC Stats. &amp; Regs. ¶ 31,332 at P 28.</w:t>
      </w:r>
    </w:p>
  </w:footnote>
  <w:footnote w:id="37">
    <w:p w14:paraId="10B374EE" w14:textId="77777777" w:rsidR="0084314C" w:rsidRPr="0055522C" w:rsidRDefault="0084314C" w:rsidP="00CA3479">
      <w:pPr>
        <w:pStyle w:val="FootnoteText"/>
      </w:pPr>
      <w:r w:rsidRPr="00581869">
        <w:rPr>
          <w:rStyle w:val="FootnoteReference"/>
        </w:rPr>
        <w:footnoteRef/>
      </w:r>
      <w:r>
        <w:t xml:space="preserve"> In its Version 3.0</w:t>
      </w:r>
      <w:r w:rsidRPr="007F0F5B">
        <w:t xml:space="preserve"> Standards, the W</w:t>
      </w:r>
      <w:r>
        <w:t xml:space="preserve">GQ </w:t>
      </w:r>
      <w:r w:rsidRPr="00A73634">
        <w:t xml:space="preserve">revised Standards </w:t>
      </w:r>
      <w:r>
        <w:t>1.1.3, 1.2.2, 1.3.3, 1.3.15, 1.3.22, 2.3.9, 2.3.14, 2.3.15, 2.3.26, 3.3.14, 3.3.15, and 4.3.23; added Standard 0.2.5; and deleted Standard 3.3.2.</w:t>
      </w:r>
    </w:p>
  </w:footnote>
  <w:footnote w:id="38">
    <w:p w14:paraId="7CD845BC" w14:textId="401CB6AF" w:rsidR="0084314C" w:rsidRDefault="0084314C">
      <w:pPr>
        <w:pStyle w:val="FootnoteText"/>
      </w:pPr>
      <w:r>
        <w:rPr>
          <w:rStyle w:val="FootnoteReference"/>
        </w:rPr>
        <w:footnoteRef/>
      </w:r>
      <w:r>
        <w:t xml:space="preserve"> </w:t>
      </w:r>
      <w:r w:rsidRPr="0095394D">
        <w:t>Order No. 587-V, FERC Stats. &amp; Regs. ¶</w:t>
      </w:r>
      <w:r>
        <w:t> </w:t>
      </w:r>
      <w:r w:rsidRPr="0095394D">
        <w:t xml:space="preserve">31,332 </w:t>
      </w:r>
      <w:r w:rsidRPr="00B8506C">
        <w:t>at P 38(2)</w:t>
      </w:r>
      <w:r>
        <w:t>.</w:t>
      </w:r>
      <w:r w:rsidRPr="00B8506C">
        <w:t xml:space="preserve"> </w:t>
      </w:r>
      <w:r>
        <w:t xml:space="preserve"> </w:t>
      </w:r>
      <w:r w:rsidRPr="00297A1D">
        <w:t xml:space="preserve">For example, the Commission has denied waivers of NAESB’s gas-electric operational communications </w:t>
      </w:r>
      <w:r>
        <w:t xml:space="preserve">standards </w:t>
      </w:r>
      <w:r w:rsidRPr="00297A1D">
        <w:t>requested by pipelines on the grounds that their systems do not connect to power plants.</w:t>
      </w:r>
      <w:r>
        <w:t xml:space="preserve">  </w:t>
      </w:r>
      <w:r w:rsidRPr="0095394D">
        <w:rPr>
          <w:i/>
        </w:rPr>
        <w:t>Trans-Union Interstate Pipeline L.P</w:t>
      </w:r>
      <w:r w:rsidRPr="00B8506C">
        <w:t>, 141 FERC</w:t>
      </w:r>
      <w:r>
        <w:t xml:space="preserve"> ¶ 61,167, at P 18 (2012).</w:t>
      </w:r>
    </w:p>
  </w:footnote>
  <w:footnote w:id="39">
    <w:p w14:paraId="1B6DFBBB" w14:textId="6AFC854B" w:rsidR="0084314C" w:rsidRDefault="0084314C">
      <w:pPr>
        <w:pStyle w:val="FootnoteText"/>
      </w:pPr>
      <w:r w:rsidRPr="00581869">
        <w:rPr>
          <w:rStyle w:val="FootnoteReference"/>
        </w:rPr>
        <w:footnoteRef/>
      </w:r>
      <w:r>
        <w:t xml:space="preserve"> </w:t>
      </w:r>
      <w:r w:rsidRPr="00CA3479">
        <w:t>Order No. 587-V, FERC Stats. &amp; Regs.</w:t>
      </w:r>
      <w:r w:rsidRPr="00CA3479">
        <w:rPr>
          <w:i/>
        </w:rPr>
        <w:t xml:space="preserve"> </w:t>
      </w:r>
      <w:r w:rsidRPr="00CA3479">
        <w:t>¶</w:t>
      </w:r>
      <w:bookmarkStart w:id="15" w:name="OLE_LINK3"/>
      <w:bookmarkStart w:id="16" w:name="OLE_LINK4"/>
      <w:r>
        <w:t> </w:t>
      </w:r>
      <w:r w:rsidRPr="00CA3479">
        <w:t>31,332 at P</w:t>
      </w:r>
      <w:r>
        <w:t>P</w:t>
      </w:r>
      <w:r w:rsidRPr="00CA3479">
        <w:t xml:space="preserve"> 36-37.</w:t>
      </w:r>
      <w:bookmarkEnd w:id="15"/>
      <w:bookmarkEnd w:id="16"/>
    </w:p>
  </w:footnote>
  <w:footnote w:id="40">
    <w:p w14:paraId="655EE58F" w14:textId="77777777" w:rsidR="0084314C" w:rsidRDefault="0084314C" w:rsidP="00CA3479">
      <w:pPr>
        <w:pStyle w:val="FootnoteText"/>
      </w:pPr>
      <w:r w:rsidRPr="00581869">
        <w:rPr>
          <w:rStyle w:val="FootnoteReference"/>
        </w:rPr>
        <w:footnoteRef/>
      </w:r>
      <w:r>
        <w:t xml:space="preserve"> </w:t>
      </w:r>
      <w:r w:rsidRPr="00CA3479">
        <w:rPr>
          <w:i/>
        </w:rPr>
        <w:t xml:space="preserve">Id. </w:t>
      </w:r>
      <w:r w:rsidRPr="00CA3479">
        <w:t>P 36.  To accomplish this, the Commission gave instructions on how pipelines should designate sections in their tariff filings.</w:t>
      </w:r>
    </w:p>
  </w:footnote>
  <w:footnote w:id="41">
    <w:p w14:paraId="3DB41753" w14:textId="5B0C4864" w:rsidR="0084314C" w:rsidRDefault="0084314C">
      <w:pPr>
        <w:pStyle w:val="FootnoteText"/>
      </w:pPr>
      <w:r w:rsidRPr="00581869">
        <w:rPr>
          <w:rStyle w:val="FootnoteReference"/>
        </w:rPr>
        <w:footnoteRef/>
      </w:r>
      <w:r>
        <w:t xml:space="preserve"> Order No. 587-V, FERC Stats. &amp; Regs. ¶ 31,332 at PP 38-41.</w:t>
      </w:r>
    </w:p>
  </w:footnote>
  <w:footnote w:id="42">
    <w:p w14:paraId="04999ABC" w14:textId="77777777" w:rsidR="0084314C" w:rsidRDefault="0084314C" w:rsidP="00B66993">
      <w:pPr>
        <w:pStyle w:val="FootnoteText"/>
      </w:pPr>
      <w:r w:rsidRPr="00581869">
        <w:rPr>
          <w:rStyle w:val="FootnoteReference"/>
        </w:rPr>
        <w:footnoteRef/>
      </w:r>
      <w:r>
        <w:t xml:space="preserve"> This section should be a separate tariff record under the Commission’s electronic tariff filing requirement and be filed electronically using the eTariff portal using the Type of Filing Code 580.</w:t>
      </w:r>
    </w:p>
  </w:footnote>
  <w:footnote w:id="43">
    <w:p w14:paraId="13D1D479" w14:textId="77777777" w:rsidR="0084314C" w:rsidRDefault="0084314C" w:rsidP="00B66993">
      <w:pPr>
        <w:pStyle w:val="FootnoteText"/>
      </w:pPr>
      <w:r w:rsidRPr="00581869">
        <w:rPr>
          <w:rStyle w:val="FootnoteReference"/>
        </w:rPr>
        <w:footnoteRef/>
      </w:r>
      <w:r>
        <w:t xml:space="preserve"> For example, pipelines are required to include the full text </w:t>
      </w:r>
      <w:r w:rsidRPr="000B47A8">
        <w:t>of the NAESB</w:t>
      </w:r>
      <w:r>
        <w:t xml:space="preserve"> nomination timeline standards (</w:t>
      </w:r>
      <w:r w:rsidRPr="000B47A8">
        <w:t>WGQ Standards 1.3.2(i-v) and 5.3.2</w:t>
      </w:r>
      <w:r>
        <w:t>)</w:t>
      </w:r>
      <w:r w:rsidRPr="000B47A8">
        <w:t xml:space="preserve"> in their tariff</w:t>
      </w:r>
      <w:r>
        <w:t xml:space="preserve">s.  </w:t>
      </w:r>
      <w:r w:rsidRPr="00C33AE2">
        <w:rPr>
          <w:i/>
        </w:rPr>
        <w:t>Standards for Business Practices for Interstate Natural Gas Pipelines</w:t>
      </w:r>
      <w:r>
        <w:t>, Final Rule, Order No. 587-U, FERC Stats. &amp; Regs. ¶ 31,307, at P 39 &amp; n.42 (2010).  The pipeline would indicate which tariff provision complies with each of these standards.</w:t>
      </w:r>
    </w:p>
  </w:footnote>
  <w:footnote w:id="44">
    <w:p w14:paraId="73D0E5F1" w14:textId="6F568B6F" w:rsidR="0084314C" w:rsidRDefault="0084314C" w:rsidP="00B66993">
      <w:pPr>
        <w:pStyle w:val="FootnoteText"/>
      </w:pPr>
      <w:r w:rsidRPr="00581869">
        <w:rPr>
          <w:rStyle w:val="FootnoteReference"/>
        </w:rPr>
        <w:footnoteRef/>
      </w:r>
      <w:r>
        <w:t xml:space="preserve"> Shippers can use the Commission’s electronic tariff system to locate the tariff record containing the NAESB standards, which will indicate the docket number in which any waiver or extension of time was granted.</w:t>
      </w:r>
    </w:p>
  </w:footnote>
  <w:footnote w:id="45">
    <w:p w14:paraId="30125366" w14:textId="77777777" w:rsidR="0084314C" w:rsidRDefault="0084314C" w:rsidP="00B66993">
      <w:pPr>
        <w:pStyle w:val="FootnoteText"/>
      </w:pPr>
      <w:r w:rsidRPr="00581869">
        <w:rPr>
          <w:rStyle w:val="FootnoteReference"/>
        </w:rPr>
        <w:footnoteRef/>
      </w:r>
      <w:r>
        <w:t xml:space="preserve"> </w:t>
      </w:r>
      <w:hyperlink r:id="rId2" w:history="1">
        <w:r w:rsidRPr="00823156">
          <w:rPr>
            <w:rStyle w:val="Hyperlink"/>
            <w:u w:val="none"/>
          </w:rPr>
          <w:t>http://www.ferc.gov/docs-filing/elibrary.asp</w:t>
        </w:r>
      </w:hyperlink>
      <w:r>
        <w:t>.</w:t>
      </w:r>
    </w:p>
  </w:footnote>
  <w:footnote w:id="46">
    <w:p w14:paraId="7DF83F0B" w14:textId="3E8FACAB" w:rsidR="0084314C" w:rsidRPr="00C24778" w:rsidRDefault="0084314C" w:rsidP="00EE2907">
      <w:pPr>
        <w:pStyle w:val="FootnoteText"/>
        <w:rPr>
          <w:i/>
        </w:rPr>
      </w:pPr>
      <w:r w:rsidRPr="00581869">
        <w:rPr>
          <w:rStyle w:val="FootnoteReference"/>
        </w:rPr>
        <w:footnoteRef/>
      </w:r>
      <w:r>
        <w:t xml:space="preserve"> 1 CFR 51.5.  </w:t>
      </w:r>
      <w:r>
        <w:rPr>
          <w:i/>
        </w:rPr>
        <w:t xml:space="preserve">See </w:t>
      </w:r>
      <w:r w:rsidRPr="00C24778">
        <w:t>Incorporation by Reference</w:t>
      </w:r>
      <w:r>
        <w:t xml:space="preserve">, 79 FR </w:t>
      </w:r>
      <w:r w:rsidRPr="004614F9">
        <w:t>66267</w:t>
      </w:r>
      <w:r>
        <w:t xml:space="preserve"> (Nov. </w:t>
      </w:r>
      <w:r w:rsidRPr="004614F9">
        <w:t>7, 2014</w:t>
      </w:r>
      <w:r>
        <w:t>).</w:t>
      </w:r>
    </w:p>
  </w:footnote>
  <w:footnote w:id="47">
    <w:p w14:paraId="37977A10" w14:textId="28DFFC41" w:rsidR="0084314C" w:rsidRDefault="0084314C" w:rsidP="00EE2907">
      <w:pPr>
        <w:pStyle w:val="FootnoteText"/>
      </w:pPr>
      <w:r w:rsidRPr="00581869">
        <w:rPr>
          <w:rStyle w:val="FootnoteReference"/>
        </w:rPr>
        <w:footnoteRef/>
      </w:r>
      <w:r>
        <w:t xml:space="preserve"> 18 CFR 284.12.</w:t>
      </w:r>
    </w:p>
  </w:footnote>
  <w:footnote w:id="48">
    <w:p w14:paraId="49329566" w14:textId="77777777" w:rsidR="0084314C" w:rsidRDefault="0084314C" w:rsidP="00EE2907">
      <w:pPr>
        <w:pStyle w:val="FootnoteText"/>
      </w:pPr>
      <w:r w:rsidRPr="00581869">
        <w:rPr>
          <w:rStyle w:val="FootnoteReference"/>
        </w:rPr>
        <w:footnoteRef/>
      </w:r>
      <w:r>
        <w:t xml:space="preserve"> North American Energy Standards Board Membership Application, </w:t>
      </w:r>
      <w:hyperlink r:id="rId3" w:history="1">
        <w:r w:rsidRPr="00823156">
          <w:rPr>
            <w:rStyle w:val="Hyperlink"/>
            <w:u w:val="none"/>
          </w:rPr>
          <w:t>https://www.naesb.org/pdf4/naesbapp.pdf</w:t>
        </w:r>
      </w:hyperlink>
      <w:r w:rsidRPr="00931051">
        <w:t>.</w:t>
      </w:r>
    </w:p>
  </w:footnote>
  <w:footnote w:id="49">
    <w:p w14:paraId="349A3EE0" w14:textId="77777777" w:rsidR="0084314C" w:rsidRDefault="0084314C" w:rsidP="00EE2907">
      <w:pPr>
        <w:pStyle w:val="FootnoteText"/>
      </w:pPr>
      <w:r w:rsidRPr="00581869">
        <w:rPr>
          <w:rStyle w:val="FootnoteReference"/>
        </w:rPr>
        <w:footnoteRef/>
      </w:r>
      <w:r>
        <w:t xml:space="preserve"> NAESB Materials Order Form, </w:t>
      </w:r>
      <w:hyperlink r:id="rId4" w:history="1">
        <w:r w:rsidRPr="00823156">
          <w:rPr>
            <w:rStyle w:val="Hyperlink"/>
            <w:u w:val="none"/>
          </w:rPr>
          <w:t>https://www.naesb.org//pdf/ordrform.pdf</w:t>
        </w:r>
      </w:hyperlink>
      <w:r w:rsidRPr="00931051">
        <w:t>.</w:t>
      </w:r>
    </w:p>
  </w:footnote>
  <w:footnote w:id="50">
    <w:p w14:paraId="1C6AE288" w14:textId="77777777" w:rsidR="0084314C" w:rsidRPr="00F140B4" w:rsidRDefault="0084314C" w:rsidP="00EE2907">
      <w:pPr>
        <w:pStyle w:val="FootnoteText"/>
      </w:pPr>
      <w:r w:rsidRPr="00581869">
        <w:rPr>
          <w:rStyle w:val="FootnoteReference"/>
        </w:rPr>
        <w:footnoteRef/>
      </w:r>
      <w:r>
        <w:t xml:space="preserve"> </w:t>
      </w:r>
      <w:r w:rsidRPr="001D0E0D">
        <w:t>Procedures for non-members to evaluate work products before purchasing</w:t>
      </w:r>
      <w:r>
        <w:t xml:space="preserve">, </w:t>
      </w:r>
      <w:hyperlink r:id="rId5" w:history="1">
        <w:r w:rsidRPr="00823156">
          <w:rPr>
            <w:rStyle w:val="Hyperlink"/>
            <w:u w:val="none"/>
          </w:rPr>
          <w:t>https://www.naesb.org/misc/NAESB_Nonmember_Evaluation.pdf</w:t>
        </w:r>
      </w:hyperlink>
      <w:r>
        <w:rPr>
          <w:i/>
        </w:rPr>
        <w:t xml:space="preserve"> .  See </w:t>
      </w:r>
      <w:r w:rsidRPr="00332A4F">
        <w:t>Incorporation by Reference</w:t>
      </w:r>
      <w:r>
        <w:t>, 79 FR at 66271, n. 51 &amp; 53(Nov. 7, 2014)</w:t>
      </w:r>
      <w:r w:rsidRPr="001D0E0D">
        <w:t xml:space="preserve"> </w:t>
      </w:r>
      <w:r>
        <w:t xml:space="preserve">(citing to NAESB’s procedure of providing “no-cost, no-print electronic access”, NAESB Comment, at 1, </w:t>
      </w:r>
      <w:r w:rsidRPr="00AB3297">
        <w:rPr>
          <w:i/>
        </w:rPr>
        <w:t>available at</w:t>
      </w:r>
      <w:r>
        <w:t xml:space="preserve"> </w:t>
      </w:r>
      <w:hyperlink r:id="rId6" w:anchor="!documentDetail;D=OFR-2013-0001-0023" w:history="1">
        <w:r w:rsidRPr="00823156">
          <w:rPr>
            <w:rStyle w:val="Hyperlink"/>
            <w:u w:val="none"/>
          </w:rPr>
          <w:t>http://www.regulations.gov/#!documentDetail;D=OFR-2013-0001-0023</w:t>
        </w:r>
      </w:hyperlink>
      <w:r>
        <w:t>).</w:t>
      </w:r>
    </w:p>
  </w:footnote>
  <w:footnote w:id="51">
    <w:p w14:paraId="74D13E46" w14:textId="77777777" w:rsidR="0084314C" w:rsidRDefault="0084314C" w:rsidP="005A1BC5">
      <w:pPr>
        <w:pStyle w:val="FootnoteText"/>
      </w:pPr>
      <w:r w:rsidRPr="00581869">
        <w:rPr>
          <w:rStyle w:val="FootnoteReference"/>
        </w:rPr>
        <w:footnoteRef/>
      </w:r>
      <w:r>
        <w:t xml:space="preserve"> </w:t>
      </w:r>
      <w:r w:rsidRPr="00E64311">
        <w:t>FERC-545 covers rate change filings made by natural gas pipelines, including tariff changes.</w:t>
      </w:r>
    </w:p>
  </w:footnote>
  <w:footnote w:id="52">
    <w:p w14:paraId="1A4EFBFE" w14:textId="77777777" w:rsidR="0084314C" w:rsidRDefault="0084314C" w:rsidP="005A1BC5">
      <w:pPr>
        <w:pStyle w:val="FootnoteText"/>
      </w:pPr>
      <w:r w:rsidRPr="00581869">
        <w:rPr>
          <w:rStyle w:val="FootnoteReference"/>
        </w:rPr>
        <w:footnoteRef/>
      </w:r>
      <w:r>
        <w:t xml:space="preserve"> </w:t>
      </w:r>
      <w:r w:rsidRPr="00E64311">
        <w:t>FERC-549C covers Standards for Business Practices of Interstate Natural Gas Pipelines.</w:t>
      </w:r>
    </w:p>
  </w:footnote>
  <w:footnote w:id="53">
    <w:p w14:paraId="4581D785" w14:textId="06B46AFC" w:rsidR="0084314C" w:rsidRDefault="0084314C">
      <w:pPr>
        <w:pStyle w:val="FootnoteText"/>
      </w:pPr>
      <w:r w:rsidRPr="00581869">
        <w:rPr>
          <w:rStyle w:val="FootnoteReference"/>
        </w:rPr>
        <w:footnoteRef/>
      </w:r>
      <w:r>
        <w:t xml:space="preserve"> We note that although this NOPR proposes a minor revision to section 260.8, we are not including Form No. 567 (OMB No. 1902-005) as part of this burden estimate because we estimate that the substitution of proprietary codes for common codes in the system flow diagrams submitted under section 260.8 will not increase the burden of filing that form.  </w:t>
      </w:r>
      <w:r w:rsidRPr="000D348F">
        <w:t>The same is true with regard to the identical revisions we are proposing to sections 157.14 and 157.18, Form No. 537 (OMB No. 1902-0060).  Likewise, we estimate that our proposed revision to Form 549B (OMB No.</w:t>
      </w:r>
      <w:r>
        <w:t> </w:t>
      </w:r>
      <w:r w:rsidRPr="000D348F">
        <w:t xml:space="preserve">1902-0169), </w:t>
      </w:r>
      <w:r w:rsidRPr="00CE26D6">
        <w:rPr>
          <w:i/>
        </w:rPr>
        <w:t xml:space="preserve">see </w:t>
      </w:r>
      <w:hyperlink r:id="rId7" w:history="1">
        <w:r w:rsidRPr="00823156">
          <w:rPr>
            <w:rStyle w:val="Hyperlink"/>
            <w:u w:val="none"/>
          </w:rPr>
          <w:t>http://www.ferc.gov/docs-filing/forms.asp</w:t>
        </w:r>
      </w:hyperlink>
      <w:r w:rsidRPr="000D348F">
        <w:t>, which changes the point record for Point identification Code Qu</w:t>
      </w:r>
      <w:r w:rsidR="006C35E8">
        <w:t>alifier (Item ID yj) and Point I</w:t>
      </w:r>
      <w:r w:rsidRPr="000D348F">
        <w:t>dentification Code (Item ID yk) will not increase the burden of filing that form.</w:t>
      </w:r>
    </w:p>
  </w:footnote>
  <w:footnote w:id="54">
    <w:p w14:paraId="1041E930" w14:textId="77777777" w:rsidR="0084314C" w:rsidRDefault="0084314C" w:rsidP="001A08A8">
      <w:pPr>
        <w:pStyle w:val="FootnoteText"/>
      </w:pPr>
      <w:r w:rsidRPr="00581869">
        <w:rPr>
          <w:rStyle w:val="FootnoteReference"/>
        </w:rPr>
        <w:footnoteRef/>
      </w:r>
      <w:r>
        <w:t xml:space="preserve"> The number of respondents is the number of entities in which a change in burden from the current standards to the proposed exists, not the total number of entities from the current or proposed standards that are applicable.</w:t>
      </w:r>
    </w:p>
  </w:footnote>
  <w:footnote w:id="55">
    <w:p w14:paraId="4B9B7F59" w14:textId="5279071C" w:rsidR="0084314C" w:rsidRDefault="0084314C" w:rsidP="001A08A8">
      <w:pPr>
        <w:pStyle w:val="FootnoteText"/>
      </w:pPr>
      <w:r w:rsidRPr="00581869">
        <w:rPr>
          <w:rStyle w:val="FootnoteReference"/>
        </w:rPr>
        <w:footnoteRef/>
      </w:r>
      <w:r>
        <w:t xml:space="preserve"> </w:t>
      </w:r>
      <w:r w:rsidRPr="00A770F4">
        <w:t xml:space="preserve">Wage data is based on the Bureau of Labor Statistics data for 2012 </w:t>
      </w:r>
      <w:r w:rsidR="00823156">
        <w:br/>
      </w:r>
      <w:r w:rsidRPr="00A770F4">
        <w:t xml:space="preserve">(“May 2012 National Industry-Specific Occupational Employment and Wage </w:t>
      </w:r>
      <w:r w:rsidR="006C35E8">
        <w:br/>
      </w:r>
      <w:r w:rsidRPr="00A770F4">
        <w:t xml:space="preserve">Estimates, [for] Sector 22 - Utilities” at </w:t>
      </w:r>
      <w:hyperlink r:id="rId8" w:history="1">
        <w:r w:rsidRPr="00823156">
          <w:rPr>
            <w:rStyle w:val="Hyperlink"/>
            <w:u w:val="none"/>
          </w:rPr>
          <w:t>http://bls.gov/oes/current/naics2_22.htm</w:t>
        </w:r>
      </w:hyperlink>
      <w:r w:rsidRPr="00A770F4">
        <w:t xml:space="preserve">) and is compiled for the top 10 percent earned.  For the estimate of the benefits component, </w:t>
      </w:r>
      <w:r w:rsidRPr="00A770F4">
        <w:rPr>
          <w:i/>
        </w:rPr>
        <w:t>see</w:t>
      </w:r>
      <w:r w:rsidRPr="00A770F4">
        <w:t xml:space="preserve"> http://www.bls.gov/news.release/ecec.nr0.htm.</w:t>
      </w:r>
    </w:p>
  </w:footnote>
  <w:footnote w:id="56">
    <w:p w14:paraId="69C80D19" w14:textId="77777777" w:rsidR="0013180A" w:rsidRDefault="0084314C" w:rsidP="00D77CAD">
      <w:pPr>
        <w:pStyle w:val="FootnoteText"/>
      </w:pPr>
      <w:r w:rsidRPr="00581869">
        <w:rPr>
          <w:rStyle w:val="FootnoteReference"/>
        </w:rPr>
        <w:footnoteRef/>
      </w:r>
      <w:r>
        <w:t xml:space="preserve"> </w:t>
      </w:r>
      <w:r w:rsidRPr="00A770F4">
        <w:t xml:space="preserve">The mean hourly cost of tariff filings and implementation for interstate </w:t>
      </w:r>
      <w:r w:rsidR="00823156">
        <w:br/>
      </w:r>
      <w:r w:rsidRPr="00A770F4">
        <w:t xml:space="preserve">natural gas pipelines is $83.67.  This represents the average composite wage (salary </w:t>
      </w:r>
      <w:r w:rsidR="006C35E8">
        <w:br/>
      </w:r>
      <w:r w:rsidRPr="00A770F4">
        <w:t xml:space="preserve">and benefits for 2,080 annual work-hours) of the following occupational categories: </w:t>
      </w:r>
      <w:r w:rsidR="00823156">
        <w:t xml:space="preserve"> </w:t>
      </w:r>
      <w:r w:rsidRPr="00A770F4">
        <w:t xml:space="preserve">“Legal” ($128.02 per hour), “Computer Analyst” ($83.50 per hour), and “Office and Administrative” ($39.49 per hour).  Wage data is available from the Bureau of Labor Statistics at http://bls.gov/oes/current/naics2_22.htm and is compiled for the top </w:t>
      </w:r>
      <w:r w:rsidR="00823156">
        <w:br/>
      </w:r>
    </w:p>
    <w:p w14:paraId="277159EB" w14:textId="3AAB76DD" w:rsidR="0084314C" w:rsidRDefault="0084314C" w:rsidP="0013180A">
      <w:pPr>
        <w:pStyle w:val="FootnoteText"/>
        <w:ind w:firstLine="0"/>
      </w:pPr>
      <w:r w:rsidRPr="00A770F4">
        <w:t xml:space="preserve">10 percent earned.  For the estimate of the benefits component, </w:t>
      </w:r>
      <w:r w:rsidRPr="00A770F4">
        <w:rPr>
          <w:i/>
        </w:rPr>
        <w:t>see</w:t>
      </w:r>
      <w:r w:rsidRPr="00A770F4">
        <w:t xml:space="preserve"> http://www.bls.gov/news.release/ecec.nr0.htm.</w:t>
      </w:r>
    </w:p>
  </w:footnote>
  <w:footnote w:id="57">
    <w:p w14:paraId="54686480" w14:textId="401E4F7A" w:rsidR="0084314C" w:rsidRDefault="0084314C" w:rsidP="00F4490B">
      <w:pPr>
        <w:pStyle w:val="FootnoteText"/>
      </w:pPr>
      <w:r w:rsidRPr="00581869">
        <w:rPr>
          <w:rStyle w:val="FootnoteReference"/>
        </w:rPr>
        <w:footnoteRef/>
      </w:r>
      <w:r>
        <w:t xml:space="preserve"> </w:t>
      </w:r>
      <w:r w:rsidRPr="00D77CAD">
        <w:rPr>
          <w:i/>
        </w:rPr>
        <w:t>Regulations Implementing the National Environmental Policy Act</w:t>
      </w:r>
      <w:r w:rsidR="00D77CAD">
        <w:rPr>
          <w:i/>
        </w:rPr>
        <w:t xml:space="preserve"> of 1969</w:t>
      </w:r>
      <w:r>
        <w:t xml:space="preserve">, </w:t>
      </w:r>
      <w:r w:rsidR="00D77CAD">
        <w:t xml:space="preserve">Order No. 486, </w:t>
      </w:r>
      <w:r>
        <w:t xml:space="preserve">52 FR 47897 (Dec. 17, 1987), FERC Stats. &amp; Regs. </w:t>
      </w:r>
      <w:r w:rsidR="006765D1">
        <w:t xml:space="preserve">Regulations </w:t>
      </w:r>
      <w:r>
        <w:t>Preambles 1986-1990 ¶ 30,783 (1987).</w:t>
      </w:r>
    </w:p>
  </w:footnote>
  <w:footnote w:id="58">
    <w:p w14:paraId="43E463D5" w14:textId="77777777" w:rsidR="0084314C" w:rsidRDefault="0084314C" w:rsidP="00B66993">
      <w:pPr>
        <w:pStyle w:val="FootnoteText"/>
      </w:pPr>
      <w:r w:rsidRPr="00581869">
        <w:rPr>
          <w:rStyle w:val="FootnoteReference"/>
        </w:rPr>
        <w:footnoteRef/>
      </w:r>
      <w:r w:rsidRPr="005A12B9">
        <w:t xml:space="preserve"> 18 CFR 380.4.</w:t>
      </w:r>
    </w:p>
  </w:footnote>
  <w:footnote w:id="59">
    <w:p w14:paraId="2BD6BA59" w14:textId="77777777" w:rsidR="0084314C" w:rsidRDefault="0084314C" w:rsidP="00B66993">
      <w:pPr>
        <w:pStyle w:val="FootnoteText"/>
      </w:pPr>
      <w:r w:rsidRPr="00581869">
        <w:rPr>
          <w:rStyle w:val="FootnoteReference"/>
        </w:rPr>
        <w:footnoteRef/>
      </w:r>
      <w:r w:rsidRPr="005A12B9">
        <w:t xml:space="preserve"> </w:t>
      </w:r>
      <w:r w:rsidRPr="00765E03">
        <w:rPr>
          <w:i/>
        </w:rPr>
        <w:t>See</w:t>
      </w:r>
      <w:r w:rsidRPr="005A12B9">
        <w:t xml:space="preserve"> 18 CFR 380.4(a)(2)(ii), 380.4(a)(5), 380.4(a)(27).</w:t>
      </w:r>
    </w:p>
  </w:footnote>
  <w:footnote w:id="60">
    <w:p w14:paraId="67B7A53F" w14:textId="77777777" w:rsidR="0084314C" w:rsidRDefault="0084314C" w:rsidP="00F4490B">
      <w:pPr>
        <w:pStyle w:val="FootnoteText"/>
      </w:pPr>
      <w:r w:rsidRPr="00581869">
        <w:rPr>
          <w:rStyle w:val="FootnoteReference"/>
        </w:rPr>
        <w:footnoteRef/>
      </w:r>
      <w:r>
        <w:t xml:space="preserve"> 5 U.S.C. 601-612.</w:t>
      </w:r>
    </w:p>
  </w:footnote>
  <w:footnote w:id="61">
    <w:p w14:paraId="0B4B5594" w14:textId="77777777" w:rsidR="0084314C" w:rsidRDefault="0084314C" w:rsidP="00B66993">
      <w:pPr>
        <w:pStyle w:val="FootnoteText"/>
      </w:pPr>
      <w:r w:rsidRPr="00581869">
        <w:rPr>
          <w:rStyle w:val="FootnoteReference"/>
        </w:rPr>
        <w:footnoteRef/>
      </w:r>
      <w:r>
        <w:t xml:space="preserve"> </w:t>
      </w:r>
      <w:r w:rsidRPr="004F0CDB">
        <w:t>13 CFR 121.</w:t>
      </w:r>
      <w:r>
        <w:t>1</w:t>
      </w:r>
      <w:r w:rsidRPr="004F0CDB">
        <w:t>01</w:t>
      </w:r>
      <w:r>
        <w:t>.</w:t>
      </w:r>
    </w:p>
  </w:footnote>
  <w:footnote w:id="62">
    <w:p w14:paraId="641ED39F" w14:textId="77777777" w:rsidR="0084314C" w:rsidRDefault="0084314C" w:rsidP="00B66993">
      <w:pPr>
        <w:pStyle w:val="FootnoteText"/>
      </w:pPr>
      <w:r w:rsidRPr="00581869">
        <w:rPr>
          <w:rStyle w:val="FootnoteReference"/>
        </w:rPr>
        <w:footnoteRef/>
      </w:r>
      <w:r>
        <w:t xml:space="preserve"> 13 CFR 121.201, subsection 486.</w:t>
      </w:r>
    </w:p>
  </w:footnote>
  <w:footnote w:id="63">
    <w:p w14:paraId="0DA97832" w14:textId="1191C4F2" w:rsidR="0084314C" w:rsidRDefault="0084314C" w:rsidP="00B66993">
      <w:pPr>
        <w:pStyle w:val="FootnoteText"/>
      </w:pPr>
      <w:r w:rsidRPr="00581869">
        <w:rPr>
          <w:rStyle w:val="FootnoteReference"/>
        </w:rPr>
        <w:footnoteRef/>
      </w:r>
      <w:r>
        <w:t xml:space="preserve"> This number is derived by dividing the total cost figure by the number of respondents.  $441,778/165 = $2,677.</w:t>
      </w:r>
    </w:p>
  </w:footnote>
  <w:footnote w:id="64">
    <w:p w14:paraId="6EFEA35A" w14:textId="22323249" w:rsidR="0084314C" w:rsidRDefault="0084314C">
      <w:pPr>
        <w:pStyle w:val="FootnoteText"/>
      </w:pPr>
      <w:r w:rsidRPr="00581869">
        <w:rPr>
          <w:rStyle w:val="FootnoteReference"/>
        </w:rPr>
        <w:footnoteRef/>
      </w:r>
      <w:r>
        <w:t xml:space="preserve"> 5 U.S.C. 605(b).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849AD" w14:textId="77777777" w:rsidR="0084314C" w:rsidRDefault="0084314C" w:rsidP="00F449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4C7D">
      <w:rPr>
        <w:rStyle w:val="PageNumber"/>
        <w:noProof/>
      </w:rPr>
      <w:t>xxviii</w:t>
    </w:r>
    <w:r>
      <w:rPr>
        <w:rStyle w:val="PageNumber"/>
      </w:rPr>
      <w:fldChar w:fldCharType="end"/>
    </w:r>
  </w:p>
  <w:p w14:paraId="451F3090" w14:textId="77777777" w:rsidR="0084314C" w:rsidRDefault="0084314C" w:rsidP="00F4490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62DA5" w14:textId="117A7DE7" w:rsidR="0084314C" w:rsidRDefault="0084314C" w:rsidP="00EB1FC7">
    <w:pPr>
      <w:pStyle w:val="Header"/>
      <w:spacing w:after="240"/>
    </w:pPr>
    <w:r>
      <w:t xml:space="preserve">Docket No. RM96-1-038 </w:t>
    </w:r>
    <w:r>
      <w:tab/>
      <w:t>-</w:t>
    </w:r>
    <w:r>
      <w:fldChar w:fldCharType="begin"/>
    </w:r>
    <w:r>
      <w:instrText xml:space="preserve"> PAGE  \* MERGEFORMAT </w:instrText>
    </w:r>
    <w:r>
      <w:fldChar w:fldCharType="separate"/>
    </w:r>
    <w:r w:rsidR="00F63E12">
      <w:rPr>
        <w:noProof/>
      </w:rPr>
      <w:t>iii</w:t>
    </w:r>
    <w:r>
      <w:fldChar w:fldCharType="end"/>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45DD0" w14:textId="77777777" w:rsidR="0084314C" w:rsidRDefault="0084314C" w:rsidP="00EB1FC7">
    <w:pPr>
      <w:pStyle w:val="Header"/>
      <w:spacing w:after="240"/>
    </w:pPr>
    <w:r>
      <w:t>Docket No. RM96-1-038</w:t>
    </w:r>
    <w:r>
      <w:tab/>
    </w:r>
    <w:r>
      <w:fldChar w:fldCharType="begin"/>
    </w:r>
    <w:r>
      <w:instrText xml:space="preserve"> PAGE  \* MERGEFORMAT </w:instrText>
    </w:r>
    <w:r>
      <w:fldChar w:fldCharType="separate"/>
    </w:r>
    <w:r w:rsidR="00F63E12">
      <w:rPr>
        <w:noProof/>
      </w:rPr>
      <w:t>- 35 -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nsid w:val="00155665"/>
    <w:multiLevelType w:val="hybridMultilevel"/>
    <w:tmpl w:val="DF1E204A"/>
    <w:lvl w:ilvl="0" w:tplc="C37C0BA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5C5704"/>
    <w:multiLevelType w:val="hybridMultilevel"/>
    <w:tmpl w:val="FA4A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202536"/>
    <w:multiLevelType w:val="multilevel"/>
    <w:tmpl w:val="2F786B8C"/>
    <w:lvl w:ilvl="0">
      <w:start w:val="1"/>
      <w:numFmt w:val="upperRoman"/>
      <w:lvlRestart w:val="0"/>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4">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15">
    <w:nsid w:val="7E4E4DD3"/>
    <w:multiLevelType w:val="hybridMultilevel"/>
    <w:tmpl w:val="C6FC6362"/>
    <w:lvl w:ilvl="0" w:tplc="03DC8F60">
      <w:start w:val="1"/>
      <w:numFmt w:val="decimal"/>
      <w:pStyle w:val="FERCparanumber"/>
      <w:lvlText w:val="%1."/>
      <w:lvlJc w:val="left"/>
      <w:pPr>
        <w:tabs>
          <w:tab w:val="num" w:pos="720"/>
        </w:tabs>
        <w:ind w:left="0" w:firstLine="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1"/>
  </w:num>
  <w:num w:numId="15">
    <w:abstractNumId w:val="12"/>
  </w:num>
  <w:num w:numId="16">
    <w:abstractNumId w:val="15"/>
  </w:num>
  <w:num w:numId="17">
    <w:abstractNumId w:val="15"/>
  </w:num>
  <w:num w:numId="1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C7"/>
    <w:rsid w:val="00001B9D"/>
    <w:rsid w:val="00003B3F"/>
    <w:rsid w:val="000060FC"/>
    <w:rsid w:val="00006E79"/>
    <w:rsid w:val="00007013"/>
    <w:rsid w:val="00010561"/>
    <w:rsid w:val="0001111E"/>
    <w:rsid w:val="00015BA4"/>
    <w:rsid w:val="00017BC9"/>
    <w:rsid w:val="00020927"/>
    <w:rsid w:val="0002233B"/>
    <w:rsid w:val="000306AF"/>
    <w:rsid w:val="00033A3C"/>
    <w:rsid w:val="000354F3"/>
    <w:rsid w:val="00036021"/>
    <w:rsid w:val="00042BCC"/>
    <w:rsid w:val="00043E6A"/>
    <w:rsid w:val="00044589"/>
    <w:rsid w:val="0005406C"/>
    <w:rsid w:val="000544B5"/>
    <w:rsid w:val="00055B09"/>
    <w:rsid w:val="00060AEC"/>
    <w:rsid w:val="00061F05"/>
    <w:rsid w:val="000630E3"/>
    <w:rsid w:val="00063363"/>
    <w:rsid w:val="00064D88"/>
    <w:rsid w:val="0006768F"/>
    <w:rsid w:val="000738DE"/>
    <w:rsid w:val="00077660"/>
    <w:rsid w:val="00093227"/>
    <w:rsid w:val="00094059"/>
    <w:rsid w:val="00095B81"/>
    <w:rsid w:val="000964CE"/>
    <w:rsid w:val="000973D0"/>
    <w:rsid w:val="000A3EB7"/>
    <w:rsid w:val="000A500F"/>
    <w:rsid w:val="000A643F"/>
    <w:rsid w:val="000A6C3B"/>
    <w:rsid w:val="000B32A9"/>
    <w:rsid w:val="000B32DC"/>
    <w:rsid w:val="000B3933"/>
    <w:rsid w:val="000B5FB2"/>
    <w:rsid w:val="000B7666"/>
    <w:rsid w:val="000D348F"/>
    <w:rsid w:val="000D376F"/>
    <w:rsid w:val="000D6533"/>
    <w:rsid w:val="000D709F"/>
    <w:rsid w:val="000E019F"/>
    <w:rsid w:val="000E0D77"/>
    <w:rsid w:val="000E314D"/>
    <w:rsid w:val="000E5DA1"/>
    <w:rsid w:val="000E6E42"/>
    <w:rsid w:val="000E733C"/>
    <w:rsid w:val="000F1A65"/>
    <w:rsid w:val="000F3E9D"/>
    <w:rsid w:val="000F40DE"/>
    <w:rsid w:val="00101744"/>
    <w:rsid w:val="00105FF6"/>
    <w:rsid w:val="001067F2"/>
    <w:rsid w:val="0010758E"/>
    <w:rsid w:val="00107D5A"/>
    <w:rsid w:val="0011005F"/>
    <w:rsid w:val="00110725"/>
    <w:rsid w:val="001128A5"/>
    <w:rsid w:val="0011549F"/>
    <w:rsid w:val="0011560A"/>
    <w:rsid w:val="00122EF4"/>
    <w:rsid w:val="00125E36"/>
    <w:rsid w:val="001278B8"/>
    <w:rsid w:val="00127B80"/>
    <w:rsid w:val="00130484"/>
    <w:rsid w:val="0013180A"/>
    <w:rsid w:val="00131CA2"/>
    <w:rsid w:val="0013289A"/>
    <w:rsid w:val="00134915"/>
    <w:rsid w:val="00135393"/>
    <w:rsid w:val="00140508"/>
    <w:rsid w:val="0014077F"/>
    <w:rsid w:val="00144766"/>
    <w:rsid w:val="001450B0"/>
    <w:rsid w:val="001455D7"/>
    <w:rsid w:val="00145BF3"/>
    <w:rsid w:val="001460E5"/>
    <w:rsid w:val="00146A35"/>
    <w:rsid w:val="00147246"/>
    <w:rsid w:val="00150A29"/>
    <w:rsid w:val="00153D09"/>
    <w:rsid w:val="001541A7"/>
    <w:rsid w:val="0015507A"/>
    <w:rsid w:val="001619AF"/>
    <w:rsid w:val="00162576"/>
    <w:rsid w:val="00164FE9"/>
    <w:rsid w:val="00167D5C"/>
    <w:rsid w:val="001701EA"/>
    <w:rsid w:val="001722E3"/>
    <w:rsid w:val="00173678"/>
    <w:rsid w:val="00176FE3"/>
    <w:rsid w:val="00177390"/>
    <w:rsid w:val="00182BF3"/>
    <w:rsid w:val="00183FD6"/>
    <w:rsid w:val="001853F5"/>
    <w:rsid w:val="00190E00"/>
    <w:rsid w:val="00193852"/>
    <w:rsid w:val="00196908"/>
    <w:rsid w:val="001A08A8"/>
    <w:rsid w:val="001A12DE"/>
    <w:rsid w:val="001A3237"/>
    <w:rsid w:val="001A426E"/>
    <w:rsid w:val="001A4C5E"/>
    <w:rsid w:val="001A509E"/>
    <w:rsid w:val="001A5D72"/>
    <w:rsid w:val="001A68C8"/>
    <w:rsid w:val="001B4D9E"/>
    <w:rsid w:val="001C139A"/>
    <w:rsid w:val="001C17A3"/>
    <w:rsid w:val="001C2ADC"/>
    <w:rsid w:val="001C5E36"/>
    <w:rsid w:val="001C6CD2"/>
    <w:rsid w:val="001D0604"/>
    <w:rsid w:val="001D089C"/>
    <w:rsid w:val="001D220D"/>
    <w:rsid w:val="001D3568"/>
    <w:rsid w:val="001D6113"/>
    <w:rsid w:val="001D75C1"/>
    <w:rsid w:val="001D7F9B"/>
    <w:rsid w:val="001E1B1A"/>
    <w:rsid w:val="001E1D6A"/>
    <w:rsid w:val="001E21EE"/>
    <w:rsid w:val="001E2D62"/>
    <w:rsid w:val="001E4A71"/>
    <w:rsid w:val="001E59D4"/>
    <w:rsid w:val="001F2EEF"/>
    <w:rsid w:val="001F3934"/>
    <w:rsid w:val="001F7FC3"/>
    <w:rsid w:val="002002AD"/>
    <w:rsid w:val="00200B82"/>
    <w:rsid w:val="00202422"/>
    <w:rsid w:val="00204512"/>
    <w:rsid w:val="00204EB0"/>
    <w:rsid w:val="00206D7D"/>
    <w:rsid w:val="002106AD"/>
    <w:rsid w:val="00211330"/>
    <w:rsid w:val="00214C9E"/>
    <w:rsid w:val="00215AC5"/>
    <w:rsid w:val="00215DA9"/>
    <w:rsid w:val="0022341C"/>
    <w:rsid w:val="002246EF"/>
    <w:rsid w:val="00231316"/>
    <w:rsid w:val="0023489A"/>
    <w:rsid w:val="002375ED"/>
    <w:rsid w:val="00240066"/>
    <w:rsid w:val="00240586"/>
    <w:rsid w:val="002426C3"/>
    <w:rsid w:val="00243A8E"/>
    <w:rsid w:val="00252420"/>
    <w:rsid w:val="00252506"/>
    <w:rsid w:val="00252972"/>
    <w:rsid w:val="00253FC6"/>
    <w:rsid w:val="0025400C"/>
    <w:rsid w:val="002553AC"/>
    <w:rsid w:val="00255663"/>
    <w:rsid w:val="0025783E"/>
    <w:rsid w:val="0026424F"/>
    <w:rsid w:val="00264564"/>
    <w:rsid w:val="00266808"/>
    <w:rsid w:val="002747B3"/>
    <w:rsid w:val="002756B8"/>
    <w:rsid w:val="00277C63"/>
    <w:rsid w:val="00277D1A"/>
    <w:rsid w:val="00280451"/>
    <w:rsid w:val="0028132C"/>
    <w:rsid w:val="00281B3C"/>
    <w:rsid w:val="00282B1D"/>
    <w:rsid w:val="00282D15"/>
    <w:rsid w:val="002852E3"/>
    <w:rsid w:val="0028697E"/>
    <w:rsid w:val="002875D8"/>
    <w:rsid w:val="00290472"/>
    <w:rsid w:val="00291716"/>
    <w:rsid w:val="002959F3"/>
    <w:rsid w:val="00297A1D"/>
    <w:rsid w:val="002A0E8A"/>
    <w:rsid w:val="002A5520"/>
    <w:rsid w:val="002B0506"/>
    <w:rsid w:val="002B0C7A"/>
    <w:rsid w:val="002B2363"/>
    <w:rsid w:val="002B54C4"/>
    <w:rsid w:val="002B6530"/>
    <w:rsid w:val="002B7D27"/>
    <w:rsid w:val="002C012F"/>
    <w:rsid w:val="002C1C5D"/>
    <w:rsid w:val="002C3700"/>
    <w:rsid w:val="002C4EF3"/>
    <w:rsid w:val="002C566E"/>
    <w:rsid w:val="002C5A27"/>
    <w:rsid w:val="002D1319"/>
    <w:rsid w:val="002D1796"/>
    <w:rsid w:val="002D2CF7"/>
    <w:rsid w:val="002D502E"/>
    <w:rsid w:val="002D52AE"/>
    <w:rsid w:val="002D6D78"/>
    <w:rsid w:val="002D7D08"/>
    <w:rsid w:val="002E1E26"/>
    <w:rsid w:val="002E4290"/>
    <w:rsid w:val="002E6121"/>
    <w:rsid w:val="002E6453"/>
    <w:rsid w:val="002E65D1"/>
    <w:rsid w:val="002E6C23"/>
    <w:rsid w:val="002E7495"/>
    <w:rsid w:val="002E770C"/>
    <w:rsid w:val="002F2C6F"/>
    <w:rsid w:val="002F59AF"/>
    <w:rsid w:val="00301152"/>
    <w:rsid w:val="003023C7"/>
    <w:rsid w:val="00302619"/>
    <w:rsid w:val="00303ECA"/>
    <w:rsid w:val="00310013"/>
    <w:rsid w:val="00310DCC"/>
    <w:rsid w:val="00311B1B"/>
    <w:rsid w:val="00320784"/>
    <w:rsid w:val="003303B3"/>
    <w:rsid w:val="0033292D"/>
    <w:rsid w:val="003350BC"/>
    <w:rsid w:val="0033571D"/>
    <w:rsid w:val="00350924"/>
    <w:rsid w:val="00352C04"/>
    <w:rsid w:val="0035446A"/>
    <w:rsid w:val="00354CA4"/>
    <w:rsid w:val="00356443"/>
    <w:rsid w:val="00356DE0"/>
    <w:rsid w:val="00360241"/>
    <w:rsid w:val="003616F2"/>
    <w:rsid w:val="003618AE"/>
    <w:rsid w:val="003654C5"/>
    <w:rsid w:val="00365F9F"/>
    <w:rsid w:val="003734FE"/>
    <w:rsid w:val="00380088"/>
    <w:rsid w:val="00381F65"/>
    <w:rsid w:val="00382564"/>
    <w:rsid w:val="00384B96"/>
    <w:rsid w:val="00385471"/>
    <w:rsid w:val="00385528"/>
    <w:rsid w:val="00386BAB"/>
    <w:rsid w:val="00387B47"/>
    <w:rsid w:val="00387FB2"/>
    <w:rsid w:val="00393FAA"/>
    <w:rsid w:val="00395734"/>
    <w:rsid w:val="00395B29"/>
    <w:rsid w:val="00395E13"/>
    <w:rsid w:val="003A16CB"/>
    <w:rsid w:val="003A1859"/>
    <w:rsid w:val="003A1A81"/>
    <w:rsid w:val="003A21F0"/>
    <w:rsid w:val="003A3A1A"/>
    <w:rsid w:val="003A7663"/>
    <w:rsid w:val="003B0BF6"/>
    <w:rsid w:val="003B4990"/>
    <w:rsid w:val="003B5CC1"/>
    <w:rsid w:val="003B624D"/>
    <w:rsid w:val="003B708B"/>
    <w:rsid w:val="003C31A8"/>
    <w:rsid w:val="003D3C82"/>
    <w:rsid w:val="003D3EF2"/>
    <w:rsid w:val="003E36DD"/>
    <w:rsid w:val="003E5C8D"/>
    <w:rsid w:val="003F011D"/>
    <w:rsid w:val="003F0247"/>
    <w:rsid w:val="003F0D3F"/>
    <w:rsid w:val="003F590E"/>
    <w:rsid w:val="003F6EDE"/>
    <w:rsid w:val="0040233E"/>
    <w:rsid w:val="00404C1B"/>
    <w:rsid w:val="00410457"/>
    <w:rsid w:val="00413F68"/>
    <w:rsid w:val="004210A2"/>
    <w:rsid w:val="00423354"/>
    <w:rsid w:val="00426D49"/>
    <w:rsid w:val="0043382D"/>
    <w:rsid w:val="0043427F"/>
    <w:rsid w:val="00435317"/>
    <w:rsid w:val="00435F5E"/>
    <w:rsid w:val="0043796B"/>
    <w:rsid w:val="00443B68"/>
    <w:rsid w:val="004441D5"/>
    <w:rsid w:val="00444FC9"/>
    <w:rsid w:val="004456FB"/>
    <w:rsid w:val="004457FF"/>
    <w:rsid w:val="004459B6"/>
    <w:rsid w:val="00447165"/>
    <w:rsid w:val="004504FE"/>
    <w:rsid w:val="00450972"/>
    <w:rsid w:val="00453AA9"/>
    <w:rsid w:val="0045406D"/>
    <w:rsid w:val="004561CC"/>
    <w:rsid w:val="00456DF6"/>
    <w:rsid w:val="00461B52"/>
    <w:rsid w:val="0046225D"/>
    <w:rsid w:val="00465420"/>
    <w:rsid w:val="004675D3"/>
    <w:rsid w:val="00472AED"/>
    <w:rsid w:val="00472C0E"/>
    <w:rsid w:val="00475744"/>
    <w:rsid w:val="00476E2C"/>
    <w:rsid w:val="00481C81"/>
    <w:rsid w:val="00484FFB"/>
    <w:rsid w:val="00486815"/>
    <w:rsid w:val="004877BB"/>
    <w:rsid w:val="00493467"/>
    <w:rsid w:val="0049353F"/>
    <w:rsid w:val="004943A1"/>
    <w:rsid w:val="00494BF5"/>
    <w:rsid w:val="00495B6D"/>
    <w:rsid w:val="00495D49"/>
    <w:rsid w:val="004A0C80"/>
    <w:rsid w:val="004A104D"/>
    <w:rsid w:val="004A2E84"/>
    <w:rsid w:val="004B2808"/>
    <w:rsid w:val="004B4F19"/>
    <w:rsid w:val="004B5B9D"/>
    <w:rsid w:val="004C470B"/>
    <w:rsid w:val="004C5DA2"/>
    <w:rsid w:val="004D0548"/>
    <w:rsid w:val="004D543A"/>
    <w:rsid w:val="004D723B"/>
    <w:rsid w:val="004E021C"/>
    <w:rsid w:val="004E0FFD"/>
    <w:rsid w:val="004E1EEC"/>
    <w:rsid w:val="004E50F6"/>
    <w:rsid w:val="004F0FB4"/>
    <w:rsid w:val="004F3359"/>
    <w:rsid w:val="00500594"/>
    <w:rsid w:val="00502A03"/>
    <w:rsid w:val="00510866"/>
    <w:rsid w:val="00510D51"/>
    <w:rsid w:val="005120DC"/>
    <w:rsid w:val="0051293D"/>
    <w:rsid w:val="00512CCF"/>
    <w:rsid w:val="00512F51"/>
    <w:rsid w:val="005200F3"/>
    <w:rsid w:val="0052383E"/>
    <w:rsid w:val="00530096"/>
    <w:rsid w:val="00531C65"/>
    <w:rsid w:val="005334B1"/>
    <w:rsid w:val="0053381C"/>
    <w:rsid w:val="00537319"/>
    <w:rsid w:val="0053745E"/>
    <w:rsid w:val="00540649"/>
    <w:rsid w:val="00542F37"/>
    <w:rsid w:val="00546996"/>
    <w:rsid w:val="0055115C"/>
    <w:rsid w:val="00551722"/>
    <w:rsid w:val="0055424A"/>
    <w:rsid w:val="00554A45"/>
    <w:rsid w:val="00555578"/>
    <w:rsid w:val="00556EBF"/>
    <w:rsid w:val="0056269C"/>
    <w:rsid w:val="00563279"/>
    <w:rsid w:val="005662D9"/>
    <w:rsid w:val="00567458"/>
    <w:rsid w:val="00570E0E"/>
    <w:rsid w:val="00572737"/>
    <w:rsid w:val="0057509C"/>
    <w:rsid w:val="00576F39"/>
    <w:rsid w:val="00576F77"/>
    <w:rsid w:val="00577AED"/>
    <w:rsid w:val="00581869"/>
    <w:rsid w:val="00583131"/>
    <w:rsid w:val="005831A7"/>
    <w:rsid w:val="00585DED"/>
    <w:rsid w:val="005868E0"/>
    <w:rsid w:val="00587397"/>
    <w:rsid w:val="00593B5D"/>
    <w:rsid w:val="00597BE5"/>
    <w:rsid w:val="005A0791"/>
    <w:rsid w:val="005A1771"/>
    <w:rsid w:val="005A1BC5"/>
    <w:rsid w:val="005A2D11"/>
    <w:rsid w:val="005A3527"/>
    <w:rsid w:val="005A4BB1"/>
    <w:rsid w:val="005A528E"/>
    <w:rsid w:val="005A77EE"/>
    <w:rsid w:val="005B1807"/>
    <w:rsid w:val="005B19E1"/>
    <w:rsid w:val="005B6388"/>
    <w:rsid w:val="005B73D4"/>
    <w:rsid w:val="005B7E3F"/>
    <w:rsid w:val="005C1C71"/>
    <w:rsid w:val="005C403F"/>
    <w:rsid w:val="005C4304"/>
    <w:rsid w:val="005C4D56"/>
    <w:rsid w:val="005C5EC8"/>
    <w:rsid w:val="005C6149"/>
    <w:rsid w:val="005C7358"/>
    <w:rsid w:val="005D36C6"/>
    <w:rsid w:val="005E0A71"/>
    <w:rsid w:val="005E0B8C"/>
    <w:rsid w:val="005E1AA5"/>
    <w:rsid w:val="005E46B1"/>
    <w:rsid w:val="005E77AD"/>
    <w:rsid w:val="005F037C"/>
    <w:rsid w:val="005F25F1"/>
    <w:rsid w:val="005F2701"/>
    <w:rsid w:val="005F29EC"/>
    <w:rsid w:val="005F31CF"/>
    <w:rsid w:val="005F33CB"/>
    <w:rsid w:val="005F6418"/>
    <w:rsid w:val="0060470F"/>
    <w:rsid w:val="00604FE9"/>
    <w:rsid w:val="00605E2F"/>
    <w:rsid w:val="0060755E"/>
    <w:rsid w:val="00610202"/>
    <w:rsid w:val="0061075E"/>
    <w:rsid w:val="00614B9A"/>
    <w:rsid w:val="00617427"/>
    <w:rsid w:val="006224AA"/>
    <w:rsid w:val="00624CC4"/>
    <w:rsid w:val="0063202E"/>
    <w:rsid w:val="006330EA"/>
    <w:rsid w:val="006354A6"/>
    <w:rsid w:val="00636C6F"/>
    <w:rsid w:val="00636FD8"/>
    <w:rsid w:val="00640844"/>
    <w:rsid w:val="00641534"/>
    <w:rsid w:val="00656F9C"/>
    <w:rsid w:val="006575F9"/>
    <w:rsid w:val="00660579"/>
    <w:rsid w:val="006630B7"/>
    <w:rsid w:val="00663DC6"/>
    <w:rsid w:val="0066511C"/>
    <w:rsid w:val="00666626"/>
    <w:rsid w:val="006667AE"/>
    <w:rsid w:val="00667898"/>
    <w:rsid w:val="006765D1"/>
    <w:rsid w:val="00676722"/>
    <w:rsid w:val="00676C26"/>
    <w:rsid w:val="00676EFA"/>
    <w:rsid w:val="00677583"/>
    <w:rsid w:val="00680B5A"/>
    <w:rsid w:val="00680FA6"/>
    <w:rsid w:val="0068189D"/>
    <w:rsid w:val="0068394F"/>
    <w:rsid w:val="00686DC3"/>
    <w:rsid w:val="00691487"/>
    <w:rsid w:val="006925A1"/>
    <w:rsid w:val="00692769"/>
    <w:rsid w:val="00693007"/>
    <w:rsid w:val="00695373"/>
    <w:rsid w:val="006960C2"/>
    <w:rsid w:val="006A0444"/>
    <w:rsid w:val="006A0CEE"/>
    <w:rsid w:val="006A57D4"/>
    <w:rsid w:val="006A7244"/>
    <w:rsid w:val="006B19A6"/>
    <w:rsid w:val="006B22FB"/>
    <w:rsid w:val="006C1639"/>
    <w:rsid w:val="006C2FA6"/>
    <w:rsid w:val="006C3221"/>
    <w:rsid w:val="006C35E8"/>
    <w:rsid w:val="006C3B8E"/>
    <w:rsid w:val="006D0AC6"/>
    <w:rsid w:val="006D7368"/>
    <w:rsid w:val="006E031B"/>
    <w:rsid w:val="006E1532"/>
    <w:rsid w:val="006E1C2C"/>
    <w:rsid w:val="006E1C49"/>
    <w:rsid w:val="006E28A5"/>
    <w:rsid w:val="006E5AF2"/>
    <w:rsid w:val="006F18D5"/>
    <w:rsid w:val="006F3629"/>
    <w:rsid w:val="006F3994"/>
    <w:rsid w:val="006F5A2A"/>
    <w:rsid w:val="006F62EE"/>
    <w:rsid w:val="00700279"/>
    <w:rsid w:val="00706F67"/>
    <w:rsid w:val="0070707C"/>
    <w:rsid w:val="00707F34"/>
    <w:rsid w:val="00712AF9"/>
    <w:rsid w:val="007232DD"/>
    <w:rsid w:val="00723333"/>
    <w:rsid w:val="00723A08"/>
    <w:rsid w:val="00723BAF"/>
    <w:rsid w:val="007251C1"/>
    <w:rsid w:val="00726AB4"/>
    <w:rsid w:val="00730373"/>
    <w:rsid w:val="00731A9B"/>
    <w:rsid w:val="00731CA8"/>
    <w:rsid w:val="00732708"/>
    <w:rsid w:val="00734A04"/>
    <w:rsid w:val="00744876"/>
    <w:rsid w:val="00745DCF"/>
    <w:rsid w:val="00750123"/>
    <w:rsid w:val="00751675"/>
    <w:rsid w:val="0075410C"/>
    <w:rsid w:val="00755061"/>
    <w:rsid w:val="007571B8"/>
    <w:rsid w:val="007605A6"/>
    <w:rsid w:val="007612C7"/>
    <w:rsid w:val="00761496"/>
    <w:rsid w:val="00763AB9"/>
    <w:rsid w:val="00765527"/>
    <w:rsid w:val="00765D80"/>
    <w:rsid w:val="00766734"/>
    <w:rsid w:val="00766EED"/>
    <w:rsid w:val="007672A3"/>
    <w:rsid w:val="00767DDD"/>
    <w:rsid w:val="00775174"/>
    <w:rsid w:val="00777A8A"/>
    <w:rsid w:val="00780B6B"/>
    <w:rsid w:val="00781584"/>
    <w:rsid w:val="00784577"/>
    <w:rsid w:val="007902D3"/>
    <w:rsid w:val="00795132"/>
    <w:rsid w:val="007974D5"/>
    <w:rsid w:val="00797B72"/>
    <w:rsid w:val="007A14F4"/>
    <w:rsid w:val="007A1743"/>
    <w:rsid w:val="007A3439"/>
    <w:rsid w:val="007A684A"/>
    <w:rsid w:val="007B06D8"/>
    <w:rsid w:val="007B1D95"/>
    <w:rsid w:val="007B224A"/>
    <w:rsid w:val="007B3C7B"/>
    <w:rsid w:val="007B3D9E"/>
    <w:rsid w:val="007B684F"/>
    <w:rsid w:val="007C07A4"/>
    <w:rsid w:val="007C0AF3"/>
    <w:rsid w:val="007C7542"/>
    <w:rsid w:val="007D0129"/>
    <w:rsid w:val="007D2BB5"/>
    <w:rsid w:val="007D4408"/>
    <w:rsid w:val="007D5651"/>
    <w:rsid w:val="007D5813"/>
    <w:rsid w:val="007D7692"/>
    <w:rsid w:val="007E1F86"/>
    <w:rsid w:val="007E26D4"/>
    <w:rsid w:val="007E4499"/>
    <w:rsid w:val="007E5582"/>
    <w:rsid w:val="007E6EC4"/>
    <w:rsid w:val="007E784B"/>
    <w:rsid w:val="007F026A"/>
    <w:rsid w:val="007F4C0E"/>
    <w:rsid w:val="007F5B13"/>
    <w:rsid w:val="007F7E50"/>
    <w:rsid w:val="00800DA5"/>
    <w:rsid w:val="0080177E"/>
    <w:rsid w:val="0080457E"/>
    <w:rsid w:val="00806DB5"/>
    <w:rsid w:val="0081425F"/>
    <w:rsid w:val="00814337"/>
    <w:rsid w:val="008161C6"/>
    <w:rsid w:val="008218E9"/>
    <w:rsid w:val="00822B85"/>
    <w:rsid w:val="00823156"/>
    <w:rsid w:val="00823B3F"/>
    <w:rsid w:val="0082741E"/>
    <w:rsid w:val="00827F8F"/>
    <w:rsid w:val="00832487"/>
    <w:rsid w:val="0083383A"/>
    <w:rsid w:val="00834CCC"/>
    <w:rsid w:val="008414A3"/>
    <w:rsid w:val="00841F97"/>
    <w:rsid w:val="0084314C"/>
    <w:rsid w:val="008437B4"/>
    <w:rsid w:val="00843F17"/>
    <w:rsid w:val="00844606"/>
    <w:rsid w:val="00852557"/>
    <w:rsid w:val="00857315"/>
    <w:rsid w:val="00861ED1"/>
    <w:rsid w:val="00862A00"/>
    <w:rsid w:val="00864064"/>
    <w:rsid w:val="008716BA"/>
    <w:rsid w:val="00872517"/>
    <w:rsid w:val="00875103"/>
    <w:rsid w:val="0087529D"/>
    <w:rsid w:val="00875721"/>
    <w:rsid w:val="00876A75"/>
    <w:rsid w:val="008776B4"/>
    <w:rsid w:val="008803E8"/>
    <w:rsid w:val="00880E23"/>
    <w:rsid w:val="008823F6"/>
    <w:rsid w:val="00882F9A"/>
    <w:rsid w:val="008852CB"/>
    <w:rsid w:val="00885696"/>
    <w:rsid w:val="0088645D"/>
    <w:rsid w:val="008869A8"/>
    <w:rsid w:val="00891AF0"/>
    <w:rsid w:val="00893545"/>
    <w:rsid w:val="008936FE"/>
    <w:rsid w:val="00895DEE"/>
    <w:rsid w:val="00896950"/>
    <w:rsid w:val="008A2BA0"/>
    <w:rsid w:val="008A3608"/>
    <w:rsid w:val="008A6D34"/>
    <w:rsid w:val="008A6F07"/>
    <w:rsid w:val="008A7EBF"/>
    <w:rsid w:val="008B0978"/>
    <w:rsid w:val="008B52B6"/>
    <w:rsid w:val="008B5BC3"/>
    <w:rsid w:val="008C127E"/>
    <w:rsid w:val="008C1FDB"/>
    <w:rsid w:val="008D4980"/>
    <w:rsid w:val="008D655B"/>
    <w:rsid w:val="008D6DF8"/>
    <w:rsid w:val="008D6E09"/>
    <w:rsid w:val="008F0280"/>
    <w:rsid w:val="008F3326"/>
    <w:rsid w:val="008F35CE"/>
    <w:rsid w:val="008F4C7D"/>
    <w:rsid w:val="008F6389"/>
    <w:rsid w:val="008F7061"/>
    <w:rsid w:val="00900DF0"/>
    <w:rsid w:val="00901B84"/>
    <w:rsid w:val="009052C9"/>
    <w:rsid w:val="00906095"/>
    <w:rsid w:val="00907891"/>
    <w:rsid w:val="00911681"/>
    <w:rsid w:val="0091237B"/>
    <w:rsid w:val="00916F9D"/>
    <w:rsid w:val="0092158A"/>
    <w:rsid w:val="00926267"/>
    <w:rsid w:val="009322F4"/>
    <w:rsid w:val="009354C2"/>
    <w:rsid w:val="00937667"/>
    <w:rsid w:val="00937FB2"/>
    <w:rsid w:val="00942DB5"/>
    <w:rsid w:val="00944A60"/>
    <w:rsid w:val="009450DA"/>
    <w:rsid w:val="009503C6"/>
    <w:rsid w:val="0095394D"/>
    <w:rsid w:val="009545B4"/>
    <w:rsid w:val="00955701"/>
    <w:rsid w:val="009558F3"/>
    <w:rsid w:val="00961591"/>
    <w:rsid w:val="00961780"/>
    <w:rsid w:val="00972AAC"/>
    <w:rsid w:val="0097498F"/>
    <w:rsid w:val="009766EB"/>
    <w:rsid w:val="009770AA"/>
    <w:rsid w:val="00983F89"/>
    <w:rsid w:val="00993563"/>
    <w:rsid w:val="00995CD9"/>
    <w:rsid w:val="009963AE"/>
    <w:rsid w:val="00997F5D"/>
    <w:rsid w:val="009A1C9E"/>
    <w:rsid w:val="009A2444"/>
    <w:rsid w:val="009A2AE8"/>
    <w:rsid w:val="009A37C2"/>
    <w:rsid w:val="009A62BC"/>
    <w:rsid w:val="009A7C54"/>
    <w:rsid w:val="009B0E7F"/>
    <w:rsid w:val="009B30EE"/>
    <w:rsid w:val="009B7AE7"/>
    <w:rsid w:val="009B7D12"/>
    <w:rsid w:val="009C1EC8"/>
    <w:rsid w:val="009C34B8"/>
    <w:rsid w:val="009C52B0"/>
    <w:rsid w:val="009C74DF"/>
    <w:rsid w:val="009D5EFC"/>
    <w:rsid w:val="009E0976"/>
    <w:rsid w:val="009E18AB"/>
    <w:rsid w:val="009E3279"/>
    <w:rsid w:val="009E74EC"/>
    <w:rsid w:val="009F0857"/>
    <w:rsid w:val="009F64CC"/>
    <w:rsid w:val="009F6F90"/>
    <w:rsid w:val="009F720B"/>
    <w:rsid w:val="009F7845"/>
    <w:rsid w:val="00A029EF"/>
    <w:rsid w:val="00A050F9"/>
    <w:rsid w:val="00A05180"/>
    <w:rsid w:val="00A1021A"/>
    <w:rsid w:val="00A11066"/>
    <w:rsid w:val="00A152AE"/>
    <w:rsid w:val="00A22EFE"/>
    <w:rsid w:val="00A236C8"/>
    <w:rsid w:val="00A23900"/>
    <w:rsid w:val="00A2517A"/>
    <w:rsid w:val="00A27804"/>
    <w:rsid w:val="00A30B24"/>
    <w:rsid w:val="00A30BCA"/>
    <w:rsid w:val="00A30DA2"/>
    <w:rsid w:val="00A30DAD"/>
    <w:rsid w:val="00A31D97"/>
    <w:rsid w:val="00A32891"/>
    <w:rsid w:val="00A34988"/>
    <w:rsid w:val="00A40C40"/>
    <w:rsid w:val="00A45077"/>
    <w:rsid w:val="00A509AD"/>
    <w:rsid w:val="00A51AA5"/>
    <w:rsid w:val="00A54FE6"/>
    <w:rsid w:val="00A5652D"/>
    <w:rsid w:val="00A56B3F"/>
    <w:rsid w:val="00A56F69"/>
    <w:rsid w:val="00A60B91"/>
    <w:rsid w:val="00A6211A"/>
    <w:rsid w:val="00A64755"/>
    <w:rsid w:val="00A64EF9"/>
    <w:rsid w:val="00A67E7C"/>
    <w:rsid w:val="00A717E0"/>
    <w:rsid w:val="00A722CB"/>
    <w:rsid w:val="00A733BE"/>
    <w:rsid w:val="00A7447E"/>
    <w:rsid w:val="00A75A54"/>
    <w:rsid w:val="00A770F4"/>
    <w:rsid w:val="00A81671"/>
    <w:rsid w:val="00A85234"/>
    <w:rsid w:val="00A86E37"/>
    <w:rsid w:val="00A878C3"/>
    <w:rsid w:val="00A94540"/>
    <w:rsid w:val="00A94C8B"/>
    <w:rsid w:val="00A96723"/>
    <w:rsid w:val="00AA7390"/>
    <w:rsid w:val="00AB16BD"/>
    <w:rsid w:val="00AB1A40"/>
    <w:rsid w:val="00AB2BD5"/>
    <w:rsid w:val="00AB3297"/>
    <w:rsid w:val="00AB4491"/>
    <w:rsid w:val="00AB53F7"/>
    <w:rsid w:val="00AB60D7"/>
    <w:rsid w:val="00AB6257"/>
    <w:rsid w:val="00AB63CD"/>
    <w:rsid w:val="00AC060A"/>
    <w:rsid w:val="00AC1654"/>
    <w:rsid w:val="00AC4D29"/>
    <w:rsid w:val="00AD0C1A"/>
    <w:rsid w:val="00AD2FFD"/>
    <w:rsid w:val="00AD5047"/>
    <w:rsid w:val="00AD75AA"/>
    <w:rsid w:val="00AE12C7"/>
    <w:rsid w:val="00AE217F"/>
    <w:rsid w:val="00AE2AF2"/>
    <w:rsid w:val="00AE457D"/>
    <w:rsid w:val="00AE55C0"/>
    <w:rsid w:val="00AE617C"/>
    <w:rsid w:val="00AF0A6E"/>
    <w:rsid w:val="00AF1D9D"/>
    <w:rsid w:val="00AF59E1"/>
    <w:rsid w:val="00AF6DFA"/>
    <w:rsid w:val="00AF7312"/>
    <w:rsid w:val="00B00791"/>
    <w:rsid w:val="00B02A8B"/>
    <w:rsid w:val="00B06834"/>
    <w:rsid w:val="00B070B7"/>
    <w:rsid w:val="00B072C8"/>
    <w:rsid w:val="00B118F2"/>
    <w:rsid w:val="00B13E21"/>
    <w:rsid w:val="00B16BCF"/>
    <w:rsid w:val="00B22A30"/>
    <w:rsid w:val="00B231AF"/>
    <w:rsid w:val="00B2403C"/>
    <w:rsid w:val="00B2426C"/>
    <w:rsid w:val="00B30196"/>
    <w:rsid w:val="00B33295"/>
    <w:rsid w:val="00B3544A"/>
    <w:rsid w:val="00B44677"/>
    <w:rsid w:val="00B46D7E"/>
    <w:rsid w:val="00B47977"/>
    <w:rsid w:val="00B57A82"/>
    <w:rsid w:val="00B60046"/>
    <w:rsid w:val="00B61DED"/>
    <w:rsid w:val="00B63C36"/>
    <w:rsid w:val="00B65259"/>
    <w:rsid w:val="00B65B55"/>
    <w:rsid w:val="00B66993"/>
    <w:rsid w:val="00B70C77"/>
    <w:rsid w:val="00B763F1"/>
    <w:rsid w:val="00B77873"/>
    <w:rsid w:val="00B802A1"/>
    <w:rsid w:val="00B84CED"/>
    <w:rsid w:val="00B8506C"/>
    <w:rsid w:val="00B86965"/>
    <w:rsid w:val="00B90E7A"/>
    <w:rsid w:val="00B923E5"/>
    <w:rsid w:val="00B923EE"/>
    <w:rsid w:val="00B97552"/>
    <w:rsid w:val="00BA0FE6"/>
    <w:rsid w:val="00BA1434"/>
    <w:rsid w:val="00BA23E3"/>
    <w:rsid w:val="00BA6703"/>
    <w:rsid w:val="00BB272B"/>
    <w:rsid w:val="00BB5540"/>
    <w:rsid w:val="00BB5AB5"/>
    <w:rsid w:val="00BB7AC9"/>
    <w:rsid w:val="00BC02B9"/>
    <w:rsid w:val="00BD2B87"/>
    <w:rsid w:val="00BD33D5"/>
    <w:rsid w:val="00BD38C9"/>
    <w:rsid w:val="00BD6329"/>
    <w:rsid w:val="00BD64F5"/>
    <w:rsid w:val="00BE0FDE"/>
    <w:rsid w:val="00BE140B"/>
    <w:rsid w:val="00BE5080"/>
    <w:rsid w:val="00BF2DF8"/>
    <w:rsid w:val="00BF4F90"/>
    <w:rsid w:val="00BF592D"/>
    <w:rsid w:val="00C0003C"/>
    <w:rsid w:val="00C014F6"/>
    <w:rsid w:val="00C01DA2"/>
    <w:rsid w:val="00C03015"/>
    <w:rsid w:val="00C04438"/>
    <w:rsid w:val="00C04BFE"/>
    <w:rsid w:val="00C06C1B"/>
    <w:rsid w:val="00C06E6F"/>
    <w:rsid w:val="00C07E8D"/>
    <w:rsid w:val="00C11B80"/>
    <w:rsid w:val="00C165A9"/>
    <w:rsid w:val="00C16BB8"/>
    <w:rsid w:val="00C16CFA"/>
    <w:rsid w:val="00C20D04"/>
    <w:rsid w:val="00C21D9F"/>
    <w:rsid w:val="00C22E39"/>
    <w:rsid w:val="00C23226"/>
    <w:rsid w:val="00C2391F"/>
    <w:rsid w:val="00C315B9"/>
    <w:rsid w:val="00C31BFE"/>
    <w:rsid w:val="00C325B1"/>
    <w:rsid w:val="00C34176"/>
    <w:rsid w:val="00C35CF5"/>
    <w:rsid w:val="00C360CF"/>
    <w:rsid w:val="00C367F9"/>
    <w:rsid w:val="00C4261F"/>
    <w:rsid w:val="00C45720"/>
    <w:rsid w:val="00C5256F"/>
    <w:rsid w:val="00C54098"/>
    <w:rsid w:val="00C574CB"/>
    <w:rsid w:val="00C608E1"/>
    <w:rsid w:val="00C65608"/>
    <w:rsid w:val="00C658BA"/>
    <w:rsid w:val="00C673F9"/>
    <w:rsid w:val="00C67E23"/>
    <w:rsid w:val="00C70A64"/>
    <w:rsid w:val="00C72A7C"/>
    <w:rsid w:val="00C7399D"/>
    <w:rsid w:val="00C7695A"/>
    <w:rsid w:val="00C7728C"/>
    <w:rsid w:val="00C802C1"/>
    <w:rsid w:val="00C822C2"/>
    <w:rsid w:val="00C831B3"/>
    <w:rsid w:val="00C84F1B"/>
    <w:rsid w:val="00C85728"/>
    <w:rsid w:val="00C86407"/>
    <w:rsid w:val="00C9149E"/>
    <w:rsid w:val="00C948F4"/>
    <w:rsid w:val="00C95242"/>
    <w:rsid w:val="00C966FA"/>
    <w:rsid w:val="00C96AD2"/>
    <w:rsid w:val="00CA199C"/>
    <w:rsid w:val="00CA3479"/>
    <w:rsid w:val="00CA3975"/>
    <w:rsid w:val="00CA40DF"/>
    <w:rsid w:val="00CA4DFC"/>
    <w:rsid w:val="00CA63A7"/>
    <w:rsid w:val="00CB1209"/>
    <w:rsid w:val="00CB3BBD"/>
    <w:rsid w:val="00CB7B52"/>
    <w:rsid w:val="00CC2BB7"/>
    <w:rsid w:val="00CD24EE"/>
    <w:rsid w:val="00CD2859"/>
    <w:rsid w:val="00CD5047"/>
    <w:rsid w:val="00CE0BFD"/>
    <w:rsid w:val="00CE26D6"/>
    <w:rsid w:val="00CE43C2"/>
    <w:rsid w:val="00CE4DE3"/>
    <w:rsid w:val="00CE5197"/>
    <w:rsid w:val="00CE5A75"/>
    <w:rsid w:val="00CE7807"/>
    <w:rsid w:val="00CF0E1A"/>
    <w:rsid w:val="00CF15D4"/>
    <w:rsid w:val="00CF59F1"/>
    <w:rsid w:val="00D00F19"/>
    <w:rsid w:val="00D00F99"/>
    <w:rsid w:val="00D026CF"/>
    <w:rsid w:val="00D030A0"/>
    <w:rsid w:val="00D03E45"/>
    <w:rsid w:val="00D1062D"/>
    <w:rsid w:val="00D13081"/>
    <w:rsid w:val="00D13958"/>
    <w:rsid w:val="00D14CFD"/>
    <w:rsid w:val="00D15898"/>
    <w:rsid w:val="00D169AE"/>
    <w:rsid w:val="00D17C3F"/>
    <w:rsid w:val="00D2376A"/>
    <w:rsid w:val="00D24990"/>
    <w:rsid w:val="00D258EC"/>
    <w:rsid w:val="00D25FF9"/>
    <w:rsid w:val="00D27403"/>
    <w:rsid w:val="00D305C0"/>
    <w:rsid w:val="00D3301D"/>
    <w:rsid w:val="00D35EEF"/>
    <w:rsid w:val="00D400AA"/>
    <w:rsid w:val="00D405E9"/>
    <w:rsid w:val="00D43BC8"/>
    <w:rsid w:val="00D463C2"/>
    <w:rsid w:val="00D5082E"/>
    <w:rsid w:val="00D52F33"/>
    <w:rsid w:val="00D54FA2"/>
    <w:rsid w:val="00D55B21"/>
    <w:rsid w:val="00D566A9"/>
    <w:rsid w:val="00D615FF"/>
    <w:rsid w:val="00D627F9"/>
    <w:rsid w:val="00D67F2F"/>
    <w:rsid w:val="00D73C44"/>
    <w:rsid w:val="00D77CAD"/>
    <w:rsid w:val="00D811FB"/>
    <w:rsid w:val="00D8140E"/>
    <w:rsid w:val="00D83AF9"/>
    <w:rsid w:val="00D85C63"/>
    <w:rsid w:val="00D90355"/>
    <w:rsid w:val="00D93E04"/>
    <w:rsid w:val="00DA0D86"/>
    <w:rsid w:val="00DA12E3"/>
    <w:rsid w:val="00DA2267"/>
    <w:rsid w:val="00DA455A"/>
    <w:rsid w:val="00DA546F"/>
    <w:rsid w:val="00DA7990"/>
    <w:rsid w:val="00DB0B8B"/>
    <w:rsid w:val="00DB292C"/>
    <w:rsid w:val="00DB3338"/>
    <w:rsid w:val="00DB5554"/>
    <w:rsid w:val="00DB674A"/>
    <w:rsid w:val="00DB6E11"/>
    <w:rsid w:val="00DB7789"/>
    <w:rsid w:val="00DC034C"/>
    <w:rsid w:val="00DC17EC"/>
    <w:rsid w:val="00DC1EE7"/>
    <w:rsid w:val="00DC2CE0"/>
    <w:rsid w:val="00DC2ED9"/>
    <w:rsid w:val="00DC30CC"/>
    <w:rsid w:val="00DC3F09"/>
    <w:rsid w:val="00DC49B5"/>
    <w:rsid w:val="00DC4E34"/>
    <w:rsid w:val="00DD292C"/>
    <w:rsid w:val="00DD2C64"/>
    <w:rsid w:val="00DD5B6C"/>
    <w:rsid w:val="00DD6F64"/>
    <w:rsid w:val="00DD7707"/>
    <w:rsid w:val="00DE0986"/>
    <w:rsid w:val="00DE3E2B"/>
    <w:rsid w:val="00DE4B34"/>
    <w:rsid w:val="00DE635F"/>
    <w:rsid w:val="00DF0B39"/>
    <w:rsid w:val="00DF0CB9"/>
    <w:rsid w:val="00DF5DDB"/>
    <w:rsid w:val="00E01DF4"/>
    <w:rsid w:val="00E04992"/>
    <w:rsid w:val="00E04CFE"/>
    <w:rsid w:val="00E05FA5"/>
    <w:rsid w:val="00E14A60"/>
    <w:rsid w:val="00E14EC8"/>
    <w:rsid w:val="00E14F22"/>
    <w:rsid w:val="00E16A64"/>
    <w:rsid w:val="00E17AF1"/>
    <w:rsid w:val="00E20B75"/>
    <w:rsid w:val="00E21F46"/>
    <w:rsid w:val="00E24691"/>
    <w:rsid w:val="00E358A2"/>
    <w:rsid w:val="00E408C4"/>
    <w:rsid w:val="00E44066"/>
    <w:rsid w:val="00E524EF"/>
    <w:rsid w:val="00E52707"/>
    <w:rsid w:val="00E529A2"/>
    <w:rsid w:val="00E54A4F"/>
    <w:rsid w:val="00E55BD1"/>
    <w:rsid w:val="00E64C8C"/>
    <w:rsid w:val="00E708CB"/>
    <w:rsid w:val="00E747C5"/>
    <w:rsid w:val="00E7558F"/>
    <w:rsid w:val="00E75A6B"/>
    <w:rsid w:val="00E7774A"/>
    <w:rsid w:val="00E83E2E"/>
    <w:rsid w:val="00E87CDF"/>
    <w:rsid w:val="00E9151D"/>
    <w:rsid w:val="00E9182F"/>
    <w:rsid w:val="00E92139"/>
    <w:rsid w:val="00E93235"/>
    <w:rsid w:val="00E93B37"/>
    <w:rsid w:val="00E97212"/>
    <w:rsid w:val="00E9773F"/>
    <w:rsid w:val="00EA09C6"/>
    <w:rsid w:val="00EA3921"/>
    <w:rsid w:val="00EA3B0E"/>
    <w:rsid w:val="00EA6359"/>
    <w:rsid w:val="00EA6FB4"/>
    <w:rsid w:val="00EB1D78"/>
    <w:rsid w:val="00EB1FC7"/>
    <w:rsid w:val="00EB2E2E"/>
    <w:rsid w:val="00EB5C8C"/>
    <w:rsid w:val="00EB6D73"/>
    <w:rsid w:val="00EC0650"/>
    <w:rsid w:val="00EC39CD"/>
    <w:rsid w:val="00EC4DCF"/>
    <w:rsid w:val="00EC6E3A"/>
    <w:rsid w:val="00ED7687"/>
    <w:rsid w:val="00ED7C7F"/>
    <w:rsid w:val="00ED7E50"/>
    <w:rsid w:val="00EE2907"/>
    <w:rsid w:val="00EE4898"/>
    <w:rsid w:val="00EF07EC"/>
    <w:rsid w:val="00EF082D"/>
    <w:rsid w:val="00EF38D3"/>
    <w:rsid w:val="00EF79E4"/>
    <w:rsid w:val="00F00411"/>
    <w:rsid w:val="00F117A6"/>
    <w:rsid w:val="00F11FC1"/>
    <w:rsid w:val="00F12F8F"/>
    <w:rsid w:val="00F13C63"/>
    <w:rsid w:val="00F158AD"/>
    <w:rsid w:val="00F20575"/>
    <w:rsid w:val="00F20C03"/>
    <w:rsid w:val="00F23BB5"/>
    <w:rsid w:val="00F2787D"/>
    <w:rsid w:val="00F30BE7"/>
    <w:rsid w:val="00F31058"/>
    <w:rsid w:val="00F32664"/>
    <w:rsid w:val="00F331BD"/>
    <w:rsid w:val="00F33561"/>
    <w:rsid w:val="00F37057"/>
    <w:rsid w:val="00F37FCB"/>
    <w:rsid w:val="00F41D1B"/>
    <w:rsid w:val="00F4490B"/>
    <w:rsid w:val="00F476DC"/>
    <w:rsid w:val="00F50502"/>
    <w:rsid w:val="00F5585D"/>
    <w:rsid w:val="00F5769D"/>
    <w:rsid w:val="00F60EBC"/>
    <w:rsid w:val="00F610F0"/>
    <w:rsid w:val="00F63E12"/>
    <w:rsid w:val="00F64FCD"/>
    <w:rsid w:val="00F656D2"/>
    <w:rsid w:val="00F702D6"/>
    <w:rsid w:val="00F730B3"/>
    <w:rsid w:val="00F816D2"/>
    <w:rsid w:val="00F840E4"/>
    <w:rsid w:val="00F854B1"/>
    <w:rsid w:val="00F9087D"/>
    <w:rsid w:val="00F90A62"/>
    <w:rsid w:val="00F910F7"/>
    <w:rsid w:val="00F95625"/>
    <w:rsid w:val="00F96041"/>
    <w:rsid w:val="00F9624D"/>
    <w:rsid w:val="00F97367"/>
    <w:rsid w:val="00FA1D91"/>
    <w:rsid w:val="00FA3139"/>
    <w:rsid w:val="00FA69A4"/>
    <w:rsid w:val="00FA7419"/>
    <w:rsid w:val="00FB47F9"/>
    <w:rsid w:val="00FB561E"/>
    <w:rsid w:val="00FB781F"/>
    <w:rsid w:val="00FB7CBD"/>
    <w:rsid w:val="00FC4ABF"/>
    <w:rsid w:val="00FD169E"/>
    <w:rsid w:val="00FD6DC4"/>
    <w:rsid w:val="00FE2EBA"/>
    <w:rsid w:val="00FE4321"/>
    <w:rsid w:val="00FE6E2A"/>
    <w:rsid w:val="00FF0E69"/>
    <w:rsid w:val="00FF104D"/>
    <w:rsid w:val="00FF294E"/>
    <w:rsid w:val="00FF3034"/>
    <w:rsid w:val="00FF447F"/>
    <w:rsid w:val="00FF6C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61B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EB1FC7"/>
    <w:pPr>
      <w:keepNext/>
      <w:keepLines/>
      <w:widowControl/>
      <w:numPr>
        <w:numId w:val="13"/>
      </w:numPr>
      <w:spacing w:after="260"/>
      <w:outlineLvl w:val="0"/>
    </w:pPr>
    <w:rPr>
      <w:b/>
      <w:bCs/>
      <w:kern w:val="32"/>
      <w:szCs w:val="32"/>
      <w:u w:val="single"/>
    </w:rPr>
  </w:style>
  <w:style w:type="paragraph" w:styleId="Heading2">
    <w:name w:val="heading 2"/>
    <w:basedOn w:val="Normal"/>
    <w:next w:val="FERCparanumber"/>
    <w:link w:val="Heading2Char"/>
    <w:qFormat/>
    <w:rsid w:val="00EB1FC7"/>
    <w:pPr>
      <w:keepNext/>
      <w:keepLines/>
      <w:widowControl/>
      <w:numPr>
        <w:ilvl w:val="1"/>
        <w:numId w:val="13"/>
      </w:numPr>
      <w:spacing w:after="260"/>
      <w:outlineLvl w:val="1"/>
    </w:pPr>
    <w:rPr>
      <w:b/>
      <w:bCs/>
      <w:iCs/>
      <w:kern w:val="32"/>
      <w:szCs w:val="28"/>
      <w:u w:val="single"/>
    </w:rPr>
  </w:style>
  <w:style w:type="paragraph" w:styleId="Heading3">
    <w:name w:val="heading 3"/>
    <w:basedOn w:val="Normal"/>
    <w:next w:val="FERCparanumber"/>
    <w:link w:val="Heading3Char"/>
    <w:qFormat/>
    <w:rsid w:val="00EB1FC7"/>
    <w:pPr>
      <w:keepNext/>
      <w:keepLines/>
      <w:widowControl/>
      <w:numPr>
        <w:ilvl w:val="2"/>
        <w:numId w:val="13"/>
      </w:numPr>
      <w:spacing w:after="260"/>
      <w:outlineLvl w:val="2"/>
    </w:pPr>
    <w:rPr>
      <w:b/>
      <w:bCs/>
      <w:kern w:val="32"/>
      <w:szCs w:val="26"/>
      <w:u w:val="single"/>
    </w:rPr>
  </w:style>
  <w:style w:type="paragraph" w:styleId="Heading4">
    <w:name w:val="heading 4"/>
    <w:basedOn w:val="Normal"/>
    <w:next w:val="FERCparanumber"/>
    <w:link w:val="Heading4Char"/>
    <w:qFormat/>
    <w:rsid w:val="00EB1FC7"/>
    <w:pPr>
      <w:keepNext/>
      <w:keepLines/>
      <w:widowControl/>
      <w:numPr>
        <w:ilvl w:val="3"/>
        <w:numId w:val="13"/>
      </w:numPr>
      <w:spacing w:after="260"/>
      <w:outlineLvl w:val="3"/>
    </w:pPr>
    <w:rPr>
      <w:b/>
      <w:bCs/>
      <w:kern w:val="32"/>
      <w:szCs w:val="28"/>
      <w:u w:val="single"/>
    </w:rPr>
  </w:style>
  <w:style w:type="paragraph" w:styleId="Heading5">
    <w:name w:val="heading 5"/>
    <w:basedOn w:val="Normal"/>
    <w:next w:val="FERCparanumber"/>
    <w:link w:val="Heading5Char"/>
    <w:qFormat/>
    <w:rsid w:val="00EB1FC7"/>
    <w:pPr>
      <w:keepNext/>
      <w:keepLines/>
      <w:widowControl/>
      <w:numPr>
        <w:ilvl w:val="4"/>
        <w:numId w:val="13"/>
      </w:numPr>
      <w:spacing w:after="260"/>
      <w:outlineLvl w:val="4"/>
    </w:pPr>
    <w:rPr>
      <w:b/>
      <w:bCs/>
      <w:iCs/>
      <w:kern w:val="32"/>
      <w:szCs w:val="26"/>
      <w:u w:val="single"/>
    </w:rPr>
  </w:style>
  <w:style w:type="paragraph" w:styleId="Heading6">
    <w:name w:val="heading 6"/>
    <w:basedOn w:val="Normal"/>
    <w:next w:val="FERCparanumber"/>
    <w:link w:val="Heading6Char"/>
    <w:qFormat/>
    <w:rsid w:val="00EB1FC7"/>
    <w:pPr>
      <w:keepNext/>
      <w:keepLines/>
      <w:widowControl/>
      <w:numPr>
        <w:ilvl w:val="5"/>
        <w:numId w:val="13"/>
      </w:numPr>
      <w:spacing w:after="260"/>
      <w:outlineLvl w:val="5"/>
    </w:pPr>
    <w:rPr>
      <w:b/>
      <w:bCs/>
      <w:kern w:val="32"/>
      <w:szCs w:val="22"/>
      <w:u w:val="single"/>
    </w:rPr>
  </w:style>
  <w:style w:type="paragraph" w:styleId="Heading7">
    <w:name w:val="heading 7"/>
    <w:basedOn w:val="Normal"/>
    <w:next w:val="FERCparanumber"/>
    <w:link w:val="Heading7Char"/>
    <w:qFormat/>
    <w:rsid w:val="00EB1FC7"/>
    <w:pPr>
      <w:numPr>
        <w:ilvl w:val="6"/>
        <w:numId w:val="13"/>
      </w:numPr>
      <w:spacing w:after="260"/>
      <w:outlineLvl w:val="6"/>
    </w:pPr>
    <w:rPr>
      <w:b/>
      <w:kern w:val="32"/>
      <w:u w:val="single"/>
    </w:rPr>
  </w:style>
  <w:style w:type="paragraph" w:styleId="Heading8">
    <w:name w:val="heading 8"/>
    <w:basedOn w:val="Normal"/>
    <w:next w:val="FERCparanumber"/>
    <w:link w:val="Heading8Char"/>
    <w:qFormat/>
    <w:rsid w:val="00EB1FC7"/>
    <w:pPr>
      <w:keepNext/>
      <w:keepLines/>
      <w:widowControl/>
      <w:numPr>
        <w:ilvl w:val="7"/>
        <w:numId w:val="13"/>
      </w:numPr>
      <w:spacing w:after="260"/>
      <w:outlineLvl w:val="7"/>
    </w:pPr>
    <w:rPr>
      <w:b/>
      <w:iCs/>
      <w:kern w:val="32"/>
      <w:u w:val="single"/>
    </w:rPr>
  </w:style>
  <w:style w:type="paragraph" w:styleId="Heading9">
    <w:name w:val="heading 9"/>
    <w:basedOn w:val="Normal"/>
    <w:next w:val="FERCparanumber"/>
    <w:link w:val="Heading9Char"/>
    <w:qFormat/>
    <w:rsid w:val="00EB1FC7"/>
    <w:pPr>
      <w:keepNext/>
      <w:keepLines/>
      <w:widowControl/>
      <w:numPr>
        <w:ilvl w:val="8"/>
        <w:numId w:val="13"/>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uiPriority w:val="99"/>
    <w:qFormat/>
    <w:rsid w:val="00301152"/>
    <w:pPr>
      <w:spacing w:after="260"/>
      <w:ind w:firstLine="720"/>
    </w:pPr>
    <w:rPr>
      <w:szCs w:val="20"/>
    </w:rPr>
  </w:style>
  <w:style w:type="character" w:customStyle="1" w:styleId="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link w:val="FERCparanumberChar1"/>
    <w:qFormat/>
    <w:rsid w:val="00581869"/>
    <w:pPr>
      <w:widowControl/>
      <w:numPr>
        <w:numId w:val="1"/>
      </w:numPr>
      <w:spacing w:line="480" w:lineRule="auto"/>
    </w:pPr>
  </w:style>
  <w:style w:type="character" w:customStyle="1" w:styleId="Heading1Char">
    <w:name w:val="Heading 1 Char"/>
    <w:basedOn w:val="DefaultParagraphFont"/>
    <w:link w:val="Heading1"/>
    <w:rsid w:val="00EB1FC7"/>
    <w:rPr>
      <w:b/>
      <w:bCs/>
      <w:kern w:val="32"/>
      <w:sz w:val="26"/>
      <w:szCs w:val="32"/>
      <w:u w:val="single"/>
      <w:lang w:bidi="ar-SA"/>
    </w:rPr>
  </w:style>
  <w:style w:type="character" w:customStyle="1" w:styleId="Heading2Char">
    <w:name w:val="Heading 2 Char"/>
    <w:basedOn w:val="DefaultParagraphFont"/>
    <w:link w:val="Heading2"/>
    <w:rsid w:val="00EB1FC7"/>
    <w:rPr>
      <w:b/>
      <w:bCs/>
      <w:iCs/>
      <w:kern w:val="32"/>
      <w:sz w:val="26"/>
      <w:szCs w:val="28"/>
      <w:u w:val="single"/>
      <w:lang w:bidi="ar-SA"/>
    </w:rPr>
  </w:style>
  <w:style w:type="character" w:customStyle="1" w:styleId="Heading3Char">
    <w:name w:val="Heading 3 Char"/>
    <w:basedOn w:val="DefaultParagraphFont"/>
    <w:link w:val="Heading3"/>
    <w:rsid w:val="00EB1FC7"/>
    <w:rPr>
      <w:b/>
      <w:bCs/>
      <w:kern w:val="32"/>
      <w:sz w:val="26"/>
      <w:szCs w:val="26"/>
      <w:u w:val="single"/>
      <w:lang w:bidi="ar-SA"/>
    </w:rPr>
  </w:style>
  <w:style w:type="character" w:customStyle="1" w:styleId="Heading4Char">
    <w:name w:val="Heading 4 Char"/>
    <w:basedOn w:val="DefaultParagraphFont"/>
    <w:link w:val="Heading4"/>
    <w:rsid w:val="00EB1FC7"/>
    <w:rPr>
      <w:b/>
      <w:bCs/>
      <w:kern w:val="32"/>
      <w:sz w:val="26"/>
      <w:szCs w:val="28"/>
      <w:u w:val="single"/>
      <w:lang w:bidi="ar-SA"/>
    </w:rPr>
  </w:style>
  <w:style w:type="character" w:customStyle="1" w:styleId="Heading5Char">
    <w:name w:val="Heading 5 Char"/>
    <w:basedOn w:val="DefaultParagraphFont"/>
    <w:link w:val="Heading5"/>
    <w:rsid w:val="00EB1FC7"/>
    <w:rPr>
      <w:b/>
      <w:bCs/>
      <w:iCs/>
      <w:kern w:val="32"/>
      <w:sz w:val="26"/>
      <w:szCs w:val="26"/>
      <w:u w:val="single"/>
      <w:lang w:bidi="ar-SA"/>
    </w:rPr>
  </w:style>
  <w:style w:type="character" w:customStyle="1" w:styleId="Heading6Char">
    <w:name w:val="Heading 6 Char"/>
    <w:basedOn w:val="DefaultParagraphFont"/>
    <w:link w:val="Heading6"/>
    <w:rsid w:val="00EB1FC7"/>
    <w:rPr>
      <w:b/>
      <w:bCs/>
      <w:kern w:val="32"/>
      <w:sz w:val="26"/>
      <w:szCs w:val="22"/>
      <w:u w:val="single"/>
      <w:lang w:bidi="ar-SA"/>
    </w:rPr>
  </w:style>
  <w:style w:type="character" w:customStyle="1" w:styleId="Heading7Char">
    <w:name w:val="Heading 7 Char"/>
    <w:basedOn w:val="DefaultParagraphFont"/>
    <w:link w:val="Heading7"/>
    <w:rsid w:val="00EB1FC7"/>
    <w:rPr>
      <w:b/>
      <w:kern w:val="32"/>
      <w:sz w:val="26"/>
      <w:szCs w:val="24"/>
      <w:u w:val="single"/>
      <w:lang w:bidi="ar-SA"/>
    </w:rPr>
  </w:style>
  <w:style w:type="character" w:customStyle="1" w:styleId="Heading8Char">
    <w:name w:val="Heading 8 Char"/>
    <w:basedOn w:val="DefaultParagraphFont"/>
    <w:link w:val="Heading8"/>
    <w:rsid w:val="00EB1FC7"/>
    <w:rPr>
      <w:b/>
      <w:iCs/>
      <w:kern w:val="32"/>
      <w:sz w:val="26"/>
      <w:szCs w:val="24"/>
      <w:u w:val="single"/>
      <w:lang w:bidi="ar-SA"/>
    </w:rPr>
  </w:style>
  <w:style w:type="character" w:customStyle="1" w:styleId="Heading9Char">
    <w:name w:val="Heading 9 Char"/>
    <w:basedOn w:val="DefaultParagraphFont"/>
    <w:link w:val="Heading9"/>
    <w:rsid w:val="00EB1FC7"/>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2"/>
      </w:numPr>
    </w:pPr>
  </w:style>
  <w:style w:type="paragraph" w:styleId="ListBullet2">
    <w:name w:val="List Bullet 2"/>
    <w:basedOn w:val="Normal"/>
    <w:rsid w:val="00301152"/>
    <w:pPr>
      <w:numPr>
        <w:numId w:val="3"/>
      </w:numPr>
    </w:pPr>
  </w:style>
  <w:style w:type="paragraph" w:styleId="ListBullet3">
    <w:name w:val="List Bullet 3"/>
    <w:basedOn w:val="Normal"/>
    <w:rsid w:val="00301152"/>
    <w:pPr>
      <w:numPr>
        <w:numId w:val="4"/>
      </w:numPr>
    </w:pPr>
  </w:style>
  <w:style w:type="paragraph" w:styleId="ListBullet4">
    <w:name w:val="List Bullet 4"/>
    <w:basedOn w:val="Normal"/>
    <w:rsid w:val="00301152"/>
    <w:pPr>
      <w:numPr>
        <w:numId w:val="5"/>
      </w:numPr>
    </w:pPr>
  </w:style>
  <w:style w:type="paragraph" w:styleId="ListBullet5">
    <w:name w:val="List Bullet 5"/>
    <w:basedOn w:val="Normal"/>
    <w:rsid w:val="00301152"/>
    <w:pPr>
      <w:numPr>
        <w:numId w:val="6"/>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7"/>
      </w:numPr>
    </w:pPr>
  </w:style>
  <w:style w:type="paragraph" w:styleId="ListNumber2">
    <w:name w:val="List Number 2"/>
    <w:basedOn w:val="Normal"/>
    <w:rsid w:val="00301152"/>
    <w:pPr>
      <w:numPr>
        <w:numId w:val="8"/>
      </w:numPr>
    </w:pPr>
  </w:style>
  <w:style w:type="paragraph" w:styleId="ListNumber3">
    <w:name w:val="List Number 3"/>
    <w:basedOn w:val="Normal"/>
    <w:rsid w:val="00301152"/>
    <w:pPr>
      <w:numPr>
        <w:numId w:val="9"/>
      </w:numPr>
    </w:pPr>
  </w:style>
  <w:style w:type="paragraph" w:styleId="ListNumber4">
    <w:name w:val="List Number 4"/>
    <w:basedOn w:val="Normal"/>
    <w:rsid w:val="00301152"/>
    <w:pPr>
      <w:numPr>
        <w:numId w:val="10"/>
      </w:numPr>
    </w:pPr>
  </w:style>
  <w:style w:type="paragraph" w:styleId="ListNumber5">
    <w:name w:val="List Number 5"/>
    <w:basedOn w:val="Normal"/>
    <w:rsid w:val="00301152"/>
    <w:pPr>
      <w:numPr>
        <w:numId w:val="11"/>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basedOn w:val="DefaultParagraphFont"/>
    <w:uiPriority w:val="99"/>
    <w:rsid w:val="00723333"/>
    <w:rPr>
      <w:sz w:val="26"/>
      <w:lang w:bidi="ar-SA"/>
    </w:rPr>
  </w:style>
  <w:style w:type="character" w:customStyle="1" w:styleId="a1">
    <w:basedOn w:val="DefaultParagraphFont"/>
    <w:uiPriority w:val="99"/>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CommentReference">
    <w:name w:val="annotation reference"/>
    <w:basedOn w:val="DefaultParagraphFont"/>
    <w:uiPriority w:val="99"/>
    <w:semiHidden/>
    <w:unhideWhenUsed/>
    <w:rsid w:val="00EA3921"/>
    <w:rPr>
      <w:sz w:val="16"/>
      <w:szCs w:val="16"/>
    </w:rPr>
  </w:style>
  <w:style w:type="character" w:customStyle="1" w:styleId="a2">
    <w:basedOn w:val="DefaultParagraphFont"/>
    <w:uiPriority w:val="99"/>
    <w:rPr>
      <w:sz w:val="26"/>
      <w:lang w:bidi="ar-SA"/>
    </w:rPr>
  </w:style>
  <w:style w:type="character" w:customStyle="1" w:styleId="FERCparanumberChar1">
    <w:name w:val="FERC paranumber Char1"/>
    <w:link w:val="FERCparanumber"/>
    <w:rsid w:val="00581869"/>
    <w:rPr>
      <w:sz w:val="26"/>
      <w:szCs w:val="24"/>
      <w:lang w:bidi="ar-SA"/>
    </w:rPr>
  </w:style>
  <w:style w:type="character" w:styleId="FollowedHyperlink">
    <w:name w:val="FollowedHyperlink"/>
    <w:basedOn w:val="DefaultParagraphFont"/>
    <w:uiPriority w:val="99"/>
    <w:semiHidden/>
    <w:unhideWhenUsed/>
    <w:rsid w:val="00593B5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EB1FC7"/>
    <w:pPr>
      <w:keepNext/>
      <w:keepLines/>
      <w:widowControl/>
      <w:numPr>
        <w:numId w:val="13"/>
      </w:numPr>
      <w:spacing w:after="260"/>
      <w:outlineLvl w:val="0"/>
    </w:pPr>
    <w:rPr>
      <w:b/>
      <w:bCs/>
      <w:kern w:val="32"/>
      <w:szCs w:val="32"/>
      <w:u w:val="single"/>
    </w:rPr>
  </w:style>
  <w:style w:type="paragraph" w:styleId="Heading2">
    <w:name w:val="heading 2"/>
    <w:basedOn w:val="Normal"/>
    <w:next w:val="FERCparanumber"/>
    <w:link w:val="Heading2Char"/>
    <w:qFormat/>
    <w:rsid w:val="00EB1FC7"/>
    <w:pPr>
      <w:keepNext/>
      <w:keepLines/>
      <w:widowControl/>
      <w:numPr>
        <w:ilvl w:val="1"/>
        <w:numId w:val="13"/>
      </w:numPr>
      <w:spacing w:after="260"/>
      <w:outlineLvl w:val="1"/>
    </w:pPr>
    <w:rPr>
      <w:b/>
      <w:bCs/>
      <w:iCs/>
      <w:kern w:val="32"/>
      <w:szCs w:val="28"/>
      <w:u w:val="single"/>
    </w:rPr>
  </w:style>
  <w:style w:type="paragraph" w:styleId="Heading3">
    <w:name w:val="heading 3"/>
    <w:basedOn w:val="Normal"/>
    <w:next w:val="FERCparanumber"/>
    <w:link w:val="Heading3Char"/>
    <w:qFormat/>
    <w:rsid w:val="00EB1FC7"/>
    <w:pPr>
      <w:keepNext/>
      <w:keepLines/>
      <w:widowControl/>
      <w:numPr>
        <w:ilvl w:val="2"/>
        <w:numId w:val="13"/>
      </w:numPr>
      <w:spacing w:after="260"/>
      <w:outlineLvl w:val="2"/>
    </w:pPr>
    <w:rPr>
      <w:b/>
      <w:bCs/>
      <w:kern w:val="32"/>
      <w:szCs w:val="26"/>
      <w:u w:val="single"/>
    </w:rPr>
  </w:style>
  <w:style w:type="paragraph" w:styleId="Heading4">
    <w:name w:val="heading 4"/>
    <w:basedOn w:val="Normal"/>
    <w:next w:val="FERCparanumber"/>
    <w:link w:val="Heading4Char"/>
    <w:qFormat/>
    <w:rsid w:val="00EB1FC7"/>
    <w:pPr>
      <w:keepNext/>
      <w:keepLines/>
      <w:widowControl/>
      <w:numPr>
        <w:ilvl w:val="3"/>
        <w:numId w:val="13"/>
      </w:numPr>
      <w:spacing w:after="260"/>
      <w:outlineLvl w:val="3"/>
    </w:pPr>
    <w:rPr>
      <w:b/>
      <w:bCs/>
      <w:kern w:val="32"/>
      <w:szCs w:val="28"/>
      <w:u w:val="single"/>
    </w:rPr>
  </w:style>
  <w:style w:type="paragraph" w:styleId="Heading5">
    <w:name w:val="heading 5"/>
    <w:basedOn w:val="Normal"/>
    <w:next w:val="FERCparanumber"/>
    <w:link w:val="Heading5Char"/>
    <w:qFormat/>
    <w:rsid w:val="00EB1FC7"/>
    <w:pPr>
      <w:keepNext/>
      <w:keepLines/>
      <w:widowControl/>
      <w:numPr>
        <w:ilvl w:val="4"/>
        <w:numId w:val="13"/>
      </w:numPr>
      <w:spacing w:after="260"/>
      <w:outlineLvl w:val="4"/>
    </w:pPr>
    <w:rPr>
      <w:b/>
      <w:bCs/>
      <w:iCs/>
      <w:kern w:val="32"/>
      <w:szCs w:val="26"/>
      <w:u w:val="single"/>
    </w:rPr>
  </w:style>
  <w:style w:type="paragraph" w:styleId="Heading6">
    <w:name w:val="heading 6"/>
    <w:basedOn w:val="Normal"/>
    <w:next w:val="FERCparanumber"/>
    <w:link w:val="Heading6Char"/>
    <w:qFormat/>
    <w:rsid w:val="00EB1FC7"/>
    <w:pPr>
      <w:keepNext/>
      <w:keepLines/>
      <w:widowControl/>
      <w:numPr>
        <w:ilvl w:val="5"/>
        <w:numId w:val="13"/>
      </w:numPr>
      <w:spacing w:after="260"/>
      <w:outlineLvl w:val="5"/>
    </w:pPr>
    <w:rPr>
      <w:b/>
      <w:bCs/>
      <w:kern w:val="32"/>
      <w:szCs w:val="22"/>
      <w:u w:val="single"/>
    </w:rPr>
  </w:style>
  <w:style w:type="paragraph" w:styleId="Heading7">
    <w:name w:val="heading 7"/>
    <w:basedOn w:val="Normal"/>
    <w:next w:val="FERCparanumber"/>
    <w:link w:val="Heading7Char"/>
    <w:qFormat/>
    <w:rsid w:val="00EB1FC7"/>
    <w:pPr>
      <w:numPr>
        <w:ilvl w:val="6"/>
        <w:numId w:val="13"/>
      </w:numPr>
      <w:spacing w:after="260"/>
      <w:outlineLvl w:val="6"/>
    </w:pPr>
    <w:rPr>
      <w:b/>
      <w:kern w:val="32"/>
      <w:u w:val="single"/>
    </w:rPr>
  </w:style>
  <w:style w:type="paragraph" w:styleId="Heading8">
    <w:name w:val="heading 8"/>
    <w:basedOn w:val="Normal"/>
    <w:next w:val="FERCparanumber"/>
    <w:link w:val="Heading8Char"/>
    <w:qFormat/>
    <w:rsid w:val="00EB1FC7"/>
    <w:pPr>
      <w:keepNext/>
      <w:keepLines/>
      <w:widowControl/>
      <w:numPr>
        <w:ilvl w:val="7"/>
        <w:numId w:val="13"/>
      </w:numPr>
      <w:spacing w:after="260"/>
      <w:outlineLvl w:val="7"/>
    </w:pPr>
    <w:rPr>
      <w:b/>
      <w:iCs/>
      <w:kern w:val="32"/>
      <w:u w:val="single"/>
    </w:rPr>
  </w:style>
  <w:style w:type="paragraph" w:styleId="Heading9">
    <w:name w:val="heading 9"/>
    <w:basedOn w:val="Normal"/>
    <w:next w:val="FERCparanumber"/>
    <w:link w:val="Heading9Char"/>
    <w:qFormat/>
    <w:rsid w:val="00EB1FC7"/>
    <w:pPr>
      <w:keepNext/>
      <w:keepLines/>
      <w:widowControl/>
      <w:numPr>
        <w:ilvl w:val="8"/>
        <w:numId w:val="13"/>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uiPriority w:val="99"/>
    <w:qFormat/>
    <w:rsid w:val="00301152"/>
    <w:pPr>
      <w:spacing w:after="260"/>
      <w:ind w:firstLine="720"/>
    </w:pPr>
    <w:rPr>
      <w:szCs w:val="20"/>
    </w:rPr>
  </w:style>
  <w:style w:type="character" w:customStyle="1" w:styleId="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link w:val="FERCparanumberChar1"/>
    <w:qFormat/>
    <w:rsid w:val="00581869"/>
    <w:pPr>
      <w:widowControl/>
      <w:numPr>
        <w:numId w:val="1"/>
      </w:numPr>
      <w:spacing w:line="480" w:lineRule="auto"/>
    </w:pPr>
  </w:style>
  <w:style w:type="character" w:customStyle="1" w:styleId="Heading1Char">
    <w:name w:val="Heading 1 Char"/>
    <w:basedOn w:val="DefaultParagraphFont"/>
    <w:link w:val="Heading1"/>
    <w:rsid w:val="00EB1FC7"/>
    <w:rPr>
      <w:b/>
      <w:bCs/>
      <w:kern w:val="32"/>
      <w:sz w:val="26"/>
      <w:szCs w:val="32"/>
      <w:u w:val="single"/>
      <w:lang w:bidi="ar-SA"/>
    </w:rPr>
  </w:style>
  <w:style w:type="character" w:customStyle="1" w:styleId="Heading2Char">
    <w:name w:val="Heading 2 Char"/>
    <w:basedOn w:val="DefaultParagraphFont"/>
    <w:link w:val="Heading2"/>
    <w:rsid w:val="00EB1FC7"/>
    <w:rPr>
      <w:b/>
      <w:bCs/>
      <w:iCs/>
      <w:kern w:val="32"/>
      <w:sz w:val="26"/>
      <w:szCs w:val="28"/>
      <w:u w:val="single"/>
      <w:lang w:bidi="ar-SA"/>
    </w:rPr>
  </w:style>
  <w:style w:type="character" w:customStyle="1" w:styleId="Heading3Char">
    <w:name w:val="Heading 3 Char"/>
    <w:basedOn w:val="DefaultParagraphFont"/>
    <w:link w:val="Heading3"/>
    <w:rsid w:val="00EB1FC7"/>
    <w:rPr>
      <w:b/>
      <w:bCs/>
      <w:kern w:val="32"/>
      <w:sz w:val="26"/>
      <w:szCs w:val="26"/>
      <w:u w:val="single"/>
      <w:lang w:bidi="ar-SA"/>
    </w:rPr>
  </w:style>
  <w:style w:type="character" w:customStyle="1" w:styleId="Heading4Char">
    <w:name w:val="Heading 4 Char"/>
    <w:basedOn w:val="DefaultParagraphFont"/>
    <w:link w:val="Heading4"/>
    <w:rsid w:val="00EB1FC7"/>
    <w:rPr>
      <w:b/>
      <w:bCs/>
      <w:kern w:val="32"/>
      <w:sz w:val="26"/>
      <w:szCs w:val="28"/>
      <w:u w:val="single"/>
      <w:lang w:bidi="ar-SA"/>
    </w:rPr>
  </w:style>
  <w:style w:type="character" w:customStyle="1" w:styleId="Heading5Char">
    <w:name w:val="Heading 5 Char"/>
    <w:basedOn w:val="DefaultParagraphFont"/>
    <w:link w:val="Heading5"/>
    <w:rsid w:val="00EB1FC7"/>
    <w:rPr>
      <w:b/>
      <w:bCs/>
      <w:iCs/>
      <w:kern w:val="32"/>
      <w:sz w:val="26"/>
      <w:szCs w:val="26"/>
      <w:u w:val="single"/>
      <w:lang w:bidi="ar-SA"/>
    </w:rPr>
  </w:style>
  <w:style w:type="character" w:customStyle="1" w:styleId="Heading6Char">
    <w:name w:val="Heading 6 Char"/>
    <w:basedOn w:val="DefaultParagraphFont"/>
    <w:link w:val="Heading6"/>
    <w:rsid w:val="00EB1FC7"/>
    <w:rPr>
      <w:b/>
      <w:bCs/>
      <w:kern w:val="32"/>
      <w:sz w:val="26"/>
      <w:szCs w:val="22"/>
      <w:u w:val="single"/>
      <w:lang w:bidi="ar-SA"/>
    </w:rPr>
  </w:style>
  <w:style w:type="character" w:customStyle="1" w:styleId="Heading7Char">
    <w:name w:val="Heading 7 Char"/>
    <w:basedOn w:val="DefaultParagraphFont"/>
    <w:link w:val="Heading7"/>
    <w:rsid w:val="00EB1FC7"/>
    <w:rPr>
      <w:b/>
      <w:kern w:val="32"/>
      <w:sz w:val="26"/>
      <w:szCs w:val="24"/>
      <w:u w:val="single"/>
      <w:lang w:bidi="ar-SA"/>
    </w:rPr>
  </w:style>
  <w:style w:type="character" w:customStyle="1" w:styleId="Heading8Char">
    <w:name w:val="Heading 8 Char"/>
    <w:basedOn w:val="DefaultParagraphFont"/>
    <w:link w:val="Heading8"/>
    <w:rsid w:val="00EB1FC7"/>
    <w:rPr>
      <w:b/>
      <w:iCs/>
      <w:kern w:val="32"/>
      <w:sz w:val="26"/>
      <w:szCs w:val="24"/>
      <w:u w:val="single"/>
      <w:lang w:bidi="ar-SA"/>
    </w:rPr>
  </w:style>
  <w:style w:type="character" w:customStyle="1" w:styleId="Heading9Char">
    <w:name w:val="Heading 9 Char"/>
    <w:basedOn w:val="DefaultParagraphFont"/>
    <w:link w:val="Heading9"/>
    <w:rsid w:val="00EB1FC7"/>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2"/>
      </w:numPr>
    </w:pPr>
  </w:style>
  <w:style w:type="paragraph" w:styleId="ListBullet2">
    <w:name w:val="List Bullet 2"/>
    <w:basedOn w:val="Normal"/>
    <w:rsid w:val="00301152"/>
    <w:pPr>
      <w:numPr>
        <w:numId w:val="3"/>
      </w:numPr>
    </w:pPr>
  </w:style>
  <w:style w:type="paragraph" w:styleId="ListBullet3">
    <w:name w:val="List Bullet 3"/>
    <w:basedOn w:val="Normal"/>
    <w:rsid w:val="00301152"/>
    <w:pPr>
      <w:numPr>
        <w:numId w:val="4"/>
      </w:numPr>
    </w:pPr>
  </w:style>
  <w:style w:type="paragraph" w:styleId="ListBullet4">
    <w:name w:val="List Bullet 4"/>
    <w:basedOn w:val="Normal"/>
    <w:rsid w:val="00301152"/>
    <w:pPr>
      <w:numPr>
        <w:numId w:val="5"/>
      </w:numPr>
    </w:pPr>
  </w:style>
  <w:style w:type="paragraph" w:styleId="ListBullet5">
    <w:name w:val="List Bullet 5"/>
    <w:basedOn w:val="Normal"/>
    <w:rsid w:val="00301152"/>
    <w:pPr>
      <w:numPr>
        <w:numId w:val="6"/>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7"/>
      </w:numPr>
    </w:pPr>
  </w:style>
  <w:style w:type="paragraph" w:styleId="ListNumber2">
    <w:name w:val="List Number 2"/>
    <w:basedOn w:val="Normal"/>
    <w:rsid w:val="00301152"/>
    <w:pPr>
      <w:numPr>
        <w:numId w:val="8"/>
      </w:numPr>
    </w:pPr>
  </w:style>
  <w:style w:type="paragraph" w:styleId="ListNumber3">
    <w:name w:val="List Number 3"/>
    <w:basedOn w:val="Normal"/>
    <w:rsid w:val="00301152"/>
    <w:pPr>
      <w:numPr>
        <w:numId w:val="9"/>
      </w:numPr>
    </w:pPr>
  </w:style>
  <w:style w:type="paragraph" w:styleId="ListNumber4">
    <w:name w:val="List Number 4"/>
    <w:basedOn w:val="Normal"/>
    <w:rsid w:val="00301152"/>
    <w:pPr>
      <w:numPr>
        <w:numId w:val="10"/>
      </w:numPr>
    </w:pPr>
  </w:style>
  <w:style w:type="paragraph" w:styleId="ListNumber5">
    <w:name w:val="List Number 5"/>
    <w:basedOn w:val="Normal"/>
    <w:rsid w:val="00301152"/>
    <w:pPr>
      <w:numPr>
        <w:numId w:val="11"/>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basedOn w:val="DefaultParagraphFont"/>
    <w:uiPriority w:val="99"/>
    <w:rsid w:val="00723333"/>
    <w:rPr>
      <w:sz w:val="26"/>
      <w:lang w:bidi="ar-SA"/>
    </w:rPr>
  </w:style>
  <w:style w:type="character" w:customStyle="1" w:styleId="a1">
    <w:basedOn w:val="DefaultParagraphFont"/>
    <w:uiPriority w:val="99"/>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CommentReference">
    <w:name w:val="annotation reference"/>
    <w:basedOn w:val="DefaultParagraphFont"/>
    <w:uiPriority w:val="99"/>
    <w:semiHidden/>
    <w:unhideWhenUsed/>
    <w:rsid w:val="00EA3921"/>
    <w:rPr>
      <w:sz w:val="16"/>
      <w:szCs w:val="16"/>
    </w:rPr>
  </w:style>
  <w:style w:type="character" w:customStyle="1" w:styleId="a2">
    <w:basedOn w:val="DefaultParagraphFont"/>
    <w:uiPriority w:val="99"/>
    <w:rPr>
      <w:sz w:val="26"/>
      <w:lang w:bidi="ar-SA"/>
    </w:rPr>
  </w:style>
  <w:style w:type="character" w:customStyle="1" w:styleId="FERCparanumberChar1">
    <w:name w:val="FERC paranumber Char1"/>
    <w:link w:val="FERCparanumber"/>
    <w:rsid w:val="00581869"/>
    <w:rPr>
      <w:sz w:val="26"/>
      <w:szCs w:val="24"/>
      <w:lang w:bidi="ar-SA"/>
    </w:rPr>
  </w:style>
  <w:style w:type="character" w:styleId="FollowedHyperlink">
    <w:name w:val="FollowedHyperlink"/>
    <w:basedOn w:val="DefaultParagraphFont"/>
    <w:uiPriority w:val="99"/>
    <w:semiHidden/>
    <w:unhideWhenUsed/>
    <w:rsid w:val="00593B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835471">
      <w:bodyDiv w:val="1"/>
      <w:marLeft w:val="0"/>
      <w:marRight w:val="0"/>
      <w:marTop w:val="0"/>
      <w:marBottom w:val="0"/>
      <w:divBdr>
        <w:top w:val="none" w:sz="0" w:space="0" w:color="auto"/>
        <w:left w:val="none" w:sz="0" w:space="0" w:color="auto"/>
        <w:bottom w:val="none" w:sz="0" w:space="0" w:color="auto"/>
        <w:right w:val="none" w:sz="0" w:space="0" w:color="auto"/>
      </w:divBdr>
      <w:divsChild>
        <w:div w:id="929967014">
          <w:marLeft w:val="0"/>
          <w:marRight w:val="0"/>
          <w:marTop w:val="0"/>
          <w:marBottom w:val="0"/>
          <w:divBdr>
            <w:top w:val="none" w:sz="0" w:space="0" w:color="auto"/>
            <w:left w:val="none" w:sz="0" w:space="0" w:color="auto"/>
            <w:bottom w:val="none" w:sz="0" w:space="0" w:color="auto"/>
            <w:right w:val="none" w:sz="0" w:space="0" w:color="auto"/>
          </w:divBdr>
          <w:divsChild>
            <w:div w:id="1101874793">
              <w:marLeft w:val="0"/>
              <w:marRight w:val="0"/>
              <w:marTop w:val="0"/>
              <w:marBottom w:val="0"/>
              <w:divBdr>
                <w:top w:val="none" w:sz="0" w:space="0" w:color="auto"/>
                <w:left w:val="none" w:sz="0" w:space="0" w:color="auto"/>
                <w:bottom w:val="none" w:sz="0" w:space="0" w:color="auto"/>
                <w:right w:val="none" w:sz="0" w:space="0" w:color="auto"/>
              </w:divBdr>
              <w:divsChild>
                <w:div w:id="639505034">
                  <w:marLeft w:val="0"/>
                  <w:marRight w:val="0"/>
                  <w:marTop w:val="0"/>
                  <w:marBottom w:val="0"/>
                  <w:divBdr>
                    <w:top w:val="none" w:sz="0" w:space="0" w:color="auto"/>
                    <w:left w:val="none" w:sz="0" w:space="0" w:color="auto"/>
                    <w:bottom w:val="none" w:sz="0" w:space="0" w:color="auto"/>
                    <w:right w:val="none" w:sz="0" w:space="0" w:color="auto"/>
                  </w:divBdr>
                  <w:divsChild>
                    <w:div w:id="1699501907">
                      <w:marLeft w:val="0"/>
                      <w:marRight w:val="0"/>
                      <w:marTop w:val="0"/>
                      <w:marBottom w:val="0"/>
                      <w:divBdr>
                        <w:top w:val="none" w:sz="0" w:space="0" w:color="auto"/>
                        <w:left w:val="none" w:sz="0" w:space="0" w:color="auto"/>
                        <w:bottom w:val="none" w:sz="0" w:space="0" w:color="auto"/>
                        <w:right w:val="none" w:sz="0" w:space="0" w:color="auto"/>
                      </w:divBdr>
                      <w:divsChild>
                        <w:div w:id="1197543274">
                          <w:marLeft w:val="0"/>
                          <w:marRight w:val="0"/>
                          <w:marTop w:val="0"/>
                          <w:marBottom w:val="0"/>
                          <w:divBdr>
                            <w:top w:val="none" w:sz="0" w:space="0" w:color="auto"/>
                            <w:left w:val="none" w:sz="0" w:space="0" w:color="auto"/>
                            <w:bottom w:val="none" w:sz="0" w:space="0" w:color="auto"/>
                            <w:right w:val="none" w:sz="0" w:space="0" w:color="auto"/>
                          </w:divBdr>
                          <w:divsChild>
                            <w:div w:id="1140685761">
                              <w:marLeft w:val="0"/>
                              <w:marRight w:val="0"/>
                              <w:marTop w:val="0"/>
                              <w:marBottom w:val="0"/>
                              <w:divBdr>
                                <w:top w:val="none" w:sz="0" w:space="0" w:color="auto"/>
                                <w:left w:val="none" w:sz="0" w:space="0" w:color="auto"/>
                                <w:bottom w:val="none" w:sz="0" w:space="0" w:color="auto"/>
                                <w:right w:val="none" w:sz="0" w:space="0" w:color="auto"/>
                              </w:divBdr>
                              <w:divsChild>
                                <w:div w:id="2114938856">
                                  <w:marLeft w:val="0"/>
                                  <w:marRight w:val="0"/>
                                  <w:marTop w:val="0"/>
                                  <w:marBottom w:val="0"/>
                                  <w:divBdr>
                                    <w:top w:val="none" w:sz="0" w:space="0" w:color="auto"/>
                                    <w:left w:val="none" w:sz="0" w:space="0" w:color="auto"/>
                                    <w:bottom w:val="none" w:sz="0" w:space="0" w:color="auto"/>
                                    <w:right w:val="none" w:sz="0" w:space="0" w:color="auto"/>
                                  </w:divBdr>
                                  <w:divsChild>
                                    <w:div w:id="1633822085">
                                      <w:marLeft w:val="0"/>
                                      <w:marRight w:val="0"/>
                                      <w:marTop w:val="0"/>
                                      <w:marBottom w:val="0"/>
                                      <w:divBdr>
                                        <w:top w:val="none" w:sz="0" w:space="0" w:color="auto"/>
                                        <w:left w:val="none" w:sz="0" w:space="0" w:color="auto"/>
                                        <w:bottom w:val="none" w:sz="0" w:space="0" w:color="auto"/>
                                        <w:right w:val="none" w:sz="0" w:space="0" w:color="auto"/>
                                      </w:divBdr>
                                      <w:divsChild>
                                        <w:div w:id="2092893260">
                                          <w:marLeft w:val="0"/>
                                          <w:marRight w:val="0"/>
                                          <w:marTop w:val="0"/>
                                          <w:marBottom w:val="0"/>
                                          <w:divBdr>
                                            <w:top w:val="none" w:sz="0" w:space="0" w:color="auto"/>
                                            <w:left w:val="none" w:sz="0" w:space="0" w:color="auto"/>
                                            <w:bottom w:val="none" w:sz="0" w:space="0" w:color="auto"/>
                                            <w:right w:val="none" w:sz="0" w:space="0" w:color="auto"/>
                                          </w:divBdr>
                                          <w:divsChild>
                                            <w:div w:id="1877964269">
                                              <w:marLeft w:val="0"/>
                                              <w:marRight w:val="0"/>
                                              <w:marTop w:val="0"/>
                                              <w:marBottom w:val="0"/>
                                              <w:divBdr>
                                                <w:top w:val="none" w:sz="0" w:space="0" w:color="auto"/>
                                                <w:left w:val="none" w:sz="0" w:space="0" w:color="auto"/>
                                                <w:bottom w:val="none" w:sz="0" w:space="0" w:color="auto"/>
                                                <w:right w:val="none" w:sz="0" w:space="0" w:color="auto"/>
                                              </w:divBdr>
                                            </w:div>
                                            <w:div w:id="942104963">
                                              <w:marLeft w:val="0"/>
                                              <w:marRight w:val="0"/>
                                              <w:marTop w:val="0"/>
                                              <w:marBottom w:val="0"/>
                                              <w:divBdr>
                                                <w:top w:val="none" w:sz="0" w:space="0" w:color="auto"/>
                                                <w:left w:val="none" w:sz="0" w:space="0" w:color="auto"/>
                                                <w:bottom w:val="none" w:sz="0" w:space="0" w:color="auto"/>
                                                <w:right w:val="none" w:sz="0" w:space="0" w:color="auto"/>
                                              </w:divBdr>
                                            </w:div>
                                            <w:div w:id="130751045">
                                              <w:marLeft w:val="0"/>
                                              <w:marRight w:val="0"/>
                                              <w:marTop w:val="0"/>
                                              <w:marBottom w:val="0"/>
                                              <w:divBdr>
                                                <w:top w:val="none" w:sz="0" w:space="0" w:color="auto"/>
                                                <w:left w:val="none" w:sz="0" w:space="0" w:color="auto"/>
                                                <w:bottom w:val="none" w:sz="0" w:space="0" w:color="auto"/>
                                                <w:right w:val="none" w:sz="0" w:space="0" w:color="auto"/>
                                              </w:divBdr>
                                            </w:div>
                                            <w:div w:id="1728333754">
                                              <w:marLeft w:val="0"/>
                                              <w:marRight w:val="0"/>
                                              <w:marTop w:val="0"/>
                                              <w:marBottom w:val="0"/>
                                              <w:divBdr>
                                                <w:top w:val="none" w:sz="0" w:space="0" w:color="auto"/>
                                                <w:left w:val="none" w:sz="0" w:space="0" w:color="auto"/>
                                                <w:bottom w:val="none" w:sz="0" w:space="0" w:color="auto"/>
                                                <w:right w:val="none" w:sz="0" w:space="0" w:color="auto"/>
                                              </w:divBdr>
                                            </w:div>
                                            <w:div w:id="1161387853">
                                              <w:marLeft w:val="0"/>
                                              <w:marRight w:val="0"/>
                                              <w:marTop w:val="0"/>
                                              <w:marBottom w:val="0"/>
                                              <w:divBdr>
                                                <w:top w:val="none" w:sz="0" w:space="0" w:color="auto"/>
                                                <w:left w:val="none" w:sz="0" w:space="0" w:color="auto"/>
                                                <w:bottom w:val="none" w:sz="0" w:space="0" w:color="auto"/>
                                                <w:right w:val="none" w:sz="0" w:space="0" w:color="auto"/>
                                              </w:divBdr>
                                            </w:div>
                                            <w:div w:id="970935423">
                                              <w:marLeft w:val="0"/>
                                              <w:marRight w:val="0"/>
                                              <w:marTop w:val="0"/>
                                              <w:marBottom w:val="0"/>
                                              <w:divBdr>
                                                <w:top w:val="none" w:sz="0" w:space="0" w:color="auto"/>
                                                <w:left w:val="none" w:sz="0" w:space="0" w:color="auto"/>
                                                <w:bottom w:val="none" w:sz="0" w:space="0" w:color="auto"/>
                                                <w:right w:val="none" w:sz="0" w:space="0" w:color="auto"/>
                                              </w:divBdr>
                                            </w:div>
                                            <w:div w:id="1144348118">
                                              <w:marLeft w:val="0"/>
                                              <w:marRight w:val="0"/>
                                              <w:marTop w:val="0"/>
                                              <w:marBottom w:val="0"/>
                                              <w:divBdr>
                                                <w:top w:val="none" w:sz="0" w:space="0" w:color="auto"/>
                                                <w:left w:val="none" w:sz="0" w:space="0" w:color="auto"/>
                                                <w:bottom w:val="none" w:sz="0" w:space="0" w:color="auto"/>
                                                <w:right w:val="none" w:sz="0" w:space="0" w:color="auto"/>
                                              </w:divBdr>
                                            </w:div>
                                            <w:div w:id="153881069">
                                              <w:marLeft w:val="0"/>
                                              <w:marRight w:val="0"/>
                                              <w:marTop w:val="0"/>
                                              <w:marBottom w:val="0"/>
                                              <w:divBdr>
                                                <w:top w:val="none" w:sz="0" w:space="0" w:color="auto"/>
                                                <w:left w:val="none" w:sz="0" w:space="0" w:color="auto"/>
                                                <w:bottom w:val="none" w:sz="0" w:space="0" w:color="auto"/>
                                                <w:right w:val="none" w:sz="0" w:space="0" w:color="auto"/>
                                              </w:divBdr>
                                            </w:div>
                                            <w:div w:id="1693147318">
                                              <w:marLeft w:val="0"/>
                                              <w:marRight w:val="0"/>
                                              <w:marTop w:val="0"/>
                                              <w:marBottom w:val="0"/>
                                              <w:divBdr>
                                                <w:top w:val="none" w:sz="0" w:space="0" w:color="auto"/>
                                                <w:left w:val="none" w:sz="0" w:space="0" w:color="auto"/>
                                                <w:bottom w:val="none" w:sz="0" w:space="0" w:color="auto"/>
                                                <w:right w:val="none" w:sz="0" w:space="0" w:color="auto"/>
                                              </w:divBdr>
                                            </w:div>
                                            <w:div w:id="14757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9933276">
      <w:bodyDiv w:val="1"/>
      <w:marLeft w:val="0"/>
      <w:marRight w:val="0"/>
      <w:marTop w:val="0"/>
      <w:marBottom w:val="0"/>
      <w:divBdr>
        <w:top w:val="none" w:sz="0" w:space="0" w:color="auto"/>
        <w:left w:val="none" w:sz="0" w:space="0" w:color="auto"/>
        <w:bottom w:val="none" w:sz="0" w:space="0" w:color="auto"/>
        <w:right w:val="none" w:sz="0" w:space="0" w:color="auto"/>
      </w:divBdr>
    </w:div>
    <w:div w:id="901211097">
      <w:bodyDiv w:val="1"/>
      <w:marLeft w:val="0"/>
      <w:marRight w:val="0"/>
      <w:marTop w:val="0"/>
      <w:marBottom w:val="0"/>
      <w:divBdr>
        <w:top w:val="none" w:sz="0" w:space="0" w:color="auto"/>
        <w:left w:val="none" w:sz="0" w:space="0" w:color="auto"/>
        <w:bottom w:val="none" w:sz="0" w:space="0" w:color="auto"/>
        <w:right w:val="none" w:sz="0" w:space="0" w:color="auto"/>
      </w:divBdr>
      <w:divsChild>
        <w:div w:id="1058043677">
          <w:marLeft w:val="0"/>
          <w:marRight w:val="0"/>
          <w:marTop w:val="0"/>
          <w:marBottom w:val="0"/>
          <w:divBdr>
            <w:top w:val="none" w:sz="0" w:space="0" w:color="auto"/>
            <w:left w:val="none" w:sz="0" w:space="0" w:color="auto"/>
            <w:bottom w:val="none" w:sz="0" w:space="0" w:color="auto"/>
            <w:right w:val="none" w:sz="0" w:space="0" w:color="auto"/>
          </w:divBdr>
          <w:divsChild>
            <w:div w:id="255483896">
              <w:marLeft w:val="0"/>
              <w:marRight w:val="0"/>
              <w:marTop w:val="0"/>
              <w:marBottom w:val="0"/>
              <w:divBdr>
                <w:top w:val="none" w:sz="0" w:space="0" w:color="auto"/>
                <w:left w:val="none" w:sz="0" w:space="0" w:color="auto"/>
                <w:bottom w:val="none" w:sz="0" w:space="0" w:color="auto"/>
                <w:right w:val="none" w:sz="0" w:space="0" w:color="auto"/>
              </w:divBdr>
              <w:divsChild>
                <w:div w:id="661738295">
                  <w:marLeft w:val="0"/>
                  <w:marRight w:val="0"/>
                  <w:marTop w:val="0"/>
                  <w:marBottom w:val="0"/>
                  <w:divBdr>
                    <w:top w:val="none" w:sz="0" w:space="0" w:color="auto"/>
                    <w:left w:val="none" w:sz="0" w:space="0" w:color="auto"/>
                    <w:bottom w:val="none" w:sz="0" w:space="0" w:color="auto"/>
                    <w:right w:val="none" w:sz="0" w:space="0" w:color="auto"/>
                  </w:divBdr>
                  <w:divsChild>
                    <w:div w:id="1736316347">
                      <w:marLeft w:val="0"/>
                      <w:marRight w:val="0"/>
                      <w:marTop w:val="0"/>
                      <w:marBottom w:val="0"/>
                      <w:divBdr>
                        <w:top w:val="none" w:sz="0" w:space="0" w:color="auto"/>
                        <w:left w:val="none" w:sz="0" w:space="0" w:color="auto"/>
                        <w:bottom w:val="none" w:sz="0" w:space="0" w:color="auto"/>
                        <w:right w:val="none" w:sz="0" w:space="0" w:color="auto"/>
                      </w:divBdr>
                      <w:divsChild>
                        <w:div w:id="2023969680">
                          <w:marLeft w:val="0"/>
                          <w:marRight w:val="0"/>
                          <w:marTop w:val="0"/>
                          <w:marBottom w:val="0"/>
                          <w:divBdr>
                            <w:top w:val="none" w:sz="0" w:space="0" w:color="auto"/>
                            <w:left w:val="none" w:sz="0" w:space="0" w:color="auto"/>
                            <w:bottom w:val="none" w:sz="0" w:space="0" w:color="auto"/>
                            <w:right w:val="none" w:sz="0" w:space="0" w:color="auto"/>
                          </w:divBdr>
                          <w:divsChild>
                            <w:div w:id="410860528">
                              <w:marLeft w:val="0"/>
                              <w:marRight w:val="0"/>
                              <w:marTop w:val="0"/>
                              <w:marBottom w:val="0"/>
                              <w:divBdr>
                                <w:top w:val="none" w:sz="0" w:space="0" w:color="auto"/>
                                <w:left w:val="none" w:sz="0" w:space="0" w:color="auto"/>
                                <w:bottom w:val="none" w:sz="0" w:space="0" w:color="auto"/>
                                <w:right w:val="none" w:sz="0" w:space="0" w:color="auto"/>
                              </w:divBdr>
                              <w:divsChild>
                                <w:div w:id="1550147548">
                                  <w:marLeft w:val="0"/>
                                  <w:marRight w:val="0"/>
                                  <w:marTop w:val="0"/>
                                  <w:marBottom w:val="0"/>
                                  <w:divBdr>
                                    <w:top w:val="none" w:sz="0" w:space="0" w:color="auto"/>
                                    <w:left w:val="none" w:sz="0" w:space="0" w:color="auto"/>
                                    <w:bottom w:val="none" w:sz="0" w:space="0" w:color="auto"/>
                                    <w:right w:val="none" w:sz="0" w:space="0" w:color="auto"/>
                                  </w:divBdr>
                                  <w:divsChild>
                                    <w:div w:id="1776904515">
                                      <w:marLeft w:val="0"/>
                                      <w:marRight w:val="0"/>
                                      <w:marTop w:val="0"/>
                                      <w:marBottom w:val="0"/>
                                      <w:divBdr>
                                        <w:top w:val="none" w:sz="0" w:space="0" w:color="auto"/>
                                        <w:left w:val="none" w:sz="0" w:space="0" w:color="auto"/>
                                        <w:bottom w:val="none" w:sz="0" w:space="0" w:color="auto"/>
                                        <w:right w:val="none" w:sz="0" w:space="0" w:color="auto"/>
                                      </w:divBdr>
                                      <w:divsChild>
                                        <w:div w:id="1515412733">
                                          <w:marLeft w:val="0"/>
                                          <w:marRight w:val="0"/>
                                          <w:marTop w:val="0"/>
                                          <w:marBottom w:val="0"/>
                                          <w:divBdr>
                                            <w:top w:val="none" w:sz="0" w:space="0" w:color="auto"/>
                                            <w:left w:val="none" w:sz="0" w:space="0" w:color="auto"/>
                                            <w:bottom w:val="none" w:sz="0" w:space="0" w:color="auto"/>
                                            <w:right w:val="none" w:sz="0" w:space="0" w:color="auto"/>
                                          </w:divBdr>
                                          <w:divsChild>
                                            <w:div w:id="1407605771">
                                              <w:marLeft w:val="0"/>
                                              <w:marRight w:val="0"/>
                                              <w:marTop w:val="0"/>
                                              <w:marBottom w:val="0"/>
                                              <w:divBdr>
                                                <w:top w:val="none" w:sz="0" w:space="0" w:color="auto"/>
                                                <w:left w:val="none" w:sz="0" w:space="0" w:color="auto"/>
                                                <w:bottom w:val="none" w:sz="0" w:space="0" w:color="auto"/>
                                                <w:right w:val="none" w:sz="0" w:space="0" w:color="auto"/>
                                              </w:divBdr>
                                            </w:div>
                                            <w:div w:id="1005866298">
                                              <w:marLeft w:val="0"/>
                                              <w:marRight w:val="0"/>
                                              <w:marTop w:val="0"/>
                                              <w:marBottom w:val="0"/>
                                              <w:divBdr>
                                                <w:top w:val="none" w:sz="0" w:space="0" w:color="auto"/>
                                                <w:left w:val="none" w:sz="0" w:space="0" w:color="auto"/>
                                                <w:bottom w:val="none" w:sz="0" w:space="0" w:color="auto"/>
                                                <w:right w:val="none" w:sz="0" w:space="0" w:color="auto"/>
                                              </w:divBdr>
                                            </w:div>
                                            <w:div w:id="1363019514">
                                              <w:marLeft w:val="0"/>
                                              <w:marRight w:val="0"/>
                                              <w:marTop w:val="0"/>
                                              <w:marBottom w:val="0"/>
                                              <w:divBdr>
                                                <w:top w:val="none" w:sz="0" w:space="0" w:color="auto"/>
                                                <w:left w:val="none" w:sz="0" w:space="0" w:color="auto"/>
                                                <w:bottom w:val="none" w:sz="0" w:space="0" w:color="auto"/>
                                                <w:right w:val="none" w:sz="0" w:space="0" w:color="auto"/>
                                              </w:divBdr>
                                            </w:div>
                                            <w:div w:id="824904558">
                                              <w:marLeft w:val="0"/>
                                              <w:marRight w:val="0"/>
                                              <w:marTop w:val="0"/>
                                              <w:marBottom w:val="0"/>
                                              <w:divBdr>
                                                <w:top w:val="none" w:sz="0" w:space="0" w:color="auto"/>
                                                <w:left w:val="none" w:sz="0" w:space="0" w:color="auto"/>
                                                <w:bottom w:val="none" w:sz="0" w:space="0" w:color="auto"/>
                                                <w:right w:val="none" w:sz="0" w:space="0" w:color="auto"/>
                                              </w:divBdr>
                                            </w:div>
                                            <w:div w:id="302085186">
                                              <w:marLeft w:val="0"/>
                                              <w:marRight w:val="0"/>
                                              <w:marTop w:val="0"/>
                                              <w:marBottom w:val="0"/>
                                              <w:divBdr>
                                                <w:top w:val="none" w:sz="0" w:space="0" w:color="auto"/>
                                                <w:left w:val="none" w:sz="0" w:space="0" w:color="auto"/>
                                                <w:bottom w:val="none" w:sz="0" w:space="0" w:color="auto"/>
                                                <w:right w:val="none" w:sz="0" w:space="0" w:color="auto"/>
                                              </w:divBdr>
                                            </w:div>
                                            <w:div w:id="762339015">
                                              <w:marLeft w:val="0"/>
                                              <w:marRight w:val="0"/>
                                              <w:marTop w:val="0"/>
                                              <w:marBottom w:val="0"/>
                                              <w:divBdr>
                                                <w:top w:val="none" w:sz="0" w:space="0" w:color="auto"/>
                                                <w:left w:val="none" w:sz="0" w:space="0" w:color="auto"/>
                                                <w:bottom w:val="none" w:sz="0" w:space="0" w:color="auto"/>
                                                <w:right w:val="none" w:sz="0" w:space="0" w:color="auto"/>
                                              </w:divBdr>
                                            </w:div>
                                            <w:div w:id="761412445">
                                              <w:marLeft w:val="0"/>
                                              <w:marRight w:val="0"/>
                                              <w:marTop w:val="0"/>
                                              <w:marBottom w:val="0"/>
                                              <w:divBdr>
                                                <w:top w:val="none" w:sz="0" w:space="0" w:color="auto"/>
                                                <w:left w:val="none" w:sz="0" w:space="0" w:color="auto"/>
                                                <w:bottom w:val="none" w:sz="0" w:space="0" w:color="auto"/>
                                                <w:right w:val="none" w:sz="0" w:space="0" w:color="auto"/>
                                              </w:divBdr>
                                            </w:div>
                                            <w:div w:id="16471295">
                                              <w:marLeft w:val="0"/>
                                              <w:marRight w:val="0"/>
                                              <w:marTop w:val="0"/>
                                              <w:marBottom w:val="0"/>
                                              <w:divBdr>
                                                <w:top w:val="none" w:sz="0" w:space="0" w:color="auto"/>
                                                <w:left w:val="none" w:sz="0" w:space="0" w:color="auto"/>
                                                <w:bottom w:val="none" w:sz="0" w:space="0" w:color="auto"/>
                                                <w:right w:val="none" w:sz="0" w:space="0" w:color="auto"/>
                                              </w:divBdr>
                                            </w:div>
                                            <w:div w:id="1661737028">
                                              <w:marLeft w:val="0"/>
                                              <w:marRight w:val="0"/>
                                              <w:marTop w:val="0"/>
                                              <w:marBottom w:val="0"/>
                                              <w:divBdr>
                                                <w:top w:val="none" w:sz="0" w:space="0" w:color="auto"/>
                                                <w:left w:val="none" w:sz="0" w:space="0" w:color="auto"/>
                                                <w:bottom w:val="none" w:sz="0" w:space="0" w:color="auto"/>
                                                <w:right w:val="none" w:sz="0" w:space="0" w:color="auto"/>
                                              </w:divBdr>
                                            </w:div>
                                            <w:div w:id="20660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0646940">
      <w:bodyDiv w:val="1"/>
      <w:marLeft w:val="0"/>
      <w:marRight w:val="0"/>
      <w:marTop w:val="0"/>
      <w:marBottom w:val="0"/>
      <w:divBdr>
        <w:top w:val="none" w:sz="0" w:space="0" w:color="auto"/>
        <w:left w:val="none" w:sz="0" w:space="0" w:color="auto"/>
        <w:bottom w:val="none" w:sz="0" w:space="0" w:color="auto"/>
        <w:right w:val="none" w:sz="0" w:space="0" w:color="auto"/>
      </w:divBdr>
    </w:div>
    <w:div w:id="1132288167">
      <w:bodyDiv w:val="1"/>
      <w:marLeft w:val="0"/>
      <w:marRight w:val="0"/>
      <w:marTop w:val="0"/>
      <w:marBottom w:val="0"/>
      <w:divBdr>
        <w:top w:val="none" w:sz="0" w:space="0" w:color="auto"/>
        <w:left w:val="none" w:sz="0" w:space="0" w:color="auto"/>
        <w:bottom w:val="none" w:sz="0" w:space="0" w:color="auto"/>
        <w:right w:val="none" w:sz="0" w:space="0" w:color="auto"/>
      </w:divBdr>
    </w:div>
    <w:div w:id="1552813857">
      <w:bodyDiv w:val="1"/>
      <w:marLeft w:val="0"/>
      <w:marRight w:val="0"/>
      <w:marTop w:val="0"/>
      <w:marBottom w:val="0"/>
      <w:divBdr>
        <w:top w:val="none" w:sz="0" w:space="0" w:color="auto"/>
        <w:left w:val="none" w:sz="0" w:space="0" w:color="auto"/>
        <w:bottom w:val="none" w:sz="0" w:space="0" w:color="auto"/>
        <w:right w:val="none" w:sz="0" w:space="0" w:color="auto"/>
      </w:divBdr>
    </w:div>
    <w:div w:id="2022931033">
      <w:bodyDiv w:val="1"/>
      <w:marLeft w:val="0"/>
      <w:marRight w:val="0"/>
      <w:marTop w:val="0"/>
      <w:marBottom w:val="0"/>
      <w:divBdr>
        <w:top w:val="none" w:sz="0" w:space="0" w:color="auto"/>
        <w:left w:val="none" w:sz="0" w:space="0" w:color="auto"/>
        <w:bottom w:val="none" w:sz="0" w:space="0" w:color="auto"/>
        <w:right w:val="none" w:sz="0" w:space="0" w:color="auto"/>
      </w:divBdr>
    </w:div>
    <w:div w:id="203253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 TargetMode="External"/><Relationship Id="rId18" Type="http://schemas.openxmlformats.org/officeDocument/2006/relationships/hyperlink" Target="http://www.ferc.gov" TargetMode="External"/><Relationship Id="rId3" Type="http://schemas.openxmlformats.org/officeDocument/2006/relationships/customXml" Target="../customXml/item3.xml"/><Relationship Id="rId21" Type="http://schemas.openxmlformats.org/officeDocument/2006/relationships/hyperlink" Target="mailto:ferconlinesupport@ferc.gov" TargetMode="External"/><Relationship Id="rId7" Type="http://schemas.microsoft.com/office/2007/relationships/stylesWithEffects" Target="stylesWithEffects.xml"/><Relationship Id="rId12" Type="http://schemas.openxmlformats.org/officeDocument/2006/relationships/hyperlink" Target="http://www.naesb.org" TargetMode="External"/><Relationship Id="rId17" Type="http://schemas.openxmlformats.org/officeDocument/2006/relationships/hyperlink" Target="http://www.naesb.org/"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ferc.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ferc.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public.referenceroom@ferc.go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bls.gov/oes/current/naics2_22.htm" TargetMode="External"/><Relationship Id="rId3" Type="http://schemas.openxmlformats.org/officeDocument/2006/relationships/hyperlink" Target="https://www.naesb.org/pdf4/naesbapp.pdf" TargetMode="External"/><Relationship Id="rId7" Type="http://schemas.openxmlformats.org/officeDocument/2006/relationships/hyperlink" Target="http://www.ferc.gov/docs-filing/forms.asp" TargetMode="External"/><Relationship Id="rId2" Type="http://schemas.openxmlformats.org/officeDocument/2006/relationships/hyperlink" Target="http://www.ferc.gov/docs-filing/elibrary.asp" TargetMode="External"/><Relationship Id="rId1" Type="http://schemas.openxmlformats.org/officeDocument/2006/relationships/hyperlink" Target="http://www.ferc.gov/industries/gas/indus-act/pipelines/standards.asp" TargetMode="External"/><Relationship Id="rId6" Type="http://schemas.openxmlformats.org/officeDocument/2006/relationships/hyperlink" Target="http://www.regulations.gov/" TargetMode="External"/><Relationship Id="rId5" Type="http://schemas.openxmlformats.org/officeDocument/2006/relationships/hyperlink" Target="https://www.naesb.org/misc/NAESB_Nonmember_Evaluation.pdf%20" TargetMode="External"/><Relationship Id="rId4" Type="http://schemas.openxmlformats.org/officeDocument/2006/relationships/hyperlink" Target="https://www.naesb.org/pdf/ordr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12B0D-EEC4-49E1-A175-3AA7E291606F}">
  <ds:schemaRefs>
    <ds:schemaRef ds:uri="http://schemas.microsoft.com/office/2006/metadata/properties"/>
  </ds:schemaRefs>
</ds:datastoreItem>
</file>

<file path=customXml/itemProps2.xml><?xml version="1.0" encoding="utf-8"?>
<ds:datastoreItem xmlns:ds="http://schemas.openxmlformats.org/officeDocument/2006/customXml" ds:itemID="{797642C2-7D90-4751-9D59-E95DBE95BF76}">
  <ds:schemaRefs>
    <ds:schemaRef ds:uri="http://schemas.microsoft.com/sharepoint/v3/contenttype/forms"/>
  </ds:schemaRefs>
</ds:datastoreItem>
</file>

<file path=customXml/itemProps3.xml><?xml version="1.0" encoding="utf-8"?>
<ds:datastoreItem xmlns:ds="http://schemas.openxmlformats.org/officeDocument/2006/customXml" ds:itemID="{7C4E3D2A-EA6C-4852-B843-49FB61976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D5FCC70-883B-4B6D-8A29-F95E83F5C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6997</Words>
  <Characters>39883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46787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2015-07-16T21:17:00Z</dcterms:created>
  <dcterms:modified xsi:type="dcterms:W3CDTF">2015-07-16T21:17:00Z</dcterms:modified>
  <dc:identifier/>
  <cp:version/>
</cp:coreProperties>
</file>