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30" w:rsidRPr="000A4230" w:rsidRDefault="000A4230" w:rsidP="005277D3">
      <w:pPr>
        <w:spacing w:after="0"/>
        <w:jc w:val="center"/>
      </w:pPr>
      <w:r w:rsidRPr="000A4230">
        <w:t>UNITED STATES OF AMERICA</w:t>
      </w:r>
    </w:p>
    <w:p w:rsidR="000A4230" w:rsidRDefault="000A4230" w:rsidP="005277D3">
      <w:pPr>
        <w:spacing w:after="0"/>
        <w:jc w:val="center"/>
      </w:pPr>
      <w:r w:rsidRPr="000A4230">
        <w:t>FEDERAL ENERGY REGULATORY COMMISSION</w:t>
      </w:r>
    </w:p>
    <w:p w:rsidR="005277D3" w:rsidRDefault="005277D3" w:rsidP="005277D3">
      <w:pPr>
        <w:spacing w:after="0"/>
        <w:jc w:val="center"/>
      </w:pPr>
    </w:p>
    <w:p w:rsidR="000A4230" w:rsidRPr="000A4230" w:rsidRDefault="000A4230" w:rsidP="005277D3">
      <w:pPr>
        <w:spacing w:after="0" w:line="240" w:lineRule="auto"/>
      </w:pPr>
      <w:r w:rsidRPr="000A4230">
        <w:t>Standards for Business Practices and</w:t>
      </w:r>
      <w:r w:rsidRPr="000A4230">
        <w:tab/>
      </w:r>
      <w:r w:rsidRPr="000A4230">
        <w:tab/>
      </w:r>
      <w:r w:rsidRPr="000A4230">
        <w:tab/>
      </w:r>
      <w:r w:rsidRPr="000A4230">
        <w:tab/>
        <w:t xml:space="preserve">   Docket No. RM05-5-02</w:t>
      </w:r>
      <w:r w:rsidR="00FD2139">
        <w:t>2</w:t>
      </w:r>
    </w:p>
    <w:p w:rsidR="000A4230" w:rsidRDefault="00FD2139" w:rsidP="005277D3">
      <w:pPr>
        <w:spacing w:after="0" w:line="360" w:lineRule="auto"/>
      </w:pPr>
      <w:r>
        <w:t xml:space="preserve">  </w:t>
      </w:r>
      <w:r w:rsidR="000A4230" w:rsidRPr="000A4230">
        <w:t>Communication Protocols for Public Utilities</w:t>
      </w:r>
    </w:p>
    <w:p w:rsidR="005277D3" w:rsidRDefault="005277D3" w:rsidP="005277D3">
      <w:pPr>
        <w:spacing w:after="0" w:line="360" w:lineRule="auto"/>
      </w:pPr>
    </w:p>
    <w:p w:rsidR="000A4230" w:rsidRDefault="000A4230" w:rsidP="005277D3">
      <w:pPr>
        <w:spacing w:after="0" w:line="360" w:lineRule="auto"/>
        <w:jc w:val="center"/>
      </w:pPr>
      <w:r w:rsidRPr="000A4230">
        <w:t>NOTICE GRANTING LIMITED EXTENSION</w:t>
      </w:r>
      <w:r w:rsidR="007778DC">
        <w:t xml:space="preserve"> OF TIME</w:t>
      </w:r>
    </w:p>
    <w:p w:rsidR="00344975" w:rsidRDefault="00344975" w:rsidP="005277D3">
      <w:pPr>
        <w:spacing w:after="0" w:line="240" w:lineRule="auto"/>
        <w:jc w:val="center"/>
        <w:rPr>
          <w:rFonts w:cs="Times New Roman"/>
        </w:rPr>
      </w:pPr>
      <w:r w:rsidRPr="00344975">
        <w:rPr>
          <w:rFonts w:cs="Times New Roman"/>
        </w:rPr>
        <w:t>(June 23, 2016)</w:t>
      </w:r>
    </w:p>
    <w:p w:rsidR="00344975" w:rsidRPr="00344975" w:rsidRDefault="00344975" w:rsidP="005277D3">
      <w:pPr>
        <w:spacing w:after="0" w:line="240" w:lineRule="auto"/>
        <w:rPr>
          <w:rFonts w:cs="Times New Roman"/>
        </w:rPr>
      </w:pPr>
    </w:p>
    <w:p w:rsidR="00492331" w:rsidRDefault="000A4230" w:rsidP="00F334EC">
      <w:pPr>
        <w:spacing w:line="240" w:lineRule="auto"/>
      </w:pPr>
      <w:r>
        <w:tab/>
        <w:t xml:space="preserve">In Order No. 676-H, </w:t>
      </w:r>
      <w:r w:rsidRPr="000A4230">
        <w:t>the Federal Energy Regulatory Commission (Commission) amended its regulations to</w:t>
      </w:r>
      <w:r>
        <w:t xml:space="preserve"> </w:t>
      </w:r>
      <w:r w:rsidRPr="000A4230">
        <w:t>incorporate by reference, with certain enumerated exceptions, the latest version (Version 003) of the Standards for Business Practices and Communication Protocols for Public Utilities adopted by the Wholesale Electric Quadrant (WEQ) of the North American Energy Standards Board (NAESB) as mandatory enforceable requirements.</w:t>
      </w:r>
      <w:r w:rsidR="005D1E29" w:rsidRPr="000906AB">
        <w:rPr>
          <w:rStyle w:val="FootnoteReference"/>
          <w:b/>
        </w:rPr>
        <w:footnoteReference w:id="1"/>
      </w:r>
      <w:r w:rsidRPr="000A4230">
        <w:t xml:space="preserve"> </w:t>
      </w:r>
      <w:r>
        <w:t xml:space="preserve"> Order No. 676-H</w:t>
      </w:r>
      <w:r w:rsidR="008B19E0">
        <w:t>, in pertinent part,</w:t>
      </w:r>
      <w:r>
        <w:t xml:space="preserve"> require</w:t>
      </w:r>
      <w:r w:rsidR="00FD2139">
        <w:t>d</w:t>
      </w:r>
      <w:r w:rsidRPr="000A4230">
        <w:t xml:space="preserve"> </w:t>
      </w:r>
      <w:r w:rsidR="00F334EC">
        <w:t>Transmission Providers</w:t>
      </w:r>
      <w:r>
        <w:t xml:space="preserve"> to comply with standards </w:t>
      </w:r>
      <w:r w:rsidRPr="000A4230">
        <w:t xml:space="preserve">related to the Network Integration Transmission Service </w:t>
      </w:r>
      <w:r>
        <w:t>(</w:t>
      </w:r>
      <w:r w:rsidRPr="000A4230">
        <w:t>NITS</w:t>
      </w:r>
      <w:r>
        <w:t>)</w:t>
      </w:r>
      <w:r w:rsidRPr="000A4230">
        <w:t xml:space="preserve"> </w:t>
      </w:r>
      <w:r>
        <w:t>Open Access Same-Time Information System (</w:t>
      </w:r>
      <w:r w:rsidRPr="000A4230">
        <w:t>OASIS</w:t>
      </w:r>
      <w:r>
        <w:t>)</w:t>
      </w:r>
      <w:r w:rsidRPr="000A4230">
        <w:t xml:space="preserve"> template</w:t>
      </w:r>
      <w:r w:rsidR="00492331">
        <w:t>.</w:t>
      </w:r>
    </w:p>
    <w:p w:rsidR="000A4230" w:rsidRDefault="004E352D" w:rsidP="00F334EC">
      <w:pPr>
        <w:spacing w:line="240" w:lineRule="auto"/>
        <w:ind w:firstLine="720"/>
      </w:pPr>
      <w:r>
        <w:t xml:space="preserve">Edison </w:t>
      </w:r>
      <w:r w:rsidR="000A380C">
        <w:t xml:space="preserve">Electric Institute </w:t>
      </w:r>
      <w:r w:rsidR="007778DC">
        <w:t xml:space="preserve">(EEI) </w:t>
      </w:r>
      <w:r w:rsidR="000A380C">
        <w:t>filed</w:t>
      </w:r>
      <w:r w:rsidR="00DC5C20">
        <w:t xml:space="preserve"> a motion </w:t>
      </w:r>
      <w:r w:rsidR="00CD21D9">
        <w:t xml:space="preserve">seeking </w:t>
      </w:r>
      <w:r w:rsidR="00DC5C20">
        <w:t>an</w:t>
      </w:r>
      <w:r w:rsidR="000A380C">
        <w:t xml:space="preserve"> </w:t>
      </w:r>
      <w:r w:rsidR="005E54F1">
        <w:t xml:space="preserve">industry-wide </w:t>
      </w:r>
      <w:r w:rsidR="000A380C">
        <w:t xml:space="preserve">extension </w:t>
      </w:r>
      <w:r w:rsidR="00A10DA1">
        <w:t xml:space="preserve">for implementation of the </w:t>
      </w:r>
      <w:r w:rsidR="00CD21D9">
        <w:t xml:space="preserve">NITS-related </w:t>
      </w:r>
      <w:r w:rsidR="00A10DA1">
        <w:t xml:space="preserve">requirements </w:t>
      </w:r>
      <w:r w:rsidR="00CD21D9">
        <w:t>of Order No. 676-H from</w:t>
      </w:r>
      <w:r w:rsidR="00A10DA1">
        <w:t xml:space="preserve"> the </w:t>
      </w:r>
      <w:r w:rsidR="00CD21D9">
        <w:t xml:space="preserve">dates </w:t>
      </w:r>
      <w:r w:rsidR="00A10DA1">
        <w:t xml:space="preserve">specified </w:t>
      </w:r>
      <w:r w:rsidR="00CD21D9">
        <w:t>in a notice issued on March 17, 2016</w:t>
      </w:r>
      <w:r w:rsidR="007778DC">
        <w:t>, stating that</w:t>
      </w:r>
      <w:r w:rsidR="005E54F1">
        <w:t xml:space="preserve"> many EEI members raised concerns about the viability of those deadlines</w:t>
      </w:r>
      <w:r w:rsidR="00F334EC">
        <w:t xml:space="preserve">.  </w:t>
      </w:r>
      <w:r w:rsidR="00DC5C20">
        <w:t xml:space="preserve">In addition, various Transmission Providers filed comments </w:t>
      </w:r>
      <w:r w:rsidR="005E54F1">
        <w:t xml:space="preserve">with the Commission </w:t>
      </w:r>
      <w:r w:rsidR="007778DC">
        <w:t xml:space="preserve">in </w:t>
      </w:r>
      <w:r w:rsidR="00DC5C20">
        <w:t>support</w:t>
      </w:r>
      <w:r w:rsidR="007778DC">
        <w:t xml:space="preserve"> of the</w:t>
      </w:r>
      <w:r w:rsidR="00DC5C20">
        <w:t xml:space="preserve"> motion</w:t>
      </w:r>
      <w:r w:rsidR="0008361C">
        <w:t xml:space="preserve"> or</w:t>
      </w:r>
      <w:r w:rsidR="007778DC">
        <w:t xml:space="preserve"> have </w:t>
      </w:r>
      <w:r w:rsidR="0008361C">
        <w:t xml:space="preserve">separately </w:t>
      </w:r>
      <w:r w:rsidR="007778DC">
        <w:t xml:space="preserve">filed </w:t>
      </w:r>
      <w:r w:rsidR="0008361C">
        <w:t>their own extension request</w:t>
      </w:r>
      <w:r w:rsidR="00DC5C20">
        <w:t>.</w:t>
      </w:r>
    </w:p>
    <w:p w:rsidR="00344975" w:rsidRDefault="00395C23" w:rsidP="00344975">
      <w:pPr>
        <w:autoSpaceDE w:val="0"/>
        <w:autoSpaceDN w:val="0"/>
        <w:adjustRightInd w:val="0"/>
        <w:spacing w:after="240" w:line="240" w:lineRule="auto"/>
        <w:ind w:firstLine="720"/>
      </w:pPr>
      <w:r w:rsidRPr="00395C23">
        <w:t xml:space="preserve">Upon consideration of these requests for extension of time, the Commission </w:t>
      </w:r>
      <w:r w:rsidR="007778DC">
        <w:t xml:space="preserve">grants an </w:t>
      </w:r>
      <w:r w:rsidRPr="00395C23">
        <w:t>exten</w:t>
      </w:r>
      <w:r w:rsidR="007778DC">
        <w:t>sion</w:t>
      </w:r>
      <w:r w:rsidRPr="00395C23">
        <w:t xml:space="preserve"> </w:t>
      </w:r>
      <w:r w:rsidR="007778DC">
        <w:t xml:space="preserve">for </w:t>
      </w:r>
      <w:r w:rsidRPr="00395C23">
        <w:t>the</w:t>
      </w:r>
      <w:r w:rsidR="00DC5C20">
        <w:t xml:space="preserve"> </w:t>
      </w:r>
      <w:r w:rsidR="006A4FED">
        <w:t>NITS</w:t>
      </w:r>
      <w:r w:rsidR="00CD21D9">
        <w:t>-</w:t>
      </w:r>
      <w:r w:rsidR="006A4FED">
        <w:t>related deadlines</w:t>
      </w:r>
      <w:r w:rsidR="00492331">
        <w:t xml:space="preserve"> for all Transmission Providers</w:t>
      </w:r>
      <w:r w:rsidR="006A4FED">
        <w:t xml:space="preserve">.  The compliance filing date </w:t>
      </w:r>
      <w:r w:rsidR="00CD21D9">
        <w:t>and the</w:t>
      </w:r>
      <w:r w:rsidR="006A4FED">
        <w:t xml:space="preserve"> deadline related to the posting and documenting of NITS arrangements </w:t>
      </w:r>
      <w:r w:rsidR="00CD21D9">
        <w:t>are</w:t>
      </w:r>
      <w:r w:rsidR="006A4FED">
        <w:t xml:space="preserve"> extended until </w:t>
      </w:r>
      <w:r w:rsidR="00CD21D9">
        <w:t>February 1</w:t>
      </w:r>
      <w:r w:rsidR="006A4FED">
        <w:t>, 201</w:t>
      </w:r>
      <w:r w:rsidR="00CD21D9">
        <w:t>7</w:t>
      </w:r>
      <w:r w:rsidR="006A4FED">
        <w:t xml:space="preserve">.  </w:t>
      </w:r>
      <w:r w:rsidR="002F72B7">
        <w:t>T</w:t>
      </w:r>
      <w:r w:rsidR="002F72B7" w:rsidRPr="00395C23">
        <w:t xml:space="preserve">he </w:t>
      </w:r>
      <w:r w:rsidR="00CD21D9">
        <w:t>July 25</w:t>
      </w:r>
      <w:r w:rsidR="006A4FED">
        <w:t xml:space="preserve">, 2016 </w:t>
      </w:r>
      <w:r w:rsidR="00234901">
        <w:t xml:space="preserve">deadline for full compliance </w:t>
      </w:r>
      <w:r w:rsidR="00156B6D">
        <w:t xml:space="preserve">implementation of all NITS related </w:t>
      </w:r>
      <w:r w:rsidR="00492331">
        <w:t xml:space="preserve">standards and </w:t>
      </w:r>
      <w:r w:rsidR="00156B6D">
        <w:t xml:space="preserve">requirements </w:t>
      </w:r>
      <w:r w:rsidR="00492331">
        <w:t xml:space="preserve">is extended </w:t>
      </w:r>
      <w:r w:rsidR="000906AB">
        <w:t xml:space="preserve">until </w:t>
      </w:r>
      <w:r w:rsidR="00CD21D9">
        <w:t>March 1</w:t>
      </w:r>
      <w:r w:rsidR="000906AB">
        <w:t>, 201</w:t>
      </w:r>
      <w:r w:rsidR="00CD21D9">
        <w:t>7</w:t>
      </w:r>
      <w:r w:rsidR="000906AB">
        <w:t>.</w:t>
      </w:r>
    </w:p>
    <w:p w:rsidR="00344975" w:rsidRDefault="00344975" w:rsidP="00344975">
      <w:pPr>
        <w:spacing w:after="0" w:line="240" w:lineRule="auto"/>
      </w:pPr>
    </w:p>
    <w:p w:rsidR="00275C71" w:rsidRDefault="00275C71" w:rsidP="00344975">
      <w:pPr>
        <w:spacing w:after="0" w:line="240" w:lineRule="auto"/>
      </w:pPr>
    </w:p>
    <w:p w:rsidR="00275C71" w:rsidRDefault="00275C71" w:rsidP="00344975">
      <w:pPr>
        <w:spacing w:after="0" w:line="240" w:lineRule="auto"/>
      </w:pPr>
      <w:bookmarkStart w:id="0" w:name="_GoBack"/>
      <w:bookmarkEnd w:id="0"/>
    </w:p>
    <w:p w:rsidR="00344975" w:rsidRPr="00344975" w:rsidRDefault="00344975" w:rsidP="00344975">
      <w:pPr>
        <w:spacing w:after="0" w:line="240" w:lineRule="auto"/>
        <w:ind w:firstLine="2174"/>
        <w:jc w:val="center"/>
        <w:rPr>
          <w:rFonts w:cs="Times New Roman"/>
        </w:rPr>
      </w:pPr>
      <w:r w:rsidRPr="00344975">
        <w:rPr>
          <w:rFonts w:cs="Times New Roman"/>
        </w:rPr>
        <w:t>Kimberly D. Bose,</w:t>
      </w:r>
    </w:p>
    <w:p w:rsidR="00344975" w:rsidRPr="00344975" w:rsidRDefault="00344975" w:rsidP="00344975">
      <w:pPr>
        <w:spacing w:after="0" w:line="240" w:lineRule="auto"/>
        <w:ind w:firstLine="2174"/>
        <w:jc w:val="center"/>
      </w:pPr>
      <w:proofErr w:type="gramStart"/>
      <w:r w:rsidRPr="00344975">
        <w:rPr>
          <w:rFonts w:cs="Times New Roman"/>
        </w:rPr>
        <w:t>Secretary.</w:t>
      </w:r>
      <w:proofErr w:type="gramEnd"/>
    </w:p>
    <w:p w:rsidR="00344975" w:rsidRDefault="00344975" w:rsidP="00344975">
      <w:pPr>
        <w:spacing w:after="0" w:line="240" w:lineRule="auto"/>
      </w:pPr>
    </w:p>
    <w:sectPr w:rsidR="00344975" w:rsidSect="00A818D1">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A8" w:rsidRDefault="00893FA8" w:rsidP="00A763E4">
      <w:pPr>
        <w:spacing w:after="0" w:line="240" w:lineRule="auto"/>
      </w:pPr>
      <w:r>
        <w:separator/>
      </w:r>
    </w:p>
  </w:endnote>
  <w:endnote w:type="continuationSeparator" w:id="0">
    <w:p w:rsidR="00893FA8" w:rsidRDefault="00893FA8" w:rsidP="00A7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A8" w:rsidRDefault="00893FA8" w:rsidP="00A763E4">
      <w:pPr>
        <w:spacing w:after="0" w:line="240" w:lineRule="auto"/>
      </w:pPr>
      <w:r>
        <w:separator/>
      </w:r>
    </w:p>
  </w:footnote>
  <w:footnote w:type="continuationSeparator" w:id="0">
    <w:p w:rsidR="00893FA8" w:rsidRDefault="00893FA8" w:rsidP="00A763E4">
      <w:pPr>
        <w:spacing w:after="0" w:line="240" w:lineRule="auto"/>
      </w:pPr>
      <w:r>
        <w:continuationSeparator/>
      </w:r>
    </w:p>
  </w:footnote>
  <w:footnote w:id="1">
    <w:p w:rsidR="005D1E29" w:rsidRPr="005D1E29" w:rsidRDefault="005D1E29" w:rsidP="005D1E29">
      <w:pPr>
        <w:pStyle w:val="FootnoteText"/>
        <w:ind w:firstLine="720"/>
        <w:rPr>
          <w:sz w:val="26"/>
          <w:szCs w:val="26"/>
        </w:rPr>
      </w:pPr>
      <w:r w:rsidRPr="005D1E29">
        <w:rPr>
          <w:b/>
          <w:sz w:val="26"/>
          <w:szCs w:val="26"/>
          <w:vertAlign w:val="superscript"/>
        </w:rPr>
        <w:footnoteRef/>
      </w:r>
      <w:r w:rsidRPr="005D1E29">
        <w:t xml:space="preserve"> </w:t>
      </w:r>
      <w:r w:rsidRPr="005D1E29">
        <w:rPr>
          <w:i/>
          <w:sz w:val="26"/>
          <w:szCs w:val="26"/>
        </w:rPr>
        <w:t>Standards for Business Practices and Communication Protocols for Public Utilities</w:t>
      </w:r>
      <w:r w:rsidRPr="005D1E29">
        <w:rPr>
          <w:sz w:val="26"/>
          <w:szCs w:val="26"/>
        </w:rPr>
        <w:t xml:space="preserve">, </w:t>
      </w:r>
      <w:r w:rsidR="000906AB">
        <w:rPr>
          <w:sz w:val="26"/>
          <w:szCs w:val="26"/>
        </w:rPr>
        <w:t xml:space="preserve">79 FR 56939 (Sep. 24, 2014), </w:t>
      </w:r>
      <w:r w:rsidRPr="005D1E29">
        <w:rPr>
          <w:sz w:val="26"/>
          <w:szCs w:val="26"/>
        </w:rPr>
        <w:t xml:space="preserve">FERC </w:t>
      </w:r>
      <w:r w:rsidR="000906AB">
        <w:rPr>
          <w:sz w:val="26"/>
          <w:szCs w:val="26"/>
        </w:rPr>
        <w:t xml:space="preserve">Stats. &amp; Regs. </w:t>
      </w:r>
      <w:r w:rsidRPr="005D1E29">
        <w:rPr>
          <w:sz w:val="26"/>
          <w:szCs w:val="26"/>
        </w:rPr>
        <w:t>¶</w:t>
      </w:r>
      <w:r w:rsidR="000906AB">
        <w:rPr>
          <w:sz w:val="26"/>
          <w:szCs w:val="26"/>
        </w:rPr>
        <w:t> 3</w:t>
      </w:r>
      <w:r w:rsidRPr="005D1E29">
        <w:rPr>
          <w:sz w:val="26"/>
          <w:szCs w:val="26"/>
        </w:rPr>
        <w:t>1,</w:t>
      </w:r>
      <w:r w:rsidR="000906AB">
        <w:rPr>
          <w:sz w:val="26"/>
          <w:szCs w:val="26"/>
        </w:rPr>
        <w:t>359</w:t>
      </w:r>
      <w:r w:rsidRPr="005D1E29">
        <w:rPr>
          <w:sz w:val="26"/>
          <w:szCs w:val="26"/>
        </w:rPr>
        <w:t xml:space="preserve"> (</w:t>
      </w:r>
      <w:r w:rsidR="000906AB">
        <w:rPr>
          <w:sz w:val="26"/>
          <w:szCs w:val="26"/>
        </w:rPr>
        <w:t xml:space="preserve">Sep. 18, </w:t>
      </w:r>
      <w:r w:rsidRPr="005D1E29">
        <w:rPr>
          <w:sz w:val="26"/>
          <w:szCs w:val="26"/>
        </w:rPr>
        <w:t>2014)</w:t>
      </w:r>
      <w:r w:rsidR="000906AB">
        <w:rPr>
          <w:sz w:val="26"/>
          <w:szCs w:val="26"/>
        </w:rPr>
        <w:t xml:space="preserve">, </w:t>
      </w:r>
      <w:r w:rsidR="000906AB" w:rsidRPr="000906AB">
        <w:rPr>
          <w:i/>
          <w:sz w:val="26"/>
          <w:szCs w:val="26"/>
        </w:rPr>
        <w:t>corrected</w:t>
      </w:r>
      <w:r w:rsidR="000906AB">
        <w:rPr>
          <w:sz w:val="26"/>
          <w:szCs w:val="26"/>
        </w:rPr>
        <w:t xml:space="preserve">, 149 FERC </w:t>
      </w:r>
      <w:r w:rsidR="000906AB">
        <w:rPr>
          <w:rFonts w:cs="Times New Roman"/>
          <w:sz w:val="26"/>
          <w:szCs w:val="26"/>
        </w:rPr>
        <w:t>¶</w:t>
      </w:r>
      <w:r w:rsidR="000906AB">
        <w:rPr>
          <w:sz w:val="26"/>
          <w:szCs w:val="26"/>
        </w:rPr>
        <w:t xml:space="preserve"> 61,014 (Oct. 3, 2014), </w:t>
      </w:r>
      <w:r w:rsidR="000906AB" w:rsidRPr="000906AB">
        <w:rPr>
          <w:i/>
          <w:sz w:val="26"/>
          <w:szCs w:val="26"/>
        </w:rPr>
        <w:t>reh’g denied</w:t>
      </w:r>
      <w:r w:rsidR="000906AB">
        <w:rPr>
          <w:sz w:val="26"/>
          <w:szCs w:val="26"/>
        </w:rPr>
        <w:t xml:space="preserve">, 151 FERC </w:t>
      </w:r>
      <w:r w:rsidR="000906AB">
        <w:rPr>
          <w:rFonts w:cs="Times New Roman"/>
          <w:sz w:val="26"/>
          <w:szCs w:val="26"/>
        </w:rPr>
        <w:t>¶</w:t>
      </w:r>
      <w:r w:rsidR="000906AB">
        <w:rPr>
          <w:sz w:val="26"/>
          <w:szCs w:val="26"/>
        </w:rPr>
        <w:t> 61,046 (2015)</w:t>
      </w:r>
      <w:r>
        <w:rPr>
          <w:sz w:val="26"/>
          <w:szCs w:val="2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30"/>
    <w:rsid w:val="00011898"/>
    <w:rsid w:val="00037B9B"/>
    <w:rsid w:val="00037FF6"/>
    <w:rsid w:val="0008361C"/>
    <w:rsid w:val="000906AB"/>
    <w:rsid w:val="000A380C"/>
    <w:rsid w:val="000A4230"/>
    <w:rsid w:val="000D40FD"/>
    <w:rsid w:val="00134860"/>
    <w:rsid w:val="00154B4F"/>
    <w:rsid w:val="00156B6D"/>
    <w:rsid w:val="00167B33"/>
    <w:rsid w:val="001F0B30"/>
    <w:rsid w:val="00234901"/>
    <w:rsid w:val="00274B7A"/>
    <w:rsid w:val="00275C71"/>
    <w:rsid w:val="002848FD"/>
    <w:rsid w:val="002F3D8E"/>
    <w:rsid w:val="002F72B7"/>
    <w:rsid w:val="00307535"/>
    <w:rsid w:val="00344975"/>
    <w:rsid w:val="003456BE"/>
    <w:rsid w:val="00350FAC"/>
    <w:rsid w:val="00395C23"/>
    <w:rsid w:val="003B633D"/>
    <w:rsid w:val="003D71F1"/>
    <w:rsid w:val="0040072F"/>
    <w:rsid w:val="0045523E"/>
    <w:rsid w:val="00492331"/>
    <w:rsid w:val="004B5234"/>
    <w:rsid w:val="004C529F"/>
    <w:rsid w:val="004E352D"/>
    <w:rsid w:val="005277D3"/>
    <w:rsid w:val="00554676"/>
    <w:rsid w:val="005D1E29"/>
    <w:rsid w:val="005E54F1"/>
    <w:rsid w:val="005E69CC"/>
    <w:rsid w:val="00625C03"/>
    <w:rsid w:val="00646ED2"/>
    <w:rsid w:val="00653D62"/>
    <w:rsid w:val="006A4FED"/>
    <w:rsid w:val="00774760"/>
    <w:rsid w:val="007778DC"/>
    <w:rsid w:val="00785778"/>
    <w:rsid w:val="0079131F"/>
    <w:rsid w:val="00817C24"/>
    <w:rsid w:val="00866ED9"/>
    <w:rsid w:val="00893FA8"/>
    <w:rsid w:val="008A0AE6"/>
    <w:rsid w:val="008B19E0"/>
    <w:rsid w:val="00953426"/>
    <w:rsid w:val="00994562"/>
    <w:rsid w:val="009F5ADC"/>
    <w:rsid w:val="00A10DA1"/>
    <w:rsid w:val="00A763E4"/>
    <w:rsid w:val="00A818D1"/>
    <w:rsid w:val="00AB0199"/>
    <w:rsid w:val="00B1115F"/>
    <w:rsid w:val="00BB0169"/>
    <w:rsid w:val="00BD2107"/>
    <w:rsid w:val="00CA7457"/>
    <w:rsid w:val="00CD125D"/>
    <w:rsid w:val="00CD21D9"/>
    <w:rsid w:val="00CE42DF"/>
    <w:rsid w:val="00D5399D"/>
    <w:rsid w:val="00D667E1"/>
    <w:rsid w:val="00DB3320"/>
    <w:rsid w:val="00DC496C"/>
    <w:rsid w:val="00DC5C20"/>
    <w:rsid w:val="00EA5743"/>
    <w:rsid w:val="00F11DEC"/>
    <w:rsid w:val="00F334EC"/>
    <w:rsid w:val="00F63906"/>
    <w:rsid w:val="00FD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E4"/>
    <w:rPr>
      <w:sz w:val="20"/>
      <w:szCs w:val="20"/>
    </w:rPr>
  </w:style>
  <w:style w:type="character" w:styleId="FootnoteReference">
    <w:name w:val="footnote reference"/>
    <w:basedOn w:val="DefaultParagraphFont"/>
    <w:uiPriority w:val="99"/>
    <w:semiHidden/>
    <w:unhideWhenUsed/>
    <w:rsid w:val="00A763E4"/>
    <w:rPr>
      <w:vertAlign w:val="superscript"/>
    </w:rPr>
  </w:style>
  <w:style w:type="paragraph" w:customStyle="1" w:styleId="Default">
    <w:name w:val="Default"/>
    <w:rsid w:val="005D1E2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4C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9F"/>
    <w:rPr>
      <w:rFonts w:ascii="Tahoma" w:hAnsi="Tahoma" w:cs="Tahoma"/>
      <w:sz w:val="16"/>
      <w:szCs w:val="16"/>
    </w:rPr>
  </w:style>
  <w:style w:type="character" w:styleId="CommentReference">
    <w:name w:val="annotation reference"/>
    <w:basedOn w:val="DefaultParagraphFont"/>
    <w:uiPriority w:val="99"/>
    <w:semiHidden/>
    <w:unhideWhenUsed/>
    <w:rsid w:val="00A10DA1"/>
    <w:rPr>
      <w:sz w:val="16"/>
      <w:szCs w:val="16"/>
    </w:rPr>
  </w:style>
  <w:style w:type="paragraph" w:styleId="CommentText">
    <w:name w:val="annotation text"/>
    <w:basedOn w:val="Normal"/>
    <w:link w:val="CommentTextChar"/>
    <w:uiPriority w:val="99"/>
    <w:semiHidden/>
    <w:unhideWhenUsed/>
    <w:rsid w:val="00A10DA1"/>
    <w:pPr>
      <w:spacing w:line="240" w:lineRule="auto"/>
    </w:pPr>
    <w:rPr>
      <w:sz w:val="20"/>
      <w:szCs w:val="20"/>
    </w:rPr>
  </w:style>
  <w:style w:type="character" w:customStyle="1" w:styleId="CommentTextChar">
    <w:name w:val="Comment Text Char"/>
    <w:basedOn w:val="DefaultParagraphFont"/>
    <w:link w:val="CommentText"/>
    <w:uiPriority w:val="99"/>
    <w:semiHidden/>
    <w:rsid w:val="00A10DA1"/>
    <w:rPr>
      <w:sz w:val="20"/>
      <w:szCs w:val="20"/>
    </w:rPr>
  </w:style>
  <w:style w:type="paragraph" w:styleId="CommentSubject">
    <w:name w:val="annotation subject"/>
    <w:basedOn w:val="CommentText"/>
    <w:next w:val="CommentText"/>
    <w:link w:val="CommentSubjectChar"/>
    <w:uiPriority w:val="99"/>
    <w:semiHidden/>
    <w:unhideWhenUsed/>
    <w:rsid w:val="00A10DA1"/>
    <w:rPr>
      <w:b/>
      <w:bCs/>
    </w:rPr>
  </w:style>
  <w:style w:type="character" w:customStyle="1" w:styleId="CommentSubjectChar">
    <w:name w:val="Comment Subject Char"/>
    <w:basedOn w:val="CommentTextChar"/>
    <w:link w:val="CommentSubject"/>
    <w:uiPriority w:val="99"/>
    <w:semiHidden/>
    <w:rsid w:val="00A10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E4"/>
    <w:rPr>
      <w:sz w:val="20"/>
      <w:szCs w:val="20"/>
    </w:rPr>
  </w:style>
  <w:style w:type="character" w:styleId="FootnoteReference">
    <w:name w:val="footnote reference"/>
    <w:basedOn w:val="DefaultParagraphFont"/>
    <w:uiPriority w:val="99"/>
    <w:semiHidden/>
    <w:unhideWhenUsed/>
    <w:rsid w:val="00A763E4"/>
    <w:rPr>
      <w:vertAlign w:val="superscript"/>
    </w:rPr>
  </w:style>
  <w:style w:type="paragraph" w:customStyle="1" w:styleId="Default">
    <w:name w:val="Default"/>
    <w:rsid w:val="005D1E2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4C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9F"/>
    <w:rPr>
      <w:rFonts w:ascii="Tahoma" w:hAnsi="Tahoma" w:cs="Tahoma"/>
      <w:sz w:val="16"/>
      <w:szCs w:val="16"/>
    </w:rPr>
  </w:style>
  <w:style w:type="character" w:styleId="CommentReference">
    <w:name w:val="annotation reference"/>
    <w:basedOn w:val="DefaultParagraphFont"/>
    <w:uiPriority w:val="99"/>
    <w:semiHidden/>
    <w:unhideWhenUsed/>
    <w:rsid w:val="00A10DA1"/>
    <w:rPr>
      <w:sz w:val="16"/>
      <w:szCs w:val="16"/>
    </w:rPr>
  </w:style>
  <w:style w:type="paragraph" w:styleId="CommentText">
    <w:name w:val="annotation text"/>
    <w:basedOn w:val="Normal"/>
    <w:link w:val="CommentTextChar"/>
    <w:uiPriority w:val="99"/>
    <w:semiHidden/>
    <w:unhideWhenUsed/>
    <w:rsid w:val="00A10DA1"/>
    <w:pPr>
      <w:spacing w:line="240" w:lineRule="auto"/>
    </w:pPr>
    <w:rPr>
      <w:sz w:val="20"/>
      <w:szCs w:val="20"/>
    </w:rPr>
  </w:style>
  <w:style w:type="character" w:customStyle="1" w:styleId="CommentTextChar">
    <w:name w:val="Comment Text Char"/>
    <w:basedOn w:val="DefaultParagraphFont"/>
    <w:link w:val="CommentText"/>
    <w:uiPriority w:val="99"/>
    <w:semiHidden/>
    <w:rsid w:val="00A10DA1"/>
    <w:rPr>
      <w:sz w:val="20"/>
      <w:szCs w:val="20"/>
    </w:rPr>
  </w:style>
  <w:style w:type="paragraph" w:styleId="CommentSubject">
    <w:name w:val="annotation subject"/>
    <w:basedOn w:val="CommentText"/>
    <w:next w:val="CommentText"/>
    <w:link w:val="CommentSubjectChar"/>
    <w:uiPriority w:val="99"/>
    <w:semiHidden/>
    <w:unhideWhenUsed/>
    <w:rsid w:val="00A10DA1"/>
    <w:rPr>
      <w:b/>
      <w:bCs/>
    </w:rPr>
  </w:style>
  <w:style w:type="character" w:customStyle="1" w:styleId="CommentSubjectChar">
    <w:name w:val="Comment Subject Char"/>
    <w:basedOn w:val="CommentTextChar"/>
    <w:link w:val="CommentSubject"/>
    <w:uiPriority w:val="99"/>
    <w:semiHidden/>
    <w:rsid w:val="00A10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6940">
      <w:bodyDiv w:val="1"/>
      <w:marLeft w:val="0"/>
      <w:marRight w:val="0"/>
      <w:marTop w:val="0"/>
      <w:marBottom w:val="0"/>
      <w:divBdr>
        <w:top w:val="none" w:sz="0" w:space="0" w:color="auto"/>
        <w:left w:val="none" w:sz="0" w:space="0" w:color="auto"/>
        <w:bottom w:val="none" w:sz="0" w:space="0" w:color="auto"/>
        <w:right w:val="none" w:sz="0" w:space="0" w:color="auto"/>
      </w:divBdr>
    </w:div>
    <w:div w:id="1807047794">
      <w:bodyDiv w:val="1"/>
      <w:marLeft w:val="0"/>
      <w:marRight w:val="0"/>
      <w:marTop w:val="0"/>
      <w:marBottom w:val="0"/>
      <w:divBdr>
        <w:top w:val="none" w:sz="0" w:space="0" w:color="auto"/>
        <w:left w:val="none" w:sz="0" w:space="0" w:color="auto"/>
        <w:bottom w:val="none" w:sz="0" w:space="0" w:color="auto"/>
        <w:right w:val="none" w:sz="0" w:space="0" w:color="auto"/>
      </w:divBdr>
    </w:div>
    <w:div w:id="1951161460">
      <w:bodyDiv w:val="1"/>
      <w:marLeft w:val="0"/>
      <w:marRight w:val="0"/>
      <w:marTop w:val="0"/>
      <w:marBottom w:val="0"/>
      <w:divBdr>
        <w:top w:val="none" w:sz="0" w:space="0" w:color="auto"/>
        <w:left w:val="none" w:sz="0" w:space="0" w:color="auto"/>
        <w:bottom w:val="none" w:sz="0" w:space="0" w:color="auto"/>
        <w:right w:val="none" w:sz="0" w:space="0" w:color="auto"/>
      </w:divBdr>
    </w:div>
    <w:div w:id="21099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9CF3-6440-4EDE-9302-0905A18E3156}">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2EAAB26-DB95-4CC9-8D06-B38D57ED49D5}">
  <ds:schemaRefs>
    <ds:schemaRef ds:uri="http://schemas.microsoft.com/sharepoint/v3/contenttype/forms"/>
  </ds:schemaRefs>
</ds:datastoreItem>
</file>

<file path=customXml/itemProps3.xml><?xml version="1.0" encoding="utf-8"?>
<ds:datastoreItem xmlns:ds="http://schemas.openxmlformats.org/officeDocument/2006/customXml" ds:itemID="{81CC2008-05EB-4513-958E-C39B3F54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E036E3-0ACA-4EB9-B9DD-B6D50EC5635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1</ap:Pages>
  <ap:Words>271</ap:Words>
  <ap:Characters>1545</ap:Characters>
  <ap:Application>Microsoft Office Word</ap:Application>
  <ap:DocSecurity>0</ap:DocSecurity>
  <ap:Lines>12</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1813</ap:CharactersWithSpaces>
  <ap:SharedDoc>false</ap:SharedDoc>
  <ap:HyperlinksChanged>false</ap:HyperlinksChanged>
  <ap:AppVersion>14.0000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2016-06-23T14:49:00.0000000Z</dcterms:created>
  <dcterms:modified xsi:type="dcterms:W3CDTF">2016-06-23T14:50:00.0000000Z</dcterms:modified>
  <dc:identifier/>
  <version/>
  <category/>
  <contentStatus/>
  <dc:description/>
  <keywords/>
  <dc:subject/>
</coreProperties>
</file>