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6966" w14:textId="77777777" w:rsidR="00D444E6" w:rsidRDefault="0076101B">
      <w:pPr>
        <w:jc w:val="center"/>
      </w:pPr>
      <w:r>
        <w:t>195 FERC ¶ 61,135</w:t>
      </w:r>
    </w:p>
    <w:p w14:paraId="70D30DC6" w14:textId="77777777" w:rsidR="00A05583" w:rsidRPr="00395600" w:rsidRDefault="00A05583">
      <w:pPr>
        <w:jc w:val="center"/>
      </w:pPr>
      <w:r w:rsidRPr="00395600">
        <w:t>DEPARTMENT OF ENERGY</w:t>
      </w:r>
    </w:p>
    <w:p w14:paraId="6BC446B5" w14:textId="77777777" w:rsidR="00A05583" w:rsidRPr="00395600" w:rsidRDefault="00A05583">
      <w:pPr>
        <w:jc w:val="center"/>
      </w:pPr>
      <w:r w:rsidRPr="00395600">
        <w:t>FEDERAL ENERGY REGULATORY COMMISSION</w:t>
      </w:r>
    </w:p>
    <w:p w14:paraId="63D98F9A" w14:textId="77777777" w:rsidR="00A05583" w:rsidRPr="00395600" w:rsidRDefault="00A05583">
      <w:pPr>
        <w:jc w:val="center"/>
      </w:pPr>
    </w:p>
    <w:p w14:paraId="2C66FEE8" w14:textId="0B9DCD06" w:rsidR="00A05583" w:rsidRPr="00395600" w:rsidRDefault="00A05583">
      <w:pPr>
        <w:jc w:val="center"/>
      </w:pPr>
      <w:r w:rsidRPr="00395600">
        <w:t xml:space="preserve">18 CFR Part </w:t>
      </w:r>
      <w:r>
        <w:t>284</w:t>
      </w:r>
    </w:p>
    <w:p w14:paraId="064DDCB5" w14:textId="77777777" w:rsidR="00A05583" w:rsidRPr="00395600" w:rsidRDefault="00A05583">
      <w:pPr>
        <w:jc w:val="center"/>
      </w:pPr>
    </w:p>
    <w:p w14:paraId="7418B7BC" w14:textId="5B9094B4" w:rsidR="00A05583" w:rsidRDefault="00A05583">
      <w:pPr>
        <w:jc w:val="center"/>
      </w:pPr>
      <w:r w:rsidRPr="00D50C37">
        <w:t>Docket No.</w:t>
      </w:r>
      <w:r w:rsidR="00D50C37">
        <w:t xml:space="preserve"> RM96-1-04</w:t>
      </w:r>
      <w:r w:rsidR="00744A07">
        <w:t>4</w:t>
      </w:r>
      <w:r w:rsidRPr="00D50C37">
        <w:t>; Order No. 587-AB</w:t>
      </w:r>
    </w:p>
    <w:p w14:paraId="734D9909" w14:textId="77777777" w:rsidR="00A05583" w:rsidRDefault="00A05583">
      <w:pPr>
        <w:jc w:val="center"/>
      </w:pPr>
    </w:p>
    <w:p w14:paraId="44B79DB1" w14:textId="77777777" w:rsidR="00A05583" w:rsidRDefault="00A05583" w:rsidP="00A05583">
      <w:pPr>
        <w:jc w:val="center"/>
      </w:pPr>
      <w:r>
        <w:t>Standards for Business Practices of Interstate Natural Gas Pipelines</w:t>
      </w:r>
    </w:p>
    <w:p w14:paraId="0AF2BF94" w14:textId="77777777" w:rsidR="00B77350" w:rsidRDefault="00B77350" w:rsidP="00B77350">
      <w:pPr>
        <w:widowControl/>
        <w:jc w:val="center"/>
      </w:pPr>
    </w:p>
    <w:p w14:paraId="3014BD9F" w14:textId="77D66CC2" w:rsidR="00A05583" w:rsidRDefault="00B77350" w:rsidP="00B77350">
      <w:pPr>
        <w:widowControl/>
        <w:jc w:val="center"/>
      </w:pPr>
      <w:r w:rsidRPr="00B77350">
        <w:t>(Issued May 2</w:t>
      </w:r>
      <w:r>
        <w:t>2</w:t>
      </w:r>
      <w:r w:rsidRPr="00B77350">
        <w:t>, 2026)</w:t>
      </w:r>
    </w:p>
    <w:p w14:paraId="1C0509BF" w14:textId="77777777" w:rsidR="00B77350" w:rsidRPr="00B77350" w:rsidRDefault="00B77350" w:rsidP="00B77350">
      <w:pPr>
        <w:widowControl/>
      </w:pPr>
    </w:p>
    <w:p w14:paraId="26BB5146" w14:textId="5874188F" w:rsidR="00A05583" w:rsidRPr="00395600" w:rsidRDefault="00A05583">
      <w:pPr>
        <w:spacing w:after="260"/>
      </w:pPr>
      <w:r w:rsidRPr="00210363">
        <w:rPr>
          <w:b/>
          <w:bCs/>
        </w:rPr>
        <w:t>AGENCY</w:t>
      </w:r>
      <w:r w:rsidRPr="00395600">
        <w:t xml:space="preserve">: </w:t>
      </w:r>
      <w:r w:rsidR="00CC0929">
        <w:t xml:space="preserve"> </w:t>
      </w:r>
      <w:r w:rsidRPr="00395600">
        <w:t>Federal Energy Regulatory Commission.</w:t>
      </w:r>
    </w:p>
    <w:p w14:paraId="7B29B0D2" w14:textId="78DEFAB1" w:rsidR="00A05583" w:rsidRPr="00395600" w:rsidRDefault="00A05583">
      <w:pPr>
        <w:spacing w:after="260"/>
      </w:pPr>
      <w:r w:rsidRPr="00210363">
        <w:rPr>
          <w:b/>
          <w:bCs/>
        </w:rPr>
        <w:t>ACTION</w:t>
      </w:r>
      <w:r w:rsidRPr="00395600">
        <w:t xml:space="preserve">: </w:t>
      </w:r>
      <w:r w:rsidR="00CC0929">
        <w:t xml:space="preserve"> </w:t>
      </w:r>
      <w:r w:rsidRPr="00395600">
        <w:t xml:space="preserve">Final </w:t>
      </w:r>
      <w:r w:rsidDel="00247D9E">
        <w:t>r</w:t>
      </w:r>
      <w:r w:rsidRPr="00395600">
        <w:t>ule</w:t>
      </w:r>
      <w:r>
        <w:t>.</w:t>
      </w:r>
    </w:p>
    <w:p w14:paraId="09716E4D" w14:textId="1D4442DA" w:rsidR="00A05583" w:rsidRPr="00395600" w:rsidRDefault="00A05583">
      <w:pPr>
        <w:spacing w:line="480" w:lineRule="auto"/>
      </w:pPr>
      <w:r w:rsidRPr="00210363">
        <w:rPr>
          <w:b/>
          <w:bCs/>
        </w:rPr>
        <w:t>SUMMARY</w:t>
      </w:r>
      <w:r w:rsidRPr="00395600">
        <w:t xml:space="preserve">: </w:t>
      </w:r>
      <w:r w:rsidR="00CC0929">
        <w:t xml:space="preserve"> </w:t>
      </w:r>
      <w:r>
        <w:t>The Federal Energy Regulatory Commission amends its regulations to incorporate by reference</w:t>
      </w:r>
      <w:r w:rsidR="003F291F">
        <w:t xml:space="preserve">, </w:t>
      </w:r>
      <w:r w:rsidR="0079574E" w:rsidRPr="0079574E">
        <w:t>as mandatory enforceable requirements</w:t>
      </w:r>
      <w:r w:rsidR="003F291F">
        <w:t xml:space="preserve">, </w:t>
      </w:r>
      <w:r w:rsidR="00AD56F0">
        <w:t xml:space="preserve">revisions to three of the </w:t>
      </w:r>
      <w:r>
        <w:t xml:space="preserve">Version 4.0 Standards for Business Practices of Interstate Natural Gas Pipelines adopted by the Wholesale Gas Quadrant (WGQ) of the North American Energy Standards Board (NAESB).  </w:t>
      </w:r>
      <w:r w:rsidR="001F4D13">
        <w:t xml:space="preserve">These </w:t>
      </w:r>
      <w:r>
        <w:t>revision</w:t>
      </w:r>
      <w:r w:rsidR="003F0496">
        <w:t>s</w:t>
      </w:r>
      <w:r>
        <w:t xml:space="preserve"> </w:t>
      </w:r>
      <w:r w:rsidR="00F26B8D">
        <w:t xml:space="preserve">are designed to </w:t>
      </w:r>
      <w:r w:rsidR="003F0496">
        <w:t xml:space="preserve">streamline the process for accessing publicly available gas-electric coordination data during extreme cold weather or emergency events. </w:t>
      </w:r>
    </w:p>
    <w:p w14:paraId="5FA14189" w14:textId="5BE4A4D2" w:rsidR="00A05583" w:rsidRPr="00103A57" w:rsidRDefault="00A05583">
      <w:pPr>
        <w:spacing w:line="480" w:lineRule="auto"/>
        <w:rPr>
          <w:b/>
        </w:rPr>
      </w:pPr>
      <w:r w:rsidRPr="00210363">
        <w:rPr>
          <w:b/>
          <w:bCs/>
        </w:rPr>
        <w:t>DATE</w:t>
      </w:r>
      <w:r w:rsidRPr="009D3021">
        <w:rPr>
          <w:b/>
          <w:bCs/>
        </w:rPr>
        <w:t>S</w:t>
      </w:r>
      <w:r w:rsidRPr="00395600">
        <w:t xml:space="preserve">: </w:t>
      </w:r>
      <w:r w:rsidR="00CC0929">
        <w:t xml:space="preserve"> </w:t>
      </w:r>
      <w:r w:rsidR="003F0496" w:rsidRPr="003F0496">
        <w:rPr>
          <w:i/>
          <w:iCs/>
        </w:rPr>
        <w:t>E</w:t>
      </w:r>
      <w:r w:rsidRPr="003F0496">
        <w:rPr>
          <w:i/>
          <w:iCs/>
        </w:rPr>
        <w:t>ffective</w:t>
      </w:r>
      <w:r w:rsidR="003F0496" w:rsidRPr="003F0496">
        <w:rPr>
          <w:i/>
          <w:iCs/>
        </w:rPr>
        <w:t xml:space="preserve"> date</w:t>
      </w:r>
      <w:r w:rsidR="003F0496">
        <w:t xml:space="preserve">: </w:t>
      </w:r>
      <w:r w:rsidR="00CC0929">
        <w:t xml:space="preserve"> </w:t>
      </w:r>
      <w:r w:rsidR="003F0496">
        <w:t>This rule is effective</w:t>
      </w:r>
      <w:r w:rsidR="00CC0929">
        <w:t xml:space="preserve"> </w:t>
      </w:r>
      <w:r w:rsidR="004669D0" w:rsidRPr="008F15EE">
        <w:rPr>
          <w:b/>
        </w:rPr>
        <w:t>[</w:t>
      </w:r>
      <w:r w:rsidR="004669D0">
        <w:rPr>
          <w:b/>
        </w:rPr>
        <w:t xml:space="preserve">INSERT </w:t>
      </w:r>
      <w:r w:rsidR="004669D0" w:rsidRPr="00103A57">
        <w:rPr>
          <w:b/>
        </w:rPr>
        <w:t xml:space="preserve">DATE 60 </w:t>
      </w:r>
      <w:r w:rsidR="004669D0" w:rsidRPr="00103A57">
        <w:rPr>
          <w:b/>
          <w:bCs/>
        </w:rPr>
        <w:t>DAYS</w:t>
      </w:r>
      <w:r w:rsidR="004669D0" w:rsidRPr="00103A57">
        <w:t xml:space="preserve"> </w:t>
      </w:r>
      <w:r w:rsidR="004669D0" w:rsidRPr="00103A57">
        <w:rPr>
          <w:b/>
        </w:rPr>
        <w:t>AFTER DATE OF PUBLICATION IN THE FEDERAL REGISTER].</w:t>
      </w:r>
    </w:p>
    <w:p w14:paraId="485BFC23" w14:textId="4420557F" w:rsidR="00A05583" w:rsidRDefault="00A05583" w:rsidP="00FD0F5D">
      <w:pPr>
        <w:spacing w:line="480" w:lineRule="auto"/>
      </w:pPr>
      <w:r w:rsidRPr="00BC025F">
        <w:rPr>
          <w:i/>
        </w:rPr>
        <w:t>Incorporation by reference</w:t>
      </w:r>
      <w:r w:rsidRPr="00BC025F">
        <w:t>:</w:t>
      </w:r>
      <w:r w:rsidRPr="008F15EE">
        <w:rPr>
          <w:bCs/>
        </w:rPr>
        <w:t xml:space="preserve"> The incorporation by reference of certain publications listed in this rule is approved by the Director of the Federal Register as of</w:t>
      </w:r>
      <w:r w:rsidR="00CC0929">
        <w:rPr>
          <w:bCs/>
        </w:rPr>
        <w:t xml:space="preserve"> </w:t>
      </w:r>
      <w:r w:rsidR="004669D0" w:rsidRPr="008F15EE">
        <w:rPr>
          <w:b/>
        </w:rPr>
        <w:t>[</w:t>
      </w:r>
      <w:r w:rsidR="004669D0">
        <w:rPr>
          <w:b/>
        </w:rPr>
        <w:t xml:space="preserve">INSERT </w:t>
      </w:r>
      <w:r w:rsidR="004669D0" w:rsidRPr="00103A57">
        <w:rPr>
          <w:b/>
        </w:rPr>
        <w:t xml:space="preserve">DATE 60 </w:t>
      </w:r>
      <w:r w:rsidR="004669D0" w:rsidRPr="00103A57">
        <w:rPr>
          <w:b/>
          <w:bCs/>
        </w:rPr>
        <w:t>DAYS</w:t>
      </w:r>
      <w:r w:rsidR="004669D0" w:rsidRPr="00103A57">
        <w:t xml:space="preserve"> </w:t>
      </w:r>
      <w:r w:rsidR="004669D0" w:rsidRPr="00103A57">
        <w:rPr>
          <w:b/>
        </w:rPr>
        <w:t>AFTER DATE OF PUBLICATION IN THE FEDERAL REGISTER].</w:t>
      </w:r>
      <w:r w:rsidR="00CC0929">
        <w:rPr>
          <w:bCs/>
        </w:rPr>
        <w:t xml:space="preserve"> </w:t>
      </w:r>
      <w:r w:rsidR="00FD0F5D">
        <w:t xml:space="preserve"> The incorporation by reference of certain other material listed</w:t>
      </w:r>
      <w:r w:rsidR="00CC0929">
        <w:t xml:space="preserve"> </w:t>
      </w:r>
      <w:r w:rsidR="00FD0F5D">
        <w:t>in the rule was approved by the Director of the Federal Register as of</w:t>
      </w:r>
      <w:r w:rsidR="002D78DE">
        <w:t xml:space="preserve"> </w:t>
      </w:r>
      <w:r w:rsidR="002D78DE" w:rsidRPr="002D78DE">
        <w:t>February 7, 2025</w:t>
      </w:r>
      <w:r w:rsidR="002D78DE">
        <w:t>.</w:t>
      </w:r>
    </w:p>
    <w:p w14:paraId="54986427" w14:textId="77777777" w:rsidR="00651284" w:rsidRPr="003F0496" w:rsidRDefault="00651284" w:rsidP="00651284">
      <w:pPr>
        <w:spacing w:line="480" w:lineRule="auto"/>
        <w:rPr>
          <w:bCs/>
        </w:rPr>
      </w:pPr>
      <w:r w:rsidRPr="00103A57">
        <w:rPr>
          <w:bCs/>
          <w:i/>
          <w:iCs/>
        </w:rPr>
        <w:lastRenderedPageBreak/>
        <w:t>Compliance date</w:t>
      </w:r>
      <w:r w:rsidRPr="00103A57">
        <w:rPr>
          <w:bCs/>
        </w:rPr>
        <w:t xml:space="preserve">: </w:t>
      </w:r>
      <w:r>
        <w:rPr>
          <w:bCs/>
        </w:rPr>
        <w:t xml:space="preserve"> </w:t>
      </w:r>
      <w:r w:rsidRPr="00103A57">
        <w:rPr>
          <w:bCs/>
        </w:rPr>
        <w:t>Compliance filing</w:t>
      </w:r>
      <w:r w:rsidRPr="00655DB2">
        <w:rPr>
          <w:bCs/>
        </w:rPr>
        <w:t>s</w:t>
      </w:r>
      <w:r w:rsidRPr="00103A57">
        <w:rPr>
          <w:bCs/>
        </w:rPr>
        <w:t xml:space="preserve"> required by this final rule are due on September 1, 2026.  Compliance with the standards incorporated by reference in this rule is required</w:t>
      </w:r>
      <w:r>
        <w:rPr>
          <w:bCs/>
        </w:rPr>
        <w:t xml:space="preserve"> by </w:t>
      </w:r>
      <w:r w:rsidRPr="00103A57">
        <w:rPr>
          <w:bCs/>
        </w:rPr>
        <w:t>January</w:t>
      </w:r>
      <w:r w:rsidRPr="00103A57">
        <w:t xml:space="preserve"> 1, 2027</w:t>
      </w:r>
      <w:r w:rsidRPr="00103A57">
        <w:rPr>
          <w:bCs/>
        </w:rPr>
        <w:t>.</w:t>
      </w:r>
    </w:p>
    <w:p w14:paraId="0BE49C9D" w14:textId="77777777" w:rsidR="00A05583" w:rsidRDefault="00A05583">
      <w:r w:rsidRPr="00210363">
        <w:rPr>
          <w:b/>
          <w:bCs/>
        </w:rPr>
        <w:t>FOR FURTHER INFORMATION CONTACT</w:t>
      </w:r>
      <w:r w:rsidRPr="00395600">
        <w:t>:</w:t>
      </w:r>
    </w:p>
    <w:p w14:paraId="5C58FAF7" w14:textId="77777777" w:rsidR="00A05583" w:rsidRPr="00395600" w:rsidRDefault="00A05583"/>
    <w:p w14:paraId="1D8689EA" w14:textId="77777777" w:rsidR="003F0496" w:rsidRDefault="003F0496" w:rsidP="003F0496">
      <w:r>
        <w:t>Jerry Chiang (Technical Issues)</w:t>
      </w:r>
    </w:p>
    <w:p w14:paraId="4D6598C5" w14:textId="77777777" w:rsidR="003F0496" w:rsidRDefault="003F0496" w:rsidP="003F0496">
      <w:r>
        <w:t>Office of Technical Reporting and Economics</w:t>
      </w:r>
    </w:p>
    <w:p w14:paraId="4DA29156" w14:textId="77777777" w:rsidR="003F0496" w:rsidRDefault="003F0496" w:rsidP="003F0496">
      <w:r>
        <w:t>Federal Energy Regulatory Commission</w:t>
      </w:r>
    </w:p>
    <w:p w14:paraId="70AE6CED" w14:textId="21532F10" w:rsidR="003F0496" w:rsidRDefault="003F0496" w:rsidP="003F0496">
      <w:r>
        <w:t xml:space="preserve">888 First Street NE, Washington, DC </w:t>
      </w:r>
      <w:r w:rsidR="00A73340">
        <w:t xml:space="preserve"> </w:t>
      </w:r>
      <w:r>
        <w:t>20426</w:t>
      </w:r>
    </w:p>
    <w:p w14:paraId="6E95B462" w14:textId="77777777" w:rsidR="003F0496" w:rsidRDefault="003F0496" w:rsidP="003F0496">
      <w:r>
        <w:t>(202) 502-8786</w:t>
      </w:r>
    </w:p>
    <w:p w14:paraId="00361036" w14:textId="77777777" w:rsidR="003F0496" w:rsidRDefault="003F0496" w:rsidP="003F0496">
      <w:r w:rsidRPr="005C6582">
        <w:rPr>
          <w:i/>
          <w:iCs/>
        </w:rPr>
        <w:t>jerry.chiang@ferc.gov</w:t>
      </w:r>
    </w:p>
    <w:p w14:paraId="35189DCB" w14:textId="77777777" w:rsidR="003F0496" w:rsidRDefault="003F0496" w:rsidP="003F0496"/>
    <w:p w14:paraId="0C6A34BD" w14:textId="0979C516" w:rsidR="003F0496" w:rsidRDefault="007D03A3" w:rsidP="003F0496">
      <w:r>
        <w:t>Matthew Roy</w:t>
      </w:r>
      <w:r w:rsidR="003F0496">
        <w:t xml:space="preserve"> (Technical Issues)</w:t>
      </w:r>
    </w:p>
    <w:p w14:paraId="6175FD2A" w14:textId="77777777" w:rsidR="003F0496" w:rsidRDefault="003F0496" w:rsidP="003F0496">
      <w:r>
        <w:t>Office of Energy Market Regulation</w:t>
      </w:r>
    </w:p>
    <w:p w14:paraId="067E318B" w14:textId="77777777" w:rsidR="003F0496" w:rsidRDefault="003F0496" w:rsidP="003F0496">
      <w:r>
        <w:t>Federal Energy Regulatory Commission</w:t>
      </w:r>
    </w:p>
    <w:p w14:paraId="323F4995" w14:textId="0F4139EE" w:rsidR="003F0496" w:rsidRDefault="003F0496" w:rsidP="003F0496">
      <w:r>
        <w:t xml:space="preserve">888 First Street NE, Washington, DC </w:t>
      </w:r>
      <w:r w:rsidR="00A73340">
        <w:t xml:space="preserve"> </w:t>
      </w:r>
      <w:r>
        <w:t>20426</w:t>
      </w:r>
    </w:p>
    <w:p w14:paraId="40F6B9C9" w14:textId="108BCB15" w:rsidR="003F0496" w:rsidRDefault="003F0496" w:rsidP="003F0496">
      <w:r>
        <w:t>(202) 502-6</w:t>
      </w:r>
      <w:r w:rsidR="002E0690">
        <w:t>520</w:t>
      </w:r>
    </w:p>
    <w:p w14:paraId="544239FF" w14:textId="10878415" w:rsidR="003F0496" w:rsidRPr="005C6582" w:rsidRDefault="00430C61" w:rsidP="003F0496">
      <w:pPr>
        <w:rPr>
          <w:i/>
          <w:iCs/>
        </w:rPr>
      </w:pPr>
      <w:r>
        <w:rPr>
          <w:i/>
          <w:iCs/>
        </w:rPr>
        <w:t>matthew.roy</w:t>
      </w:r>
      <w:r w:rsidR="003F0496" w:rsidRPr="005C6582">
        <w:rPr>
          <w:i/>
          <w:iCs/>
        </w:rPr>
        <w:t>@ferc.gov</w:t>
      </w:r>
    </w:p>
    <w:p w14:paraId="0BB7CDA5" w14:textId="77777777" w:rsidR="003F0496" w:rsidRDefault="003F0496" w:rsidP="003F0496"/>
    <w:p w14:paraId="2558FCE6" w14:textId="73B86126" w:rsidR="003F0496" w:rsidRDefault="005735BB" w:rsidP="003F0496">
      <w:r>
        <w:t>Yaisa Strickland</w:t>
      </w:r>
      <w:r w:rsidR="003F0496">
        <w:t xml:space="preserve"> (Legal Issues)</w:t>
      </w:r>
    </w:p>
    <w:p w14:paraId="61EAC1BE" w14:textId="77777777" w:rsidR="003F0496" w:rsidRDefault="003F0496" w:rsidP="003F0496">
      <w:r>
        <w:t>Office of the General Counsel</w:t>
      </w:r>
    </w:p>
    <w:p w14:paraId="06178D17" w14:textId="77777777" w:rsidR="003F0496" w:rsidRDefault="003F0496" w:rsidP="003F0496">
      <w:r>
        <w:t>Federal Energy Regulatory Commission</w:t>
      </w:r>
    </w:p>
    <w:p w14:paraId="508C5085" w14:textId="54580D04" w:rsidR="003F0496" w:rsidRDefault="003F0496" w:rsidP="003F0496">
      <w:r>
        <w:t xml:space="preserve">888 First Street NE, Washington, DC </w:t>
      </w:r>
      <w:r w:rsidR="00A73340">
        <w:t xml:space="preserve"> </w:t>
      </w:r>
      <w:r>
        <w:t>20426</w:t>
      </w:r>
    </w:p>
    <w:p w14:paraId="31F9DBC1" w14:textId="175B1F29" w:rsidR="003F0496" w:rsidRPr="002C77C5" w:rsidRDefault="003F0496" w:rsidP="003F0496">
      <w:pPr>
        <w:rPr>
          <w:lang w:val="de-DE"/>
        </w:rPr>
      </w:pPr>
      <w:r w:rsidRPr="002C77C5">
        <w:rPr>
          <w:lang w:val="de-DE"/>
        </w:rPr>
        <w:t>(202) 502-</w:t>
      </w:r>
      <w:r w:rsidR="007D66E8">
        <w:rPr>
          <w:lang w:val="de-DE"/>
        </w:rPr>
        <w:t>6244</w:t>
      </w:r>
    </w:p>
    <w:p w14:paraId="597041FF" w14:textId="74BF46B5" w:rsidR="003F0496" w:rsidRPr="00D935CA" w:rsidRDefault="007D66E8" w:rsidP="003F0496">
      <w:pPr>
        <w:rPr>
          <w:i/>
          <w:iCs/>
          <w:lang w:val="de-DE"/>
        </w:rPr>
      </w:pPr>
      <w:hyperlink r:id="rId12" w:history="1">
        <w:r>
          <w:rPr>
            <w:rStyle w:val="Hyperlink"/>
            <w:i/>
            <w:iCs/>
            <w:color w:val="auto"/>
            <w:u w:val="none"/>
            <w:lang w:val="de-DE"/>
          </w:rPr>
          <w:t>yaisa.strickland</w:t>
        </w:r>
        <w:r w:rsidR="003F0496" w:rsidRPr="00D935CA">
          <w:rPr>
            <w:rStyle w:val="Hyperlink"/>
            <w:i/>
            <w:iCs/>
            <w:color w:val="auto"/>
            <w:u w:val="none"/>
            <w:lang w:val="de-DE"/>
          </w:rPr>
          <w:t>@ferc.gov</w:t>
        </w:r>
      </w:hyperlink>
      <w:r w:rsidR="003F0496" w:rsidRPr="00D935CA">
        <w:rPr>
          <w:i/>
          <w:iCs/>
          <w:lang w:val="de-DE"/>
        </w:rPr>
        <w:br/>
      </w:r>
    </w:p>
    <w:p w14:paraId="000E539F" w14:textId="77777777" w:rsidR="00A05583" w:rsidRDefault="00A05583"/>
    <w:p w14:paraId="40AAB86E" w14:textId="77777777" w:rsidR="00A05583" w:rsidRPr="00395600" w:rsidRDefault="00A05583">
      <w:pPr>
        <w:sectPr w:rsidR="00A05583" w:rsidRPr="00395600" w:rsidSect="00A05583">
          <w:headerReference w:type="even" r:id="rId13"/>
          <w:headerReference w:type="default" r:id="rId14"/>
          <w:headerReference w:type="first" r:id="rId15"/>
          <w:pgSz w:w="12240" w:h="15840"/>
          <w:pgMar w:top="1440" w:right="1440" w:bottom="1440" w:left="1440" w:header="720" w:footer="1440" w:gutter="0"/>
          <w:pgNumType w:fmt="lowerRoman" w:start="1"/>
          <w:cols w:space="720"/>
          <w:noEndnote/>
          <w:titlePg/>
          <w:docGrid w:linePitch="354"/>
        </w:sectPr>
      </w:pPr>
      <w:r w:rsidRPr="00210363">
        <w:rPr>
          <w:b/>
          <w:bCs/>
        </w:rPr>
        <w:t>SUPPLEMENTARY INFORMATION</w:t>
      </w:r>
      <w:r w:rsidRPr="00395600">
        <w:t>:</w:t>
      </w:r>
    </w:p>
    <w:p w14:paraId="70721A3E" w14:textId="77777777" w:rsidR="00A05583" w:rsidRPr="00395600" w:rsidRDefault="00A05583">
      <w:pPr>
        <w:jc w:val="center"/>
      </w:pPr>
      <w:r w:rsidRPr="00395600">
        <w:lastRenderedPageBreak/>
        <w:t>UNITED STATES OF AMERICA</w:t>
      </w:r>
    </w:p>
    <w:p w14:paraId="6465B289" w14:textId="77777777" w:rsidR="00A05583" w:rsidRPr="00395600" w:rsidRDefault="00A05583">
      <w:pPr>
        <w:jc w:val="center"/>
      </w:pPr>
      <w:r w:rsidRPr="00395600">
        <w:t>FEDERAL ENERGY REGULATORY COMMISSION</w:t>
      </w:r>
    </w:p>
    <w:p w14:paraId="2C7F0EE8" w14:textId="77777777" w:rsidR="00A05583" w:rsidRPr="00395600" w:rsidRDefault="00A05583"/>
    <w:p w14:paraId="216BABA8" w14:textId="4C959EF2" w:rsidR="00A05583" w:rsidRPr="00CC0929" w:rsidRDefault="00CC0929" w:rsidP="00CC0929">
      <w:pPr>
        <w:widowControl/>
      </w:pPr>
      <w:r w:rsidRPr="00CC0929">
        <w:t>Before Commissioners:  Laura V. Swett, Chairman;</w:t>
      </w:r>
    </w:p>
    <w:p w14:paraId="40150D49" w14:textId="02AB7A12" w:rsidR="00CC0929" w:rsidRPr="00CC0929" w:rsidRDefault="00CC0929" w:rsidP="00CC0929">
      <w:pPr>
        <w:widowControl/>
      </w:pPr>
      <w:r w:rsidRPr="00CC0929">
        <w:t xml:space="preserve">                                        David Rosner, Lindsay S. See,</w:t>
      </w:r>
    </w:p>
    <w:p w14:paraId="720251AA" w14:textId="5E03EA3F" w:rsidR="00CC0929" w:rsidRPr="00395600" w:rsidRDefault="00CC0929" w:rsidP="00CC0929">
      <w:pPr>
        <w:widowControl/>
      </w:pPr>
      <w:r w:rsidRPr="00CC0929">
        <w:t xml:space="preserve">                                        Judy W. Chang, and David LaCerte.</w:t>
      </w:r>
    </w:p>
    <w:p w14:paraId="3AA5098C" w14:textId="77777777" w:rsidR="00A05583" w:rsidRPr="00395600" w:rsidRDefault="00A0558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42"/>
        <w:gridCol w:w="1542"/>
        <w:gridCol w:w="1876"/>
      </w:tblGrid>
      <w:tr w:rsidR="003F0496" w:rsidRPr="00395600" w14:paraId="3D46F147" w14:textId="77777777" w:rsidTr="003F0496">
        <w:tc>
          <w:tcPr>
            <w:tcW w:w="5942" w:type="dxa"/>
          </w:tcPr>
          <w:p w14:paraId="686C1E91" w14:textId="7E4ECCA6" w:rsidR="003F0496" w:rsidRPr="00395600" w:rsidRDefault="003F0496" w:rsidP="003F0496">
            <w:pPr>
              <w:widowControl/>
              <w:autoSpaceDE/>
              <w:autoSpaceDN/>
              <w:adjustRightInd/>
              <w:rPr>
                <w:rFonts w:cstheme="minorBidi"/>
                <w:szCs w:val="22"/>
              </w:rPr>
            </w:pPr>
            <w:r w:rsidRPr="003F0496">
              <w:rPr>
                <w:rFonts w:cstheme="minorBidi"/>
                <w:szCs w:val="22"/>
              </w:rPr>
              <w:t>Standards for Business Practices of Interstate Natural Gas Pipelines</w:t>
            </w:r>
          </w:p>
        </w:tc>
        <w:tc>
          <w:tcPr>
            <w:tcW w:w="1542" w:type="dxa"/>
          </w:tcPr>
          <w:p w14:paraId="16DD914C" w14:textId="14F35D6F" w:rsidR="003F0496" w:rsidRPr="00395600" w:rsidRDefault="003F0496" w:rsidP="003F0496">
            <w:pPr>
              <w:widowControl/>
              <w:autoSpaceDE/>
              <w:autoSpaceDN/>
              <w:adjustRightInd/>
              <w:rPr>
                <w:rFonts w:cstheme="minorBidi"/>
                <w:szCs w:val="22"/>
              </w:rPr>
            </w:pPr>
            <w:r>
              <w:rPr>
                <w:rFonts w:cstheme="minorBidi"/>
                <w:szCs w:val="22"/>
              </w:rPr>
              <w:t>Docket No.</w:t>
            </w:r>
          </w:p>
        </w:tc>
        <w:tc>
          <w:tcPr>
            <w:tcW w:w="1876" w:type="dxa"/>
          </w:tcPr>
          <w:p w14:paraId="4D1BC44F" w14:textId="056E9C3B" w:rsidR="003F0496" w:rsidRPr="00395600" w:rsidRDefault="00CC0929" w:rsidP="00CC0929">
            <w:pPr>
              <w:widowControl/>
              <w:autoSpaceDE/>
              <w:autoSpaceDN/>
              <w:adjustRightInd/>
              <w:ind w:left="-118"/>
              <w:rPr>
                <w:rFonts w:cstheme="minorBidi"/>
                <w:szCs w:val="22"/>
              </w:rPr>
            </w:pPr>
            <w:r>
              <w:rPr>
                <w:rFonts w:cstheme="minorBidi"/>
                <w:szCs w:val="22"/>
              </w:rPr>
              <w:t xml:space="preserve"> </w:t>
            </w:r>
            <w:r w:rsidR="003F0496">
              <w:rPr>
                <w:rFonts w:cstheme="minorBidi"/>
                <w:szCs w:val="22"/>
              </w:rPr>
              <w:t>RM96-1-04</w:t>
            </w:r>
            <w:r w:rsidR="00744A07">
              <w:rPr>
                <w:rFonts w:cstheme="minorBidi"/>
                <w:szCs w:val="22"/>
              </w:rPr>
              <w:t>4</w:t>
            </w:r>
          </w:p>
        </w:tc>
      </w:tr>
    </w:tbl>
    <w:p w14:paraId="38F030A4" w14:textId="77777777" w:rsidR="00A05583" w:rsidRPr="00395600" w:rsidRDefault="00A05583"/>
    <w:p w14:paraId="7186C4C3" w14:textId="7424AA17" w:rsidR="00A05583" w:rsidRDefault="00A05583">
      <w:pPr>
        <w:jc w:val="center"/>
      </w:pPr>
      <w:r w:rsidRPr="00395600">
        <w:t>ORDER NO.</w:t>
      </w:r>
      <w:r w:rsidR="003F0496">
        <w:t xml:space="preserve">  587-AB</w:t>
      </w:r>
      <w:r>
        <w:t xml:space="preserve"> </w:t>
      </w:r>
    </w:p>
    <w:p w14:paraId="5A376E17" w14:textId="77777777" w:rsidR="00A05583" w:rsidRDefault="00A05583">
      <w:pPr>
        <w:jc w:val="center"/>
      </w:pPr>
    </w:p>
    <w:p w14:paraId="1B874EEF" w14:textId="77777777" w:rsidR="00A05583" w:rsidRDefault="00A05583">
      <w:pPr>
        <w:jc w:val="center"/>
      </w:pPr>
      <w:r w:rsidRPr="00395600">
        <w:t>FINAL RULE</w:t>
      </w:r>
    </w:p>
    <w:p w14:paraId="30EBF3DA" w14:textId="77777777" w:rsidR="00A05583" w:rsidRDefault="00A05583">
      <w:pPr>
        <w:jc w:val="center"/>
      </w:pPr>
    </w:p>
    <w:p w14:paraId="15F7D80E" w14:textId="774B2E42" w:rsidR="00CC0929" w:rsidRPr="00CC0929" w:rsidRDefault="00CC0929" w:rsidP="00CC0929">
      <w:pPr>
        <w:widowControl/>
        <w:jc w:val="center"/>
      </w:pPr>
      <w:r w:rsidRPr="00CC0929">
        <w:t>(Issued May 2</w:t>
      </w:r>
      <w:r w:rsidR="004669D0">
        <w:t>2</w:t>
      </w:r>
      <w:r w:rsidRPr="00CC0929">
        <w:t>, 2026)</w:t>
      </w:r>
    </w:p>
    <w:p w14:paraId="236BD90D" w14:textId="77777777" w:rsidR="00A05583" w:rsidRDefault="00A05583">
      <w:pPr>
        <w:jc w:val="center"/>
      </w:pPr>
    </w:p>
    <w:p w14:paraId="3AF9E684" w14:textId="77777777" w:rsidR="00247CF3" w:rsidRDefault="00A05583" w:rsidP="00165ADC">
      <w:pPr>
        <w:jc w:val="center"/>
      </w:pPr>
      <w:r w:rsidRPr="00103A57">
        <w:t>TABLE OF CONTENTS</w:t>
      </w:r>
    </w:p>
    <w:p w14:paraId="7B727C3E" w14:textId="27CB3D42" w:rsidR="00A05583" w:rsidRDefault="00A05583">
      <w:pPr>
        <w:jc w:val="center"/>
      </w:pPr>
    </w:p>
    <w:p w14:paraId="3992B963" w14:textId="77777777" w:rsidR="00A05583" w:rsidRDefault="00A05583">
      <w:pPr>
        <w:tabs>
          <w:tab w:val="right" w:pos="9360"/>
        </w:tabs>
      </w:pPr>
      <w:r>
        <w:tab/>
      </w:r>
      <w:r>
        <w:rPr>
          <w:u w:val="single"/>
        </w:rPr>
        <w:t>Paragraph Numbers</w:t>
      </w:r>
    </w:p>
    <w:p w14:paraId="4CDEDE82" w14:textId="77777777" w:rsidR="00A05583" w:rsidRDefault="00A05583">
      <w:pPr>
        <w:tabs>
          <w:tab w:val="right" w:pos="9360"/>
        </w:tabs>
      </w:pPr>
      <w:bookmarkStart w:id="0" w:name="_Start_TOC"/>
      <w:bookmarkEnd w:id="0"/>
    </w:p>
    <w:p w14:paraId="491938DE" w14:textId="600B3643" w:rsidR="00D968DE" w:rsidRDefault="00D968DE" w:rsidP="00D968DE">
      <w:pPr>
        <w:pStyle w:val="myTOC1"/>
      </w:pPr>
      <w:r>
        <w:t>I. Overview</w:t>
      </w:r>
      <w:r>
        <w:tab/>
      </w:r>
      <w:hyperlink w:anchor="_bmk1" w:history="1">
        <w:r>
          <w:rPr>
            <w:rStyle w:val="Hyperlink"/>
            <w:rFonts w:eastAsiaTheme="minorHAnsi"/>
            <w:szCs w:val="22"/>
          </w:rPr>
          <w:t>1.</w:t>
        </w:r>
      </w:hyperlink>
    </w:p>
    <w:p w14:paraId="62C0F11B" w14:textId="41FFCADB" w:rsidR="00D968DE" w:rsidRDefault="00D968DE" w:rsidP="00D968DE">
      <w:pPr>
        <w:pStyle w:val="myTOC1"/>
      </w:pPr>
      <w:r>
        <w:t>II. Background</w:t>
      </w:r>
      <w:r>
        <w:tab/>
      </w:r>
      <w:hyperlink w:anchor="_bmk2" w:history="1">
        <w:r>
          <w:rPr>
            <w:rStyle w:val="Hyperlink"/>
            <w:rFonts w:eastAsiaTheme="minorHAnsi"/>
            <w:szCs w:val="22"/>
          </w:rPr>
          <w:t>3.</w:t>
        </w:r>
      </w:hyperlink>
    </w:p>
    <w:p w14:paraId="07E18E63" w14:textId="6AD66F08" w:rsidR="00D968DE" w:rsidRDefault="00D968DE" w:rsidP="00D968DE">
      <w:pPr>
        <w:pStyle w:val="myTOC1"/>
      </w:pPr>
      <w:r>
        <w:t>III. NOPR</w:t>
      </w:r>
      <w:r>
        <w:tab/>
      </w:r>
      <w:hyperlink w:anchor="_bmk3" w:history="1">
        <w:r>
          <w:rPr>
            <w:rStyle w:val="Hyperlink"/>
            <w:rFonts w:eastAsiaTheme="minorHAnsi"/>
            <w:szCs w:val="22"/>
          </w:rPr>
          <w:t>9.</w:t>
        </w:r>
      </w:hyperlink>
    </w:p>
    <w:p w14:paraId="71A5A971" w14:textId="39AAB50F" w:rsidR="00D968DE" w:rsidRDefault="00D968DE" w:rsidP="00D968DE">
      <w:pPr>
        <w:pStyle w:val="myTOC1"/>
      </w:pPr>
      <w:r>
        <w:t>IV. Comments on the NOPR</w:t>
      </w:r>
      <w:r>
        <w:tab/>
      </w:r>
      <w:hyperlink w:anchor="_bmk4" w:history="1">
        <w:r>
          <w:rPr>
            <w:rStyle w:val="Hyperlink"/>
            <w:rFonts w:eastAsiaTheme="minorHAnsi"/>
            <w:szCs w:val="22"/>
          </w:rPr>
          <w:t>10.</w:t>
        </w:r>
      </w:hyperlink>
    </w:p>
    <w:p w14:paraId="10778DF1" w14:textId="4AC68778" w:rsidR="00D968DE" w:rsidRDefault="00D968DE" w:rsidP="00D968DE">
      <w:pPr>
        <w:pStyle w:val="myTOC1"/>
      </w:pPr>
      <w:r>
        <w:t>V. Discussion</w:t>
      </w:r>
      <w:r>
        <w:tab/>
      </w:r>
      <w:hyperlink w:anchor="_bmk5" w:history="1">
        <w:r>
          <w:rPr>
            <w:rStyle w:val="Hyperlink"/>
            <w:rFonts w:eastAsiaTheme="minorHAnsi"/>
            <w:szCs w:val="22"/>
          </w:rPr>
          <w:t>15.</w:t>
        </w:r>
      </w:hyperlink>
    </w:p>
    <w:p w14:paraId="6F78E2AA" w14:textId="50C834DC" w:rsidR="00D968DE" w:rsidRDefault="00D968DE" w:rsidP="00D968DE">
      <w:pPr>
        <w:pStyle w:val="myTOC2"/>
      </w:pPr>
      <w:r>
        <w:t>A. Modifications to the NAESB WGQ Version 4.0 Business Practice Standards</w:t>
      </w:r>
      <w:r>
        <w:tab/>
      </w:r>
      <w:hyperlink w:anchor="_bmk6" w:history="1">
        <w:r>
          <w:rPr>
            <w:rStyle w:val="Hyperlink"/>
            <w:rFonts w:eastAsiaTheme="minorHAnsi"/>
            <w:szCs w:val="22"/>
          </w:rPr>
          <w:t>18.</w:t>
        </w:r>
      </w:hyperlink>
    </w:p>
    <w:p w14:paraId="2E5F7FAF" w14:textId="576590A1" w:rsidR="00D968DE" w:rsidRDefault="00D968DE" w:rsidP="00D968DE">
      <w:pPr>
        <w:pStyle w:val="myTOC3"/>
      </w:pPr>
      <w:r>
        <w:t>1. WGQ Additional Standards</w:t>
      </w:r>
      <w:r>
        <w:tab/>
      </w:r>
      <w:hyperlink w:anchor="_bmk7" w:history="1">
        <w:r>
          <w:rPr>
            <w:rStyle w:val="Hyperlink"/>
            <w:rFonts w:eastAsiaTheme="minorHAnsi"/>
            <w:szCs w:val="22"/>
          </w:rPr>
          <w:t>20.</w:t>
        </w:r>
      </w:hyperlink>
    </w:p>
    <w:p w14:paraId="631B3F8C" w14:textId="72FB4F7A" w:rsidR="00D968DE" w:rsidRDefault="00D968DE" w:rsidP="00D968DE">
      <w:pPr>
        <w:pStyle w:val="myTOC3"/>
      </w:pPr>
      <w:r>
        <w:t>2. WGQ Quadrant Electronic Delivery Mechanism Standards</w:t>
      </w:r>
      <w:r>
        <w:tab/>
      </w:r>
      <w:hyperlink w:anchor="_bmk8" w:history="1">
        <w:r>
          <w:rPr>
            <w:rStyle w:val="Hyperlink"/>
            <w:rFonts w:eastAsiaTheme="minorHAnsi"/>
            <w:szCs w:val="22"/>
          </w:rPr>
          <w:t>21.</w:t>
        </w:r>
      </w:hyperlink>
    </w:p>
    <w:p w14:paraId="00B032EE" w14:textId="7A1FE22C" w:rsidR="00D968DE" w:rsidRDefault="00D968DE" w:rsidP="00D968DE">
      <w:pPr>
        <w:pStyle w:val="myTOC3"/>
      </w:pPr>
      <w:r>
        <w:t>3. WGQ Capacity Release Related Standards</w:t>
      </w:r>
      <w:r>
        <w:tab/>
      </w:r>
      <w:hyperlink w:anchor="_bmk9" w:history="1">
        <w:r>
          <w:rPr>
            <w:rStyle w:val="Hyperlink"/>
            <w:rFonts w:eastAsiaTheme="minorHAnsi"/>
            <w:szCs w:val="22"/>
          </w:rPr>
          <w:t>22.</w:t>
        </w:r>
      </w:hyperlink>
    </w:p>
    <w:p w14:paraId="564961A5" w14:textId="643F9A6D" w:rsidR="00D968DE" w:rsidRDefault="00D968DE" w:rsidP="00D968DE">
      <w:pPr>
        <w:pStyle w:val="myTOC2"/>
      </w:pPr>
      <w:r>
        <w:t>B. Compliance and Implementation Dates</w:t>
      </w:r>
      <w:r>
        <w:tab/>
      </w:r>
      <w:hyperlink w:anchor="_bmk10" w:history="1">
        <w:r>
          <w:rPr>
            <w:rStyle w:val="Hyperlink"/>
            <w:rFonts w:eastAsiaTheme="minorHAnsi"/>
            <w:szCs w:val="22"/>
          </w:rPr>
          <w:t>23.</w:t>
        </w:r>
      </w:hyperlink>
    </w:p>
    <w:p w14:paraId="3DA4C923" w14:textId="61B8D768" w:rsidR="00D968DE" w:rsidRDefault="00D968DE" w:rsidP="00D968DE">
      <w:pPr>
        <w:pStyle w:val="myTOC2"/>
      </w:pPr>
      <w:r>
        <w:t>C. Implementation Procedures</w:t>
      </w:r>
      <w:r>
        <w:tab/>
      </w:r>
      <w:hyperlink w:anchor="_bmk11" w:history="1">
        <w:r>
          <w:rPr>
            <w:rStyle w:val="Hyperlink"/>
            <w:rFonts w:eastAsiaTheme="minorHAnsi"/>
            <w:szCs w:val="22"/>
          </w:rPr>
          <w:t>26.</w:t>
        </w:r>
      </w:hyperlink>
    </w:p>
    <w:p w14:paraId="387B5EAE" w14:textId="70F824F9" w:rsidR="00D968DE" w:rsidRDefault="00D968DE" w:rsidP="00D968DE">
      <w:pPr>
        <w:pStyle w:val="myTOC1"/>
      </w:pPr>
      <w:r>
        <w:t>VI. Additional Areas for Gas-Electric Coordination</w:t>
      </w:r>
      <w:r>
        <w:tab/>
      </w:r>
      <w:hyperlink w:anchor="_bmk12" w:history="1">
        <w:r>
          <w:rPr>
            <w:rStyle w:val="Hyperlink"/>
            <w:rFonts w:eastAsiaTheme="minorHAnsi"/>
            <w:szCs w:val="22"/>
          </w:rPr>
          <w:t>31.</w:t>
        </w:r>
      </w:hyperlink>
    </w:p>
    <w:p w14:paraId="31BA7845" w14:textId="22E18FEC" w:rsidR="00D968DE" w:rsidRDefault="00D968DE" w:rsidP="00D968DE">
      <w:pPr>
        <w:pStyle w:val="myTOC1"/>
      </w:pPr>
      <w:r>
        <w:t>VII. Use of Voluntary Consensus Standards</w:t>
      </w:r>
      <w:r>
        <w:tab/>
      </w:r>
      <w:hyperlink w:anchor="_bmk13" w:history="1">
        <w:r>
          <w:rPr>
            <w:rStyle w:val="Hyperlink"/>
            <w:rFonts w:eastAsiaTheme="minorHAnsi"/>
            <w:szCs w:val="22"/>
          </w:rPr>
          <w:t>35.</w:t>
        </w:r>
      </w:hyperlink>
    </w:p>
    <w:p w14:paraId="4E0327D8" w14:textId="3570E7FC" w:rsidR="00D968DE" w:rsidRDefault="00D968DE" w:rsidP="00D968DE">
      <w:pPr>
        <w:pStyle w:val="myTOC1"/>
      </w:pPr>
      <w:r>
        <w:t>VIII. Incorporation by Reference</w:t>
      </w:r>
      <w:r>
        <w:tab/>
      </w:r>
      <w:hyperlink w:anchor="_bmk14" w:history="1">
        <w:r>
          <w:rPr>
            <w:rStyle w:val="Hyperlink"/>
            <w:rFonts w:eastAsiaTheme="minorHAnsi"/>
            <w:szCs w:val="22"/>
          </w:rPr>
          <w:t>36.</w:t>
        </w:r>
      </w:hyperlink>
    </w:p>
    <w:p w14:paraId="028F8461" w14:textId="66BEC627" w:rsidR="00D968DE" w:rsidRDefault="00D968DE" w:rsidP="00D968DE">
      <w:pPr>
        <w:pStyle w:val="myTOC1"/>
      </w:pPr>
      <w:r>
        <w:t>IX. Information Collection Statement</w:t>
      </w:r>
      <w:r>
        <w:tab/>
      </w:r>
      <w:hyperlink w:anchor="_bmk15" w:history="1">
        <w:r>
          <w:rPr>
            <w:rStyle w:val="Hyperlink"/>
            <w:rFonts w:eastAsiaTheme="minorHAnsi"/>
            <w:szCs w:val="22"/>
          </w:rPr>
          <w:t>40.</w:t>
        </w:r>
      </w:hyperlink>
    </w:p>
    <w:p w14:paraId="53C85151" w14:textId="079E4E1F" w:rsidR="00D968DE" w:rsidRDefault="00D968DE" w:rsidP="00D968DE">
      <w:pPr>
        <w:pStyle w:val="myTOC1"/>
      </w:pPr>
      <w:r>
        <w:t>X. Environmental Analysis</w:t>
      </w:r>
      <w:r>
        <w:tab/>
      </w:r>
      <w:hyperlink w:anchor="_bmk16" w:history="1">
        <w:r>
          <w:rPr>
            <w:rStyle w:val="Hyperlink"/>
            <w:rFonts w:eastAsiaTheme="minorHAnsi"/>
            <w:szCs w:val="22"/>
          </w:rPr>
          <w:t>47.</w:t>
        </w:r>
      </w:hyperlink>
    </w:p>
    <w:p w14:paraId="631B3D4B" w14:textId="36F20CF2" w:rsidR="00D968DE" w:rsidRDefault="00D968DE" w:rsidP="00D968DE">
      <w:pPr>
        <w:pStyle w:val="myTOC1"/>
      </w:pPr>
      <w:r>
        <w:t>XI. Regulatory Flexibility Act</w:t>
      </w:r>
      <w:r>
        <w:tab/>
      </w:r>
      <w:hyperlink w:anchor="_bmk17" w:history="1">
        <w:r>
          <w:rPr>
            <w:rStyle w:val="Hyperlink"/>
            <w:rFonts w:eastAsiaTheme="minorHAnsi"/>
            <w:szCs w:val="22"/>
          </w:rPr>
          <w:t>48.</w:t>
        </w:r>
      </w:hyperlink>
    </w:p>
    <w:p w14:paraId="5391B314" w14:textId="091EBD3C" w:rsidR="00D968DE" w:rsidRDefault="00D968DE" w:rsidP="00D968DE">
      <w:pPr>
        <w:pStyle w:val="myTOC1"/>
      </w:pPr>
      <w:r>
        <w:t>XII. Document Availability</w:t>
      </w:r>
      <w:r>
        <w:tab/>
      </w:r>
      <w:hyperlink w:anchor="_bmk18" w:history="1">
        <w:r>
          <w:rPr>
            <w:rStyle w:val="Hyperlink"/>
            <w:rFonts w:eastAsiaTheme="minorHAnsi"/>
            <w:szCs w:val="22"/>
          </w:rPr>
          <w:t>51.</w:t>
        </w:r>
      </w:hyperlink>
    </w:p>
    <w:p w14:paraId="145888FF" w14:textId="130D39C1" w:rsidR="00D968DE" w:rsidRDefault="00D968DE" w:rsidP="00D968DE">
      <w:pPr>
        <w:pStyle w:val="myTOC1"/>
      </w:pPr>
      <w:r>
        <w:t>XIII. Regulatory Planning and Review</w:t>
      </w:r>
      <w:r>
        <w:tab/>
      </w:r>
      <w:hyperlink w:anchor="_bmk19" w:history="1">
        <w:r>
          <w:rPr>
            <w:rStyle w:val="Hyperlink"/>
            <w:rFonts w:eastAsiaTheme="minorHAnsi"/>
            <w:szCs w:val="22"/>
          </w:rPr>
          <w:t>54.</w:t>
        </w:r>
      </w:hyperlink>
    </w:p>
    <w:p w14:paraId="5A95A67F" w14:textId="595B4767" w:rsidR="00D968DE" w:rsidRPr="00D968DE" w:rsidRDefault="00D968DE" w:rsidP="00D968DE">
      <w:pPr>
        <w:pStyle w:val="myTOC1"/>
      </w:pPr>
      <w:r>
        <w:t>XIV. Effective Date and Congressional Notification</w:t>
      </w:r>
      <w:r>
        <w:tab/>
      </w:r>
      <w:hyperlink w:anchor="_bmk20" w:history="1">
        <w:r>
          <w:rPr>
            <w:rStyle w:val="Hyperlink"/>
            <w:rFonts w:eastAsiaTheme="minorHAnsi"/>
            <w:szCs w:val="22"/>
          </w:rPr>
          <w:t>55.</w:t>
        </w:r>
      </w:hyperlink>
    </w:p>
    <w:p w14:paraId="206F742A" w14:textId="77777777" w:rsidR="00C122E5" w:rsidRPr="00C122E5" w:rsidRDefault="00C122E5" w:rsidP="00103A57"/>
    <w:p w14:paraId="424E2443" w14:textId="4CADD326" w:rsidR="0046704E" w:rsidRDefault="0046704E" w:rsidP="00224836">
      <w:pPr>
        <w:pStyle w:val="Heading1"/>
      </w:pPr>
      <w:bookmarkStart w:id="1" w:name="_bmk1"/>
      <w:r>
        <w:t>O</w:t>
      </w:r>
      <w:bookmarkEnd w:id="1"/>
      <w:r>
        <w:t>verview</w:t>
      </w:r>
    </w:p>
    <w:p w14:paraId="477302CD" w14:textId="03E97957" w:rsidR="0046704E" w:rsidRDefault="00DA146D" w:rsidP="00D11FD6">
      <w:pPr>
        <w:pStyle w:val="FERCparanumber"/>
      </w:pPr>
      <w:r>
        <w:t xml:space="preserve">In this </w:t>
      </w:r>
      <w:r w:rsidR="00C306D8">
        <w:t xml:space="preserve">final </w:t>
      </w:r>
      <w:r w:rsidR="00C306D8" w:rsidDel="00744F44">
        <w:t>r</w:t>
      </w:r>
      <w:r w:rsidR="00C306D8">
        <w:t>ule</w:t>
      </w:r>
      <w:r>
        <w:t>, t</w:t>
      </w:r>
      <w:r w:rsidR="0046704E">
        <w:t xml:space="preserve">he </w:t>
      </w:r>
      <w:r w:rsidR="0046704E" w:rsidRPr="001D3508">
        <w:t>Federal</w:t>
      </w:r>
      <w:r w:rsidR="0046704E">
        <w:t xml:space="preserve"> </w:t>
      </w:r>
      <w:r w:rsidR="0046704E" w:rsidRPr="00512E5E">
        <w:t>Energy</w:t>
      </w:r>
      <w:r w:rsidR="0046704E">
        <w:t xml:space="preserve"> Regulatory Commission (Commission) amend</w:t>
      </w:r>
      <w:r>
        <w:t>s</w:t>
      </w:r>
      <w:r w:rsidR="0046704E">
        <w:t xml:space="preserve"> its regulations at 18 CFR 284.12 to incorporate by reference</w:t>
      </w:r>
      <w:r w:rsidR="00250AA3">
        <w:t xml:space="preserve">, </w:t>
      </w:r>
      <w:r w:rsidR="00250AA3" w:rsidRPr="00250AA3">
        <w:t>as mandatory enforceable requirements</w:t>
      </w:r>
      <w:r w:rsidR="00250AA3">
        <w:t>,</w:t>
      </w:r>
      <w:r w:rsidR="00DB410E">
        <w:t xml:space="preserve"> revisions</w:t>
      </w:r>
      <w:r w:rsidR="00A406D0">
        <w:t xml:space="preserve"> </w:t>
      </w:r>
      <w:r w:rsidR="0046704E">
        <w:t xml:space="preserve">to </w:t>
      </w:r>
      <w:r w:rsidR="00433D45">
        <w:t xml:space="preserve">three of the </w:t>
      </w:r>
      <w:r w:rsidR="00AE566D">
        <w:t xml:space="preserve">WGQ </w:t>
      </w:r>
      <w:r w:rsidR="0046704E" w:rsidRPr="0005159D">
        <w:t>Version 4.0</w:t>
      </w:r>
      <w:r w:rsidR="0046704E">
        <w:t xml:space="preserve"> </w:t>
      </w:r>
      <w:r w:rsidR="00A308CD">
        <w:t xml:space="preserve">business </w:t>
      </w:r>
      <w:r w:rsidR="0000796F">
        <w:t>practice standards</w:t>
      </w:r>
      <w:r w:rsidR="006A2175">
        <w:t xml:space="preserve"> </w:t>
      </w:r>
      <w:r w:rsidR="0000796F">
        <w:t>applicable to natural gas pipelines</w:t>
      </w:r>
      <w:r w:rsidR="001A56B8">
        <w:t>:</w:t>
      </w:r>
      <w:r w:rsidR="00CC0929">
        <w:t xml:space="preserve"> </w:t>
      </w:r>
      <w:r w:rsidR="00433D45">
        <w:t xml:space="preserve"> Additional Standards, </w:t>
      </w:r>
      <w:r w:rsidR="00CE4BCA">
        <w:t>Electronic Delivery Mechanism Standards</w:t>
      </w:r>
      <w:r w:rsidR="00BF207D">
        <w:t>,</w:t>
      </w:r>
      <w:r w:rsidR="00CE4BCA">
        <w:t xml:space="preserve"> and Capacity </w:t>
      </w:r>
      <w:r w:rsidR="00C36B99">
        <w:t>Release Related Standards</w:t>
      </w:r>
      <w:r w:rsidR="00027252">
        <w:t xml:space="preserve"> and </w:t>
      </w:r>
      <w:r w:rsidR="00C23C0F" w:rsidRPr="00C23C0F">
        <w:t>an updated version of the WGQ Invoicing Related Standards that includes the Minor Correction incorporated by reference in Order No. 587-AA.</w:t>
      </w:r>
      <w:r w:rsidR="005B543F">
        <w:rPr>
          <w:rStyle w:val="FootnoteReference"/>
        </w:rPr>
        <w:footnoteReference w:id="2"/>
      </w:r>
      <w:r w:rsidR="00103A0E">
        <w:t xml:space="preserve">  </w:t>
      </w:r>
      <w:r w:rsidR="001E3973" w:rsidRPr="00670F62">
        <w:t xml:space="preserve">This </w:t>
      </w:r>
      <w:r w:rsidR="00C306D8" w:rsidRPr="00670F62">
        <w:t xml:space="preserve">final </w:t>
      </w:r>
      <w:r w:rsidR="00C306D8" w:rsidRPr="00670F62" w:rsidDel="002808E7">
        <w:t>r</w:t>
      </w:r>
      <w:r w:rsidR="00C306D8" w:rsidRPr="00670F62">
        <w:t>ule</w:t>
      </w:r>
      <w:r w:rsidR="001E3973" w:rsidRPr="00670F62">
        <w:t xml:space="preserve"> requires interstate natural gas pipelines to file compliance filings with the Commission by </w:t>
      </w:r>
      <w:r w:rsidR="001E3973">
        <w:t>September 1</w:t>
      </w:r>
      <w:r w:rsidR="001E3973" w:rsidRPr="00670F62">
        <w:t>, 202</w:t>
      </w:r>
      <w:r w:rsidR="001E3973">
        <w:t>6</w:t>
      </w:r>
      <w:r w:rsidR="001E3973" w:rsidRPr="00670F62">
        <w:t xml:space="preserve">, with an effective date of the tariff records </w:t>
      </w:r>
      <w:r w:rsidR="00FA29EA">
        <w:t xml:space="preserve">of </w:t>
      </w:r>
      <w:r w:rsidR="001E3973">
        <w:t xml:space="preserve">January </w:t>
      </w:r>
      <w:r w:rsidR="001E3973" w:rsidRPr="00670F62">
        <w:t>1, 202</w:t>
      </w:r>
      <w:r w:rsidR="001E3973">
        <w:t>7</w:t>
      </w:r>
      <w:r w:rsidR="001E3973" w:rsidRPr="00670F62">
        <w:t>.</w:t>
      </w:r>
      <w:r w:rsidR="00EC059E" w:rsidRPr="0073127E">
        <w:rPr>
          <w:rStyle w:val="FootnoteReference"/>
        </w:rPr>
        <w:footnoteReference w:id="3"/>
      </w:r>
    </w:p>
    <w:p w14:paraId="22085298" w14:textId="646AFE89" w:rsidR="00A05583" w:rsidRPr="00395600" w:rsidRDefault="00474657" w:rsidP="00232BCC">
      <w:pPr>
        <w:pStyle w:val="FERCparanumber"/>
      </w:pPr>
      <w:r w:rsidRPr="00DF0D3D">
        <w:t>On</w:t>
      </w:r>
      <w:r w:rsidRPr="00DF0D3D" w:rsidDel="007365B1">
        <w:t xml:space="preserve"> </w:t>
      </w:r>
      <w:r>
        <w:t>December 4</w:t>
      </w:r>
      <w:r w:rsidRPr="00DF0D3D">
        <w:t>, 2024,</w:t>
      </w:r>
      <w:r w:rsidRPr="00DA14EC">
        <w:t xml:space="preserve"> NAESB</w:t>
      </w:r>
      <w:r>
        <w:t xml:space="preserve"> reported to the Commission that it had approved the revisions to three sets of standards.  </w:t>
      </w:r>
      <w:r w:rsidR="003E31C0" w:rsidRPr="003E31C0">
        <w:t>The</w:t>
      </w:r>
      <w:r w:rsidR="009C1400">
        <w:t xml:space="preserve"> </w:t>
      </w:r>
      <w:r>
        <w:t>revised</w:t>
      </w:r>
      <w:r w:rsidR="009C1400">
        <w:t xml:space="preserve"> standards</w:t>
      </w:r>
      <w:r w:rsidR="00D9569E">
        <w:t xml:space="preserve"> </w:t>
      </w:r>
      <w:r w:rsidR="003E31C0" w:rsidRPr="003E31C0">
        <w:t>will</w:t>
      </w:r>
      <w:r w:rsidR="000C490F">
        <w:t xml:space="preserve"> </w:t>
      </w:r>
      <w:r w:rsidR="009815E1">
        <w:t>streamline the process for accessing publicly available gas-electric coordination data during extreme cold weather or emergency events</w:t>
      </w:r>
      <w:r w:rsidR="00BE4FB1">
        <w:t xml:space="preserve"> and </w:t>
      </w:r>
      <w:r w:rsidR="00B04F8B" w:rsidRPr="00232BCC">
        <w:rPr>
          <w:snapToGrid w:val="0"/>
          <w:color w:val="000000"/>
        </w:rPr>
        <w:t xml:space="preserve">improve communication among </w:t>
      </w:r>
      <w:r w:rsidR="00413189" w:rsidRPr="00232BCC">
        <w:rPr>
          <w:snapToGrid w:val="0"/>
          <w:color w:val="000000"/>
        </w:rPr>
        <w:t xml:space="preserve">natural </w:t>
      </w:r>
      <w:r w:rsidR="00B04F8B" w:rsidRPr="00232BCC">
        <w:rPr>
          <w:snapToGrid w:val="0"/>
          <w:color w:val="000000"/>
        </w:rPr>
        <w:t>gas and electric</w:t>
      </w:r>
      <w:r w:rsidR="00D9488A" w:rsidRPr="00232BCC">
        <w:rPr>
          <w:snapToGrid w:val="0"/>
          <w:color w:val="000000"/>
        </w:rPr>
        <w:t>ity</w:t>
      </w:r>
      <w:r w:rsidR="00B04F8B" w:rsidRPr="00232BCC">
        <w:rPr>
          <w:snapToGrid w:val="0"/>
          <w:color w:val="000000"/>
        </w:rPr>
        <w:t xml:space="preserve"> market participants to enhance situational awareness</w:t>
      </w:r>
      <w:r w:rsidR="00B04F8B" w:rsidRPr="00232BCC" w:rsidDel="00B75D41">
        <w:rPr>
          <w:snapToGrid w:val="0"/>
          <w:color w:val="000000"/>
        </w:rPr>
        <w:t xml:space="preserve"> </w:t>
      </w:r>
      <w:r w:rsidR="00B04F8B" w:rsidRPr="00232BCC">
        <w:rPr>
          <w:snapToGrid w:val="0"/>
          <w:color w:val="000000"/>
        </w:rPr>
        <w:t>during extreme cold weather events</w:t>
      </w:r>
      <w:r w:rsidR="00B04F8B">
        <w:t>.</w:t>
      </w:r>
      <w:bookmarkStart w:id="2" w:name="_Ref226024011"/>
      <w:r w:rsidR="00B04F8B" w:rsidRPr="009A3DEC">
        <w:rPr>
          <w:rStyle w:val="FootnoteReference"/>
        </w:rPr>
        <w:footnoteReference w:id="4"/>
      </w:r>
      <w:bookmarkEnd w:id="2"/>
      <w:r w:rsidR="006C29CB">
        <w:t xml:space="preserve">  C</w:t>
      </w:r>
      <w:r w:rsidR="006C29CB" w:rsidRPr="003E31C0">
        <w:t xml:space="preserve">oordination </w:t>
      </w:r>
      <w:r w:rsidR="006C29CB">
        <w:t xml:space="preserve">between the gas and electric sectors </w:t>
      </w:r>
      <w:r w:rsidR="006C29CB" w:rsidRPr="003E31C0">
        <w:t>is</w:t>
      </w:r>
      <w:r w:rsidR="006C29CB">
        <w:t xml:space="preserve"> </w:t>
      </w:r>
      <w:r w:rsidR="006C29CB" w:rsidRPr="003E31C0">
        <w:t>essential to maintaining reliability for both the natural gas pipeline network system and the bulk electric system, especially during periods when both systems have coincident peak requirements</w:t>
      </w:r>
      <w:r w:rsidR="00DE556A">
        <w:t>.</w:t>
      </w:r>
    </w:p>
    <w:p w14:paraId="097C9B6F" w14:textId="77777777" w:rsidR="0046704E" w:rsidRPr="00B61165" w:rsidRDefault="0046704E" w:rsidP="00224836">
      <w:pPr>
        <w:pStyle w:val="Heading1"/>
      </w:pPr>
      <w:bookmarkStart w:id="3" w:name="_bmk2"/>
      <w:r w:rsidRPr="00F86749">
        <w:t>B</w:t>
      </w:r>
      <w:bookmarkEnd w:id="3"/>
      <w:r w:rsidRPr="00F86749">
        <w:t>ackground</w:t>
      </w:r>
    </w:p>
    <w:p w14:paraId="2556DA91" w14:textId="12ACD61A" w:rsidR="0046704E" w:rsidRDefault="0046704E" w:rsidP="0046704E">
      <w:pPr>
        <w:pStyle w:val="FERCparanumber"/>
      </w:pPr>
      <w:r>
        <w:t>Since 1996, the Commission has incorporated by reference in its regulations NAESB’s business practice standards and communication methodologies of interstate natural gas pipelines to create a more integrated and efficient pipeline network system.  These regulations have been promulgated in the Order No. 587 series of orders,</w:t>
      </w:r>
      <w:r w:rsidRPr="00932257">
        <w:rPr>
          <w:rStyle w:val="FootnoteReference"/>
        </w:rPr>
        <w:footnoteReference w:id="5"/>
      </w:r>
      <w:r>
        <w:t xml:space="preserve"> wherein the Commission has incorporated by reference the standards for interstate natural gas pipeline business practices and electronic communications developed by NAESB’s WGQ.  Upon incorporation by reference, these</w:t>
      </w:r>
      <w:r w:rsidR="00E47971">
        <w:t xml:space="preserve"> revisions to three sets of</w:t>
      </w:r>
      <w:r w:rsidR="0068611A">
        <w:t xml:space="preserve"> </w:t>
      </w:r>
      <w:r>
        <w:t xml:space="preserve">standards will </w:t>
      </w:r>
      <w:r w:rsidR="00D610C6">
        <w:t>add two new standards</w:t>
      </w:r>
      <w:r w:rsidR="00BC44EF">
        <w:t xml:space="preserve"> </w:t>
      </w:r>
      <w:r w:rsidR="00FC3A62">
        <w:t xml:space="preserve">and revise one standard </w:t>
      </w:r>
      <w:r w:rsidR="00F22344">
        <w:t xml:space="preserve">in </w:t>
      </w:r>
      <w:r>
        <w:t xml:space="preserve">the currently incorporated </w:t>
      </w:r>
      <w:r w:rsidRPr="00BD143D">
        <w:t>version of</w:t>
      </w:r>
      <w:r>
        <w:t xml:space="preserve"> NAESB’s business practice standards.</w:t>
      </w:r>
    </w:p>
    <w:p w14:paraId="100BA360" w14:textId="79B49DD5" w:rsidR="0046704E" w:rsidRDefault="0046704E" w:rsidP="0046704E">
      <w:pPr>
        <w:pStyle w:val="FERCparanumber"/>
      </w:pPr>
      <w:r>
        <w:t xml:space="preserve">On July 25, 2022, the Commission and NERC sent a letter to NAESB requesting </w:t>
      </w:r>
      <w:r w:rsidR="009E1FCA">
        <w:t xml:space="preserve">that </w:t>
      </w:r>
      <w:r>
        <w:t>NAESB convene a forum “to identify actions that will improve the reliability of the natural gas infrastructure system as necessary to support the bulk electric system and to address recurring challenges stemming from natural gas-electric infrastructure interdependency.”</w:t>
      </w:r>
      <w:r>
        <w:rPr>
          <w:rStyle w:val="FootnoteReference"/>
        </w:rPr>
        <w:footnoteReference w:id="6"/>
      </w:r>
    </w:p>
    <w:p w14:paraId="29876448" w14:textId="6F3B28C5" w:rsidR="0046704E" w:rsidRDefault="0046704E" w:rsidP="0046704E">
      <w:pPr>
        <w:pStyle w:val="FERCparanumber"/>
      </w:pPr>
      <w:r>
        <w:t xml:space="preserve">In response to that letter, NAESB convened a Gas-Electric Harmonization Forum to consider issues related to the </w:t>
      </w:r>
      <w:r w:rsidRPr="00180674">
        <w:t xml:space="preserve">challenges stemming from natural gas-electric </w:t>
      </w:r>
      <w:r w:rsidR="002A0162" w:rsidRPr="00180674">
        <w:t>interdependence</w:t>
      </w:r>
      <w:r w:rsidRPr="00180674">
        <w:t>.</w:t>
      </w:r>
      <w:r>
        <w:t xml:space="preserve">  O</w:t>
      </w:r>
      <w:r w:rsidRPr="005F58B3">
        <w:t>ver 700 individuals representing more than 370 organizations from all segments of the natural gas and electric markets participated in the G</w:t>
      </w:r>
      <w:r>
        <w:t>as-</w:t>
      </w:r>
      <w:r w:rsidRPr="005F58B3">
        <w:t>E</w:t>
      </w:r>
      <w:r>
        <w:t xml:space="preserve">lectric </w:t>
      </w:r>
      <w:r w:rsidRPr="005F58B3">
        <w:t>H</w:t>
      </w:r>
      <w:r>
        <w:t>armonization</w:t>
      </w:r>
      <w:r w:rsidRPr="005F58B3">
        <w:t xml:space="preserve"> Forum.  </w:t>
      </w:r>
      <w:r>
        <w:t>NAESB released its Gas-Electric Harmonization Forum Report on July 28, 2023, which identified 20 recommendations for consideration to improve the reliability of natural gas infrastructure as necessary to support the bulk electric system and to address the recurring challenges stemming from natural gas-electric interdependency.</w:t>
      </w:r>
      <w:r w:rsidR="00FB6F67">
        <w:rPr>
          <w:rStyle w:val="FootnoteReference"/>
        </w:rPr>
        <w:footnoteReference w:id="7"/>
      </w:r>
    </w:p>
    <w:p w14:paraId="4A1EDFCB" w14:textId="4B980FCB" w:rsidR="0046704E" w:rsidRDefault="0046704E" w:rsidP="0046704E">
      <w:pPr>
        <w:pStyle w:val="FERCparanumber"/>
      </w:pPr>
      <w:r>
        <w:t xml:space="preserve">On November 7, 2023, as updated on February 28, 2024, the Commission, </w:t>
      </w:r>
      <w:r w:rsidR="001B7278">
        <w:t xml:space="preserve"> </w:t>
      </w:r>
      <w:r>
        <w:t>NERC, and various regional entities published a report on the performance of the bulk power system during the cold weather event that occurred between December 21 and December 26, 2022 (Winter Storm Elliott)</w:t>
      </w:r>
      <w:r w:rsidR="00041A9E">
        <w:t>.</w:t>
      </w:r>
      <w:r w:rsidR="0096089A" w:rsidRPr="00CA1053">
        <w:rPr>
          <w:b/>
          <w:vertAlign w:val="superscript"/>
        </w:rPr>
        <w:footnoteReference w:id="8"/>
      </w:r>
      <w:r w:rsidR="0096089A" w:rsidRPr="00CA1053">
        <w:t xml:space="preserve"> </w:t>
      </w:r>
      <w:r>
        <w:t xml:space="preserve"> </w:t>
      </w:r>
      <w:r w:rsidR="0008286F">
        <w:t>T</w:t>
      </w:r>
      <w:r>
        <w:t>o help improve</w:t>
      </w:r>
      <w:r w:rsidR="00BD622B">
        <w:t xml:space="preserve"> natural gas-electric coordination</w:t>
      </w:r>
      <w:r w:rsidDel="00BD622B">
        <w:t xml:space="preserve"> </w:t>
      </w:r>
      <w:r w:rsidR="0096089A">
        <w:t xml:space="preserve">and </w:t>
      </w:r>
      <w:r w:rsidR="00041A9E">
        <w:t xml:space="preserve">grid </w:t>
      </w:r>
      <w:r w:rsidR="0096089A">
        <w:t>reliability</w:t>
      </w:r>
      <w:r>
        <w:t xml:space="preserve">, the </w:t>
      </w:r>
      <w:r w:rsidR="00603D7D">
        <w:t xml:space="preserve">Winter Storm Elliott </w:t>
      </w:r>
      <w:r w:rsidR="0008286F">
        <w:t>R</w:t>
      </w:r>
      <w:r>
        <w:t>eport recommended that NAESB “</w:t>
      </w:r>
      <w:r w:rsidRPr="00FD0302">
        <w:t xml:space="preserve">convene natural gas infrastructure entities, electric grid operators, and </w:t>
      </w:r>
      <w:r>
        <w:t>local distribution companies</w:t>
      </w:r>
      <w:r w:rsidRPr="00FD0302">
        <w:t xml:space="preserve"> to identify improvements in communication during extreme cold weather events to enhance situational awareness.</w:t>
      </w:r>
      <w:r>
        <w:t>”</w:t>
      </w:r>
      <w:r>
        <w:rPr>
          <w:rStyle w:val="FootnoteReference"/>
        </w:rPr>
        <w:footnoteReference w:id="9"/>
      </w:r>
    </w:p>
    <w:p w14:paraId="1D7C4D15" w14:textId="20A9624D" w:rsidR="0046704E" w:rsidRDefault="0046704E" w:rsidP="0046704E">
      <w:pPr>
        <w:pStyle w:val="FERCparanumber"/>
        <w:tabs>
          <w:tab w:val="left" w:pos="2610"/>
        </w:tabs>
      </w:pPr>
      <w:r w:rsidRPr="007D6740">
        <w:t>In response</w:t>
      </w:r>
      <w:r>
        <w:t xml:space="preserve"> to the Winter Storm Elliot</w:t>
      </w:r>
      <w:r w:rsidR="001472AD">
        <w:t>t</w:t>
      </w:r>
      <w:r>
        <w:t xml:space="preserve"> Report, </w:t>
      </w:r>
      <w:r w:rsidRPr="004E7163">
        <w:t xml:space="preserve">the NAESB Board of Directors </w:t>
      </w:r>
      <w:r w:rsidR="0046329C">
        <w:t xml:space="preserve">directed, as part of its 2024 Annual Plan, </w:t>
      </w:r>
      <w:r w:rsidR="00FE3380">
        <w:t xml:space="preserve">the joint </w:t>
      </w:r>
      <w:r w:rsidRPr="004E7163">
        <w:t xml:space="preserve">WGQ, Wholesale Electric Quadrant (WEQ), and Retail Market Quadrant (RMQ) </w:t>
      </w:r>
      <w:r w:rsidRPr="009951F3">
        <w:t xml:space="preserve">Business Practices Subcommittees to review and modify the NAESB Gas/Electric Coordination Business Practice Standards, and any corresponding standards, </w:t>
      </w:r>
      <w:r w:rsidR="00B7639E">
        <w:t xml:space="preserve">to </w:t>
      </w:r>
      <w:r w:rsidRPr="009951F3">
        <w:t xml:space="preserve">improve communications among gas and electric market participants and enhance situational awareness during extreme weather events </w:t>
      </w:r>
      <w:r w:rsidR="001B7278">
        <w:t xml:space="preserve">      </w:t>
      </w:r>
      <w:r w:rsidRPr="009951F3">
        <w:t>without endangering sensitive commercial information</w:t>
      </w:r>
      <w:r>
        <w:t xml:space="preserve">.  </w:t>
      </w:r>
      <w:r w:rsidR="00DA3BE2">
        <w:t xml:space="preserve">The </w:t>
      </w:r>
      <w:r w:rsidRPr="003736D9">
        <w:t xml:space="preserve">Joint WGQ, WEQ, and RMQ </w:t>
      </w:r>
      <w:r w:rsidRPr="009951F3">
        <w:t>Business Practices Subcommittees</w:t>
      </w:r>
      <w:r w:rsidRPr="003736D9" w:rsidDel="00712FE3">
        <w:t xml:space="preserve"> </w:t>
      </w:r>
      <w:r w:rsidRPr="003736D9">
        <w:t>recommend</w:t>
      </w:r>
      <w:r w:rsidR="00BF69CE">
        <w:t>ed</w:t>
      </w:r>
      <w:r w:rsidRPr="003736D9">
        <w:t xml:space="preserve"> proposing new and revised WGQ Business Practice Standards</w:t>
      </w:r>
      <w:r w:rsidR="008E12F7">
        <w:t xml:space="preserve">, which </w:t>
      </w:r>
      <w:r>
        <w:t xml:space="preserve">the NAESB WGQ Executive Committee </w:t>
      </w:r>
      <w:r w:rsidR="008E12F7">
        <w:t xml:space="preserve">approved on </w:t>
      </w:r>
      <w:r w:rsidR="00442B81">
        <w:t xml:space="preserve">October 24, 2024 and the </w:t>
      </w:r>
      <w:r>
        <w:t>NAESB WGQ membership ratified on November 25, 2024.</w:t>
      </w:r>
      <w:r>
        <w:rPr>
          <w:rStyle w:val="FootnoteReference"/>
        </w:rPr>
        <w:footnoteReference w:id="10"/>
      </w:r>
    </w:p>
    <w:p w14:paraId="44A5EC68" w14:textId="1D2CEBC2" w:rsidR="0046704E" w:rsidRDefault="0046704E" w:rsidP="0046704E">
      <w:pPr>
        <w:pStyle w:val="FERCparanumber"/>
      </w:pPr>
      <w:r w:rsidRPr="00DF0D3D">
        <w:t>On</w:t>
      </w:r>
      <w:r w:rsidRPr="00DF0D3D" w:rsidDel="007365B1">
        <w:t xml:space="preserve"> </w:t>
      </w:r>
      <w:r>
        <w:t xml:space="preserve">December </w:t>
      </w:r>
      <w:r w:rsidR="00F14B4B">
        <w:t>4</w:t>
      </w:r>
      <w:r w:rsidRPr="00DF0D3D">
        <w:t>, 2024,</w:t>
      </w:r>
      <w:r w:rsidRPr="00DA14EC">
        <w:t xml:space="preserve"> NAESB</w:t>
      </w:r>
      <w:r>
        <w:t xml:space="preserve"> filed its Informational Report</w:t>
      </w:r>
      <w:r w:rsidR="00777BCE">
        <w:t xml:space="preserve"> </w:t>
      </w:r>
      <w:r w:rsidRPr="00DA14EC">
        <w:t xml:space="preserve">informing the Commission that it had </w:t>
      </w:r>
      <w:r w:rsidR="00992AFC">
        <w:t>revised three sets of</w:t>
      </w:r>
      <w:r w:rsidR="00B45CE1">
        <w:t xml:space="preserve"> </w:t>
      </w:r>
      <w:r w:rsidR="008B6BAB">
        <w:t>s</w:t>
      </w:r>
      <w:r w:rsidRPr="00DA14EC">
        <w:t xml:space="preserve">tandards applicable to interstate natural gas pipelines.  </w:t>
      </w:r>
      <w:r w:rsidR="008D2251">
        <w:t>Notably, t</w:t>
      </w:r>
      <w:r w:rsidRPr="005F237A">
        <w:t>he Informational Report identifies</w:t>
      </w:r>
      <w:r w:rsidR="00C6122E">
        <w:t xml:space="preserve"> revisions to </w:t>
      </w:r>
      <w:r w:rsidRPr="008E3155">
        <w:rPr>
          <w:snapToGrid w:val="0"/>
        </w:rPr>
        <w:t>three</w:t>
      </w:r>
      <w:r w:rsidR="00C6122E">
        <w:rPr>
          <w:snapToGrid w:val="0"/>
        </w:rPr>
        <w:t xml:space="preserve"> sets of standards</w:t>
      </w:r>
      <w:r w:rsidR="00C6122E">
        <w:t xml:space="preserve"> </w:t>
      </w:r>
      <w:bookmarkStart w:id="5" w:name="_Hlk184049671"/>
      <w:r>
        <w:t>which include</w:t>
      </w:r>
      <w:r w:rsidRPr="00B77130">
        <w:t xml:space="preserve"> </w:t>
      </w:r>
      <w:r w:rsidR="00B30DB4" w:rsidRPr="00B77130">
        <w:t>two new standards</w:t>
      </w:r>
      <w:r w:rsidR="00B30DB4">
        <w:t xml:space="preserve"> and </w:t>
      </w:r>
      <w:r>
        <w:t>one revised</w:t>
      </w:r>
      <w:r w:rsidRPr="00B77130">
        <w:t xml:space="preserve"> standard</w:t>
      </w:r>
      <w:bookmarkEnd w:id="5"/>
      <w:r w:rsidRPr="009A3DEC">
        <w:t>.</w:t>
      </w:r>
      <w:r>
        <w:t xml:space="preserve">  One new standard facilitates the posting of applicable scheduled quantity information for power plants that are directly connected to the pipeline as part of the</w:t>
      </w:r>
      <w:r w:rsidR="00E277F4">
        <w:t xml:space="preserve"> new</w:t>
      </w:r>
      <w:r>
        <w:t xml:space="preserve"> “Gas Electric Coordination” </w:t>
      </w:r>
      <w:r w:rsidR="00A97EDF">
        <w:t xml:space="preserve">posting </w:t>
      </w:r>
      <w:r>
        <w:t xml:space="preserve">category.  </w:t>
      </w:r>
      <w:r w:rsidR="00F554D2">
        <w:t>The one</w:t>
      </w:r>
      <w:r w:rsidR="004A7C7B">
        <w:t xml:space="preserve"> revised standard </w:t>
      </w:r>
      <w:r w:rsidR="009F6CCF" w:rsidRPr="009F6CCF">
        <w:t>include</w:t>
      </w:r>
      <w:r w:rsidR="004A7C7B">
        <w:t>s</w:t>
      </w:r>
      <w:r w:rsidR="009F6CCF" w:rsidRPr="009F6CCF">
        <w:t xml:space="preserve"> a new </w:t>
      </w:r>
      <w:r w:rsidR="00FD68AD">
        <w:t>“</w:t>
      </w:r>
      <w:r w:rsidR="009F6CCF" w:rsidRPr="009F6CCF">
        <w:t>Gas Electric Coordination</w:t>
      </w:r>
      <w:r w:rsidR="00FD68AD">
        <w:t>”</w:t>
      </w:r>
      <w:r w:rsidR="009F6CCF" w:rsidRPr="009F6CCF">
        <w:t xml:space="preserve"> posting category</w:t>
      </w:r>
      <w:r w:rsidR="000027F8">
        <w:t>.</w:t>
      </w:r>
      <w:r w:rsidR="00130180">
        <w:t xml:space="preserve">  </w:t>
      </w:r>
      <w:r>
        <w:t>The second new standard supports the inclusion of the geographic information of impacted area(s), location(s), and/or pipeline facility(ies) by a transportation service provider when issuing a critical notice.</w:t>
      </w:r>
      <w:r w:rsidRPr="001E2DC5">
        <w:t xml:space="preserve">  </w:t>
      </w:r>
      <w:r>
        <w:t>P</w:t>
      </w:r>
      <w:r w:rsidRPr="001E2DC5">
        <w:t xml:space="preserve">ipelines </w:t>
      </w:r>
      <w:r>
        <w:t>are currently required to</w:t>
      </w:r>
      <w:r w:rsidRPr="001E2DC5">
        <w:t xml:space="preserve"> make </w:t>
      </w:r>
      <w:r w:rsidRPr="00072373">
        <w:t>this information</w:t>
      </w:r>
      <w:r w:rsidRPr="001E2DC5">
        <w:t xml:space="preserve"> available through </w:t>
      </w:r>
      <w:r>
        <w:t xml:space="preserve">computer-to-computer </w:t>
      </w:r>
      <w:r w:rsidRPr="001E2DC5">
        <w:t>electronic data interchange</w:t>
      </w:r>
      <w:r>
        <w:t xml:space="preserve"> in addition to other batch file downloadable formats they may provide</w:t>
      </w:r>
      <w:r w:rsidRPr="001E2DC5">
        <w:t>.</w:t>
      </w:r>
      <w:r w:rsidRPr="001E2DC5">
        <w:rPr>
          <w:rStyle w:val="FootnoteReference"/>
        </w:rPr>
        <w:footnoteReference w:id="11"/>
      </w:r>
    </w:p>
    <w:p w14:paraId="6EDA049E" w14:textId="3220FC19" w:rsidR="00195DFB" w:rsidRDefault="00224836" w:rsidP="00224836">
      <w:pPr>
        <w:pStyle w:val="Heading1"/>
      </w:pPr>
      <w:bookmarkStart w:id="6" w:name="_bmk3"/>
      <w:r>
        <w:t>N</w:t>
      </w:r>
      <w:bookmarkEnd w:id="6"/>
      <w:r w:rsidR="00343E4A">
        <w:t>OPR</w:t>
      </w:r>
    </w:p>
    <w:p w14:paraId="77AF697C" w14:textId="02D3F4BB" w:rsidR="00195DFB" w:rsidRPr="00195DFB" w:rsidRDefault="00961A68" w:rsidP="003A3A58">
      <w:pPr>
        <w:pStyle w:val="FERCparanumber"/>
      </w:pPr>
      <w:r>
        <w:t xml:space="preserve">On </w:t>
      </w:r>
      <w:r w:rsidRPr="00961A68">
        <w:t>October 16, 2025</w:t>
      </w:r>
      <w:r>
        <w:t xml:space="preserve">, the Commission issued a </w:t>
      </w:r>
      <w:r w:rsidR="003A3A58">
        <w:t>n</w:t>
      </w:r>
      <w:r>
        <w:t xml:space="preserve">otice of </w:t>
      </w:r>
      <w:r w:rsidR="003A3A58">
        <w:t>p</w:t>
      </w:r>
      <w:r>
        <w:t xml:space="preserve">roposed </w:t>
      </w:r>
      <w:r w:rsidR="003A3A58">
        <w:t>r</w:t>
      </w:r>
      <w:r>
        <w:t xml:space="preserve">ulemaking (NOPR) requesting comment on the proposed adoption of the </w:t>
      </w:r>
      <w:r w:rsidR="007F0BC3">
        <w:t xml:space="preserve">revisions to </w:t>
      </w:r>
      <w:r w:rsidR="007F0BC3" w:rsidRPr="008E3155">
        <w:rPr>
          <w:snapToGrid w:val="0"/>
        </w:rPr>
        <w:t>three</w:t>
      </w:r>
      <w:r w:rsidR="007F0BC3">
        <w:rPr>
          <w:snapToGrid w:val="0"/>
        </w:rPr>
        <w:t xml:space="preserve"> sets of </w:t>
      </w:r>
      <w:r>
        <w:t>standards.</w:t>
      </w:r>
      <w:r w:rsidR="00774E7A">
        <w:rPr>
          <w:rStyle w:val="FootnoteReference"/>
        </w:rPr>
        <w:footnoteReference w:id="12"/>
      </w:r>
    </w:p>
    <w:p w14:paraId="30743C11" w14:textId="77777777" w:rsidR="007D66E8" w:rsidRPr="007D66E8" w:rsidRDefault="007D66E8" w:rsidP="00224836">
      <w:pPr>
        <w:pStyle w:val="Heading1"/>
      </w:pPr>
      <w:bookmarkStart w:id="7" w:name="_bmk4"/>
      <w:r w:rsidRPr="007D66E8">
        <w:t>C</w:t>
      </w:r>
      <w:bookmarkEnd w:id="7"/>
      <w:r w:rsidRPr="007D66E8">
        <w:t>omments on the NOPR</w:t>
      </w:r>
    </w:p>
    <w:p w14:paraId="55FA1069" w14:textId="554A5259" w:rsidR="007D66E8" w:rsidRPr="007D66E8" w:rsidRDefault="007D66E8" w:rsidP="00265356">
      <w:pPr>
        <w:pStyle w:val="FERCparanumber"/>
      </w:pPr>
      <w:r w:rsidRPr="007D66E8">
        <w:t>On January 20, 2026, the Commission received eight comments on the NOPR representing a variety of industry stakeholders, including one comment from a public citizen.  Seven commenters, including American Gas Association (AGA), American Public Gas Association (APGA), Utility Coalition</w:t>
      </w:r>
      <w:r w:rsidR="00AA14B9">
        <w:rPr>
          <w:rStyle w:val="FootnoteReference"/>
        </w:rPr>
        <w:footnoteReference w:id="13"/>
      </w:r>
      <w:r w:rsidRPr="007D66E8">
        <w:t>, ISO/RTO Council</w:t>
      </w:r>
      <w:r w:rsidR="00AA14B9">
        <w:rPr>
          <w:rStyle w:val="FootnoteReference"/>
        </w:rPr>
        <w:footnoteReference w:id="14"/>
      </w:r>
      <w:r w:rsidR="00550FB2">
        <w:t>,</w:t>
      </w:r>
      <w:r w:rsidRPr="007D66E8">
        <w:t xml:space="preserve"> NERC, INGAA, and Conservative Political Action Coalition Foundation Center for Regulatory Freedom (</w:t>
      </w:r>
      <w:r w:rsidR="00B31D53">
        <w:t>CRF</w:t>
      </w:r>
      <w:r w:rsidRPr="007D66E8">
        <w:t>) support the proposed</w:t>
      </w:r>
      <w:r w:rsidR="00747AB1">
        <w:t xml:space="preserve"> revisions to the three sets of standards </w:t>
      </w:r>
      <w:r w:rsidR="00F91837">
        <w:t>included in the NOPR</w:t>
      </w:r>
      <w:r w:rsidRPr="007D66E8">
        <w:t>.</w:t>
      </w:r>
      <w:r w:rsidR="00B35757">
        <w:t xml:space="preserve">  </w:t>
      </w:r>
      <w:r w:rsidR="00B35757" w:rsidRPr="00B35757">
        <w:t>One commenter, James Hunter Poole</w:t>
      </w:r>
      <w:r w:rsidR="005D34CB" w:rsidRPr="004C0E20">
        <w:t>,</w:t>
      </w:r>
      <w:r w:rsidR="00B35757" w:rsidRPr="004C0E20">
        <w:t xml:space="preserve"> object</w:t>
      </w:r>
      <w:r w:rsidR="00890A7E" w:rsidRPr="004C0E20">
        <w:t>s</w:t>
      </w:r>
      <w:r w:rsidR="00B35757" w:rsidRPr="004C0E20">
        <w:t xml:space="preserve"> to “the proposed FERC rule</w:t>
      </w:r>
      <w:r w:rsidR="001B7278">
        <w:t xml:space="preserve">   </w:t>
      </w:r>
      <w:r w:rsidR="00B35757" w:rsidRPr="004C0E20">
        <w:t xml:space="preserve"> as written” because it includes documentation requirements</w:t>
      </w:r>
      <w:r w:rsidR="00142F0A">
        <w:t xml:space="preserve"> </w:t>
      </w:r>
      <w:r w:rsidR="00211C73">
        <w:t xml:space="preserve">that </w:t>
      </w:r>
      <w:r w:rsidR="00CE1276">
        <w:t>Mr. Poole characterizes</w:t>
      </w:r>
      <w:r w:rsidR="001B7278">
        <w:t xml:space="preserve"> </w:t>
      </w:r>
      <w:r w:rsidR="00CE1276">
        <w:t>as excessive</w:t>
      </w:r>
      <w:r w:rsidR="00B35757" w:rsidRPr="004C0E20">
        <w:t>.</w:t>
      </w:r>
      <w:r w:rsidRPr="004C0E20">
        <w:t xml:space="preserve">  Several supporting commenters also provide</w:t>
      </w:r>
      <w:r w:rsidRPr="007D66E8">
        <w:t xml:space="preserve"> </w:t>
      </w:r>
      <w:r w:rsidR="00DB43EE">
        <w:t xml:space="preserve">comments </w:t>
      </w:r>
      <w:r w:rsidRPr="007D66E8">
        <w:t>on additional</w:t>
      </w:r>
      <w:r w:rsidR="001B7278">
        <w:t xml:space="preserve">    </w:t>
      </w:r>
      <w:r w:rsidRPr="007D66E8">
        <w:t xml:space="preserve"> gas-electric coordination improvements</w:t>
      </w:r>
      <w:r w:rsidR="00352E39">
        <w:t xml:space="preserve"> </w:t>
      </w:r>
      <w:r w:rsidR="00D40CF0">
        <w:t>and</w:t>
      </w:r>
      <w:r w:rsidRPr="007D66E8">
        <w:t xml:space="preserve"> </w:t>
      </w:r>
      <w:r w:rsidR="004D25BC">
        <w:t xml:space="preserve">recommendations for </w:t>
      </w:r>
      <w:r w:rsidRPr="007D66E8">
        <w:t>various Commission actions beyond</w:t>
      </w:r>
      <w:r w:rsidR="001B263B">
        <w:t xml:space="preserve"> revisions to the three sets of </w:t>
      </w:r>
      <w:r w:rsidRPr="007D66E8">
        <w:t>standards.</w:t>
      </w:r>
      <w:r w:rsidR="0094494A">
        <w:rPr>
          <w:rStyle w:val="FootnoteReference"/>
        </w:rPr>
        <w:footnoteReference w:id="15"/>
      </w:r>
      <w:r w:rsidRPr="007D66E8">
        <w:t xml:space="preserve"> </w:t>
      </w:r>
      <w:r w:rsidR="009D5D7D">
        <w:t xml:space="preserve"> </w:t>
      </w:r>
      <w:r w:rsidRPr="007D66E8">
        <w:t>We summarize the comments below.</w:t>
      </w:r>
      <w:bookmarkStart w:id="8" w:name="_Hlk220577549"/>
    </w:p>
    <w:bookmarkEnd w:id="8"/>
    <w:p w14:paraId="75547F28" w14:textId="7FEF9445" w:rsidR="007D66E8" w:rsidRPr="007D66E8" w:rsidRDefault="008E6C48">
      <w:pPr>
        <w:pStyle w:val="FERCparanumber"/>
      </w:pPr>
      <w:r>
        <w:t xml:space="preserve">AGA </w:t>
      </w:r>
      <w:r w:rsidR="007D66E8" w:rsidRPr="007D66E8">
        <w:t>state</w:t>
      </w:r>
      <w:r w:rsidR="00890A7E">
        <w:t>s</w:t>
      </w:r>
      <w:r w:rsidR="007D66E8" w:rsidRPr="007D66E8">
        <w:t xml:space="preserve"> that the modifications will promote greater gas-electric coordination and situational awareness during severe weather events and are steps toward the goal of a more transparent process through enhanced real-time information sharing to ensure all stakeholders have a more accurate view of current system conditions.</w:t>
      </w:r>
      <w:r w:rsidR="007D66E8" w:rsidRPr="007D66E8">
        <w:rPr>
          <w:b/>
          <w:vertAlign w:val="superscript"/>
        </w:rPr>
        <w:footnoteReference w:id="16"/>
      </w:r>
      <w:r w:rsidR="007D66E8" w:rsidRPr="007D66E8">
        <w:t xml:space="preserve">  </w:t>
      </w:r>
      <w:r w:rsidR="00357513" w:rsidRPr="007D66E8">
        <w:t>APGA</w:t>
      </w:r>
      <w:r w:rsidR="00357513" w:rsidRPr="007D66E8" w:rsidDel="00357513">
        <w:t xml:space="preserve"> </w:t>
      </w:r>
      <w:r w:rsidR="00467A88">
        <w:t xml:space="preserve">states </w:t>
      </w:r>
      <w:r w:rsidR="007D66E8" w:rsidRPr="007D66E8">
        <w:t>that the</w:t>
      </w:r>
      <w:r w:rsidR="00932BC9">
        <w:t xml:space="preserve"> modifications</w:t>
      </w:r>
      <w:r w:rsidR="007D66E8" w:rsidRPr="007D66E8">
        <w:t xml:space="preserve"> “will ensure all market participants have equal access to this critical information,” particularly for the communities served by municipal gas systems.</w:t>
      </w:r>
      <w:r w:rsidR="007D66E8" w:rsidRPr="007D66E8">
        <w:rPr>
          <w:b/>
          <w:vertAlign w:val="superscript"/>
        </w:rPr>
        <w:footnoteReference w:id="17"/>
      </w:r>
      <w:r w:rsidR="007D66E8" w:rsidRPr="007D66E8">
        <w:t xml:space="preserve">  The Utility Coalition emphasize</w:t>
      </w:r>
      <w:r w:rsidR="00890A7E">
        <w:t>s</w:t>
      </w:r>
      <w:r w:rsidR="00A00809">
        <w:t xml:space="preserve"> </w:t>
      </w:r>
      <w:r w:rsidR="001D2DF1">
        <w:t xml:space="preserve">that </w:t>
      </w:r>
      <w:r w:rsidR="00A00809">
        <w:t xml:space="preserve">the </w:t>
      </w:r>
      <w:r w:rsidR="001D2DF1">
        <w:t xml:space="preserve">revised standards </w:t>
      </w:r>
      <w:r w:rsidR="0005732C">
        <w:t xml:space="preserve">represent a </w:t>
      </w:r>
      <w:r w:rsidR="00A00809">
        <w:t>meaningful advancement toward enhancing real-time operational transparency across the interdependent natural gas and electric system</w:t>
      </w:r>
      <w:r w:rsidR="007D66E8" w:rsidRPr="007D66E8">
        <w:t>.</w:t>
      </w:r>
      <w:r w:rsidR="007D66E8" w:rsidRPr="007D66E8">
        <w:rPr>
          <w:b/>
          <w:vertAlign w:val="superscript"/>
        </w:rPr>
        <w:footnoteReference w:id="18"/>
      </w:r>
      <w:r w:rsidR="007D66E8" w:rsidRPr="007D66E8">
        <w:t xml:space="preserve">  ISO/RTO Council</w:t>
      </w:r>
      <w:r w:rsidR="00C82AAB">
        <w:t xml:space="preserve"> </w:t>
      </w:r>
      <w:r w:rsidR="00581239">
        <w:t>supports the incorporation by reference of each of these changes into the</w:t>
      </w:r>
      <w:r w:rsidR="00A83442">
        <w:t xml:space="preserve"> </w:t>
      </w:r>
      <w:r w:rsidR="00581239">
        <w:t>Commission’s regulations</w:t>
      </w:r>
      <w:r w:rsidR="003225DF">
        <w:t xml:space="preserve"> as providing </w:t>
      </w:r>
      <w:r w:rsidR="003225DF" w:rsidRPr="007D66E8">
        <w:t xml:space="preserve">more timely and actionable information about the gas system to enable more effective </w:t>
      </w:r>
      <w:r w:rsidR="003225DF">
        <w:t xml:space="preserve">gas-electric </w:t>
      </w:r>
      <w:r w:rsidR="003225DF" w:rsidRPr="007D66E8">
        <w:t>coordination</w:t>
      </w:r>
      <w:r w:rsidR="003225DF">
        <w:t xml:space="preserve"> </w:t>
      </w:r>
      <w:r w:rsidR="003225DF" w:rsidRPr="007D66E8">
        <w:t>and reduce</w:t>
      </w:r>
      <w:r w:rsidR="00305BBC">
        <w:t xml:space="preserve"> the</w:t>
      </w:r>
      <w:r w:rsidR="003225DF" w:rsidRPr="007D66E8">
        <w:t xml:space="preserve"> risk of potential impacts on system reliability.</w:t>
      </w:r>
      <w:r w:rsidR="003225DF" w:rsidRPr="007D66E8">
        <w:rPr>
          <w:b/>
          <w:vertAlign w:val="superscript"/>
        </w:rPr>
        <w:footnoteReference w:id="19"/>
      </w:r>
      <w:r w:rsidR="007D66E8" w:rsidRPr="007D66E8">
        <w:t xml:space="preserve">  NERC emphasize</w:t>
      </w:r>
      <w:r w:rsidR="00A00809">
        <w:t>s</w:t>
      </w:r>
      <w:r w:rsidR="007D66E8" w:rsidRPr="007D66E8">
        <w:t xml:space="preserve"> that the modifications align with the Winter Storm Elliott Report and its own work plan priorities.</w:t>
      </w:r>
      <w:r w:rsidR="007D66E8" w:rsidRPr="007D66E8">
        <w:rPr>
          <w:b/>
          <w:vertAlign w:val="superscript"/>
        </w:rPr>
        <w:footnoteReference w:id="20"/>
      </w:r>
      <w:r w:rsidR="007D66E8" w:rsidRPr="007D66E8">
        <w:t xml:space="preserve">  INGAA also supports the proposal and urges the Commission to</w:t>
      </w:r>
      <w:r w:rsidR="008D12CE">
        <w:t>, if possible,</w:t>
      </w:r>
      <w:r w:rsidR="003A2DAC">
        <w:t xml:space="preserve"> consider an </w:t>
      </w:r>
      <w:r w:rsidR="00344B9D">
        <w:t xml:space="preserve">effective date </w:t>
      </w:r>
      <w:r w:rsidR="00E555E3">
        <w:t>for</w:t>
      </w:r>
      <w:r w:rsidR="00F01C58">
        <w:t xml:space="preserve"> the revisions to the three sets of standards </w:t>
      </w:r>
      <w:r w:rsidR="00196539">
        <w:t xml:space="preserve">that </w:t>
      </w:r>
      <w:r w:rsidR="001D4BBE">
        <w:t>fall</w:t>
      </w:r>
      <w:r w:rsidR="00196539">
        <w:t>s</w:t>
      </w:r>
      <w:r w:rsidR="001D4BBE">
        <w:t xml:space="preserve"> earlier </w:t>
      </w:r>
      <w:r w:rsidR="005C7A2C">
        <w:t>in the winter heating period</w:t>
      </w:r>
      <w:r w:rsidR="00F246B7">
        <w:t>.</w:t>
      </w:r>
      <w:r w:rsidR="007D66E8" w:rsidRPr="007D66E8">
        <w:rPr>
          <w:b/>
          <w:vertAlign w:val="superscript"/>
        </w:rPr>
        <w:footnoteReference w:id="21"/>
      </w:r>
      <w:r w:rsidR="007D66E8" w:rsidRPr="007D66E8">
        <w:t xml:space="preserve"> </w:t>
      </w:r>
      <w:r w:rsidR="00892CE0">
        <w:t xml:space="preserve"> C</w:t>
      </w:r>
      <w:r w:rsidR="00B31D53">
        <w:t xml:space="preserve">RF </w:t>
      </w:r>
      <w:r w:rsidR="00892CE0">
        <w:t>commend</w:t>
      </w:r>
      <w:r w:rsidR="000A3442">
        <w:t>s</w:t>
      </w:r>
      <w:r w:rsidR="00892CE0">
        <w:t xml:space="preserve"> the Commission for relying on</w:t>
      </w:r>
      <w:r w:rsidR="00D23DEA">
        <w:t xml:space="preserve"> revisions to the three sets of</w:t>
      </w:r>
      <w:r w:rsidR="00892CE0">
        <w:t xml:space="preserve"> consensus-based standards</w:t>
      </w:r>
      <w:r w:rsidR="00531B2F">
        <w:t xml:space="preserve"> </w:t>
      </w:r>
      <w:r w:rsidR="00B31D53">
        <w:t xml:space="preserve">and agrees </w:t>
      </w:r>
      <w:r w:rsidR="00D63096">
        <w:t xml:space="preserve">that </w:t>
      </w:r>
      <w:r w:rsidR="00B31D53">
        <w:t xml:space="preserve">the </w:t>
      </w:r>
      <w:r w:rsidR="00A12F28">
        <w:t xml:space="preserve">revisions </w:t>
      </w:r>
      <w:r w:rsidR="007C5ACA">
        <w:t>“</w:t>
      </w:r>
      <w:r w:rsidR="00DB2AF4">
        <w:t xml:space="preserve">impose </w:t>
      </w:r>
      <w:r w:rsidR="00B31D53">
        <w:t xml:space="preserve">modest, one-time compliance costs that are </w:t>
      </w:r>
      <w:r w:rsidR="00A12F28">
        <w:t>justified</w:t>
      </w:r>
      <w:r w:rsidR="00B31D53">
        <w:t xml:space="preserve"> by </w:t>
      </w:r>
      <w:r w:rsidR="00DE4749">
        <w:t>[</w:t>
      </w:r>
      <w:r w:rsidR="00B31D53">
        <w:t>the</w:t>
      </w:r>
      <w:r w:rsidR="00DE4749">
        <w:t>]</w:t>
      </w:r>
      <w:r w:rsidR="00B31D53">
        <w:t xml:space="preserve"> reliability benefits.</w:t>
      </w:r>
      <w:r w:rsidR="00B44EF7">
        <w:t>”</w:t>
      </w:r>
      <w:r w:rsidR="00B31D53">
        <w:rPr>
          <w:rStyle w:val="FootnoteReference"/>
        </w:rPr>
        <w:footnoteReference w:id="22"/>
      </w:r>
    </w:p>
    <w:p w14:paraId="03D2A726" w14:textId="4B506A3D" w:rsidR="007D66E8" w:rsidRPr="007D66E8" w:rsidRDefault="007D66E8" w:rsidP="007D66E8">
      <w:pPr>
        <w:pStyle w:val="FERCparanumber"/>
      </w:pPr>
      <w:r w:rsidRPr="007D66E8">
        <w:t xml:space="preserve">Multiple commenters emphasize that </w:t>
      </w:r>
      <w:r w:rsidR="007971C2">
        <w:t>establishing a new information posting category</w:t>
      </w:r>
      <w:r w:rsidR="00F14A62">
        <w:t xml:space="preserve">, </w:t>
      </w:r>
      <w:r w:rsidR="007971C2">
        <w:t>Gas Electric Coordination</w:t>
      </w:r>
      <w:r w:rsidR="000A5F92">
        <w:t>,</w:t>
      </w:r>
      <w:r w:rsidR="009C5151">
        <w:t xml:space="preserve"> on </w:t>
      </w:r>
      <w:r w:rsidR="009B23EA">
        <w:t>t</w:t>
      </w:r>
      <w:r w:rsidRPr="007D66E8">
        <w:t xml:space="preserve">he </w:t>
      </w:r>
      <w:r w:rsidR="009C5151">
        <w:t xml:space="preserve">pipelines’ </w:t>
      </w:r>
      <w:r w:rsidRPr="007D66E8">
        <w:t>Informational Postings Web site</w:t>
      </w:r>
      <w:r w:rsidR="00B65AB5">
        <w:t xml:space="preserve"> </w:t>
      </w:r>
      <w:r w:rsidRPr="007D66E8">
        <w:t>will significantly improve situational awareness, particularly during extreme weather events.</w:t>
      </w:r>
      <w:r w:rsidR="00EB0E24">
        <w:rPr>
          <w:rStyle w:val="FootnoteReference"/>
        </w:rPr>
        <w:footnoteReference w:id="23"/>
      </w:r>
      <w:r w:rsidRPr="007D66E8">
        <w:t xml:space="preserve">  AGA note</w:t>
      </w:r>
      <w:r w:rsidR="00A00809">
        <w:t>s</w:t>
      </w:r>
      <w:r w:rsidRPr="007D66E8">
        <w:t xml:space="preserve"> that </w:t>
      </w:r>
      <w:r w:rsidR="00802530">
        <w:t xml:space="preserve">creation of this posting </w:t>
      </w:r>
      <w:r w:rsidR="00AE77BF">
        <w:t xml:space="preserve">category </w:t>
      </w:r>
      <w:r w:rsidR="00723EA6">
        <w:t xml:space="preserve">would </w:t>
      </w:r>
      <w:r w:rsidRPr="007D66E8">
        <w:t>help streamline the process for stakeholders to access data during extreme weather conditions so that available data is centralized and easily accessible.</w:t>
      </w:r>
      <w:r w:rsidRPr="007D66E8">
        <w:rPr>
          <w:b/>
          <w:vertAlign w:val="superscript"/>
        </w:rPr>
        <w:footnoteReference w:id="24"/>
      </w:r>
    </w:p>
    <w:p w14:paraId="43631D65" w14:textId="27ED5105" w:rsidR="007D66E8" w:rsidRPr="007D66E8" w:rsidRDefault="007D66E8" w:rsidP="007D66E8">
      <w:pPr>
        <w:pStyle w:val="FERCparanumber"/>
      </w:pPr>
      <w:r w:rsidRPr="007D66E8">
        <w:t>NERC state</w:t>
      </w:r>
      <w:r w:rsidR="0057553C">
        <w:t>s</w:t>
      </w:r>
      <w:r w:rsidRPr="007D66E8">
        <w:t xml:space="preserve"> that the </w:t>
      </w:r>
      <w:r w:rsidR="00582AB8">
        <w:t>revisions to the three sets of standards</w:t>
      </w:r>
      <w:r w:rsidR="00B069D9">
        <w:t xml:space="preserve"> </w:t>
      </w:r>
      <w:r w:rsidRPr="007D66E8">
        <w:t xml:space="preserve">would address </w:t>
      </w:r>
      <w:r w:rsidR="001B7278">
        <w:t xml:space="preserve">  </w:t>
      </w:r>
      <w:r w:rsidRPr="007D66E8">
        <w:t xml:space="preserve">Winter Storm Elliott Report </w:t>
      </w:r>
      <w:r w:rsidR="0057553C">
        <w:t>re</w:t>
      </w:r>
      <w:r w:rsidRPr="007D66E8">
        <w:t>commendations to enhance situational awareness by increasing accessibility and visibility of information about fuel availability and impacted areas and pipeline facilities that could affect power plants and impact electric systems.</w:t>
      </w:r>
      <w:r w:rsidRPr="007D66E8">
        <w:rPr>
          <w:b/>
          <w:vertAlign w:val="superscript"/>
        </w:rPr>
        <w:footnoteReference w:id="25"/>
      </w:r>
      <w:r w:rsidRPr="007D66E8">
        <w:t xml:space="preserve">  NERC states that both the </w:t>
      </w:r>
      <w:r w:rsidR="00AD63F1">
        <w:t>new G</w:t>
      </w:r>
      <w:r w:rsidRPr="007D66E8">
        <w:t>as-</w:t>
      </w:r>
      <w:r w:rsidR="00AD63F1">
        <w:t>E</w:t>
      </w:r>
      <w:r w:rsidRPr="007D66E8">
        <w:t xml:space="preserve">lectric </w:t>
      </w:r>
      <w:r w:rsidR="00F85595">
        <w:t>C</w:t>
      </w:r>
      <w:r w:rsidRPr="007D66E8">
        <w:t xml:space="preserve">oordination </w:t>
      </w:r>
      <w:r w:rsidR="0078237B">
        <w:t xml:space="preserve">posting </w:t>
      </w:r>
      <w:r w:rsidRPr="007D66E8">
        <w:t xml:space="preserve">category on </w:t>
      </w:r>
      <w:r w:rsidR="00CB7261">
        <w:t xml:space="preserve">pipelines’ </w:t>
      </w:r>
      <w:r w:rsidRPr="007D66E8">
        <w:t>Informational Postings Web sites and the geographic information of impacted areas, locations, and pipeline facilities in critical notices are enhancements that provide a common platform for operational exchanges and unified situational awareness.</w:t>
      </w:r>
      <w:r w:rsidRPr="007D66E8">
        <w:rPr>
          <w:b/>
          <w:vertAlign w:val="superscript"/>
        </w:rPr>
        <w:footnoteReference w:id="26"/>
      </w:r>
    </w:p>
    <w:p w14:paraId="4C6B7532" w14:textId="6D7314CB" w:rsidR="007D66E8" w:rsidRPr="007D66E8" w:rsidRDefault="008A1691" w:rsidP="007D66E8">
      <w:pPr>
        <w:pStyle w:val="FERCparanumber"/>
      </w:pPr>
      <w:r>
        <w:t>James Hunter Poole</w:t>
      </w:r>
      <w:r w:rsidR="00586D2A">
        <w:t xml:space="preserve"> </w:t>
      </w:r>
      <w:r w:rsidR="00306267">
        <w:t xml:space="preserve">generally </w:t>
      </w:r>
      <w:r w:rsidR="00D6001F">
        <w:t xml:space="preserve">protests </w:t>
      </w:r>
      <w:r w:rsidR="009145B2">
        <w:t xml:space="preserve">the </w:t>
      </w:r>
      <w:r w:rsidR="00D6001F">
        <w:t>paperwork and compliance</w:t>
      </w:r>
      <w:r w:rsidR="00D6001F" w:rsidRPr="00570FD2">
        <w:t xml:space="preserve"> burden estimates</w:t>
      </w:r>
      <w:r w:rsidR="00D6001F">
        <w:t xml:space="preserve"> </w:t>
      </w:r>
      <w:r w:rsidR="009145B2">
        <w:t>set forth in the NOPR</w:t>
      </w:r>
      <w:r w:rsidR="004707A0">
        <w:t xml:space="preserve"> </w:t>
      </w:r>
      <w:r w:rsidR="00C63D07">
        <w:t xml:space="preserve">while not </w:t>
      </w:r>
      <w:r w:rsidR="003A0721">
        <w:t>provid</w:t>
      </w:r>
      <w:r w:rsidR="00C44214">
        <w:t>ing</w:t>
      </w:r>
      <w:r w:rsidR="003A0721">
        <w:t xml:space="preserve"> substantive </w:t>
      </w:r>
      <w:r w:rsidR="00347CCD">
        <w:t>comments on</w:t>
      </w:r>
      <w:r w:rsidR="006109FE">
        <w:t xml:space="preserve"> the</w:t>
      </w:r>
      <w:r w:rsidR="00C7509B">
        <w:t xml:space="preserve"> revisions to the three sets of</w:t>
      </w:r>
      <w:r w:rsidR="00537394">
        <w:t xml:space="preserve"> </w:t>
      </w:r>
      <w:r w:rsidR="006109FE">
        <w:t>standards</w:t>
      </w:r>
      <w:r w:rsidR="00AF1315">
        <w:t>.</w:t>
      </w:r>
    </w:p>
    <w:p w14:paraId="43F86794" w14:textId="77777777" w:rsidR="0046704E" w:rsidRPr="00B61165" w:rsidRDefault="0046704E" w:rsidP="00224836">
      <w:pPr>
        <w:pStyle w:val="Heading1"/>
      </w:pPr>
      <w:bookmarkStart w:id="9" w:name="_bmk5"/>
      <w:r w:rsidRPr="00F86749">
        <w:t>D</w:t>
      </w:r>
      <w:bookmarkEnd w:id="9"/>
      <w:r w:rsidRPr="00F86749">
        <w:t>iscussion</w:t>
      </w:r>
    </w:p>
    <w:p w14:paraId="497B840B" w14:textId="4E19FD54" w:rsidR="00460595" w:rsidRDefault="00ED0E62" w:rsidP="00CC52EA">
      <w:pPr>
        <w:pStyle w:val="FERCparanumber"/>
      </w:pPr>
      <w:r>
        <w:t xml:space="preserve">In the NOPR, </w:t>
      </w:r>
      <w:r w:rsidR="001639C9">
        <w:t>the Commission</w:t>
      </w:r>
      <w:r w:rsidRPr="15BD7FD7">
        <w:t xml:space="preserve"> propose</w:t>
      </w:r>
      <w:r>
        <w:t>d</w:t>
      </w:r>
      <w:r w:rsidRPr="15BD7FD7">
        <w:t xml:space="preserve"> to incorporate by reference in </w:t>
      </w:r>
      <w:r w:rsidR="007F427A">
        <w:t>its</w:t>
      </w:r>
      <w:r w:rsidRPr="15BD7FD7">
        <w:t xml:space="preserve"> regulations</w:t>
      </w:r>
      <w:r w:rsidR="00345425">
        <w:t xml:space="preserve"> revisions to the three sets of standards </w:t>
      </w:r>
      <w:r w:rsidR="001F01FD">
        <w:t>in the currently incorporated version of the standards</w:t>
      </w:r>
      <w:r>
        <w:t>.</w:t>
      </w:r>
      <w:r w:rsidR="00C17202">
        <w:t xml:space="preserve">  No commenters </w:t>
      </w:r>
      <w:r w:rsidR="00162934">
        <w:t xml:space="preserve">substantively </w:t>
      </w:r>
      <w:r w:rsidR="00C17202">
        <w:t xml:space="preserve">opposed the </w:t>
      </w:r>
      <w:r w:rsidR="00162934">
        <w:t>p</w:t>
      </w:r>
      <w:r w:rsidR="00C17202">
        <w:t>ropo</w:t>
      </w:r>
      <w:r w:rsidR="00162934">
        <w:t xml:space="preserve">sed </w:t>
      </w:r>
      <w:r w:rsidR="001C41E2">
        <w:t xml:space="preserve">revisions to the three sets of </w:t>
      </w:r>
      <w:r w:rsidR="00162934">
        <w:t>standards</w:t>
      </w:r>
      <w:r w:rsidR="00C54BFE">
        <w:t>.</w:t>
      </w:r>
      <w:r w:rsidR="00C54BFE">
        <w:rPr>
          <w:rStyle w:val="FootnoteReference"/>
        </w:rPr>
        <w:footnoteReference w:id="27"/>
      </w:r>
    </w:p>
    <w:p w14:paraId="7A8A18D4" w14:textId="561E4126" w:rsidR="00CC52EA" w:rsidRPr="00162934" w:rsidRDefault="005A09EC" w:rsidP="0066180B">
      <w:pPr>
        <w:pStyle w:val="FERCparanumber"/>
      </w:pPr>
      <w:r>
        <w:t xml:space="preserve">In this </w:t>
      </w:r>
      <w:r w:rsidR="00B76FCC">
        <w:t>f</w:t>
      </w:r>
      <w:r>
        <w:t xml:space="preserve">inal </w:t>
      </w:r>
      <w:r w:rsidR="00B76FCC">
        <w:t>r</w:t>
      </w:r>
      <w:r>
        <w:t xml:space="preserve">ule, </w:t>
      </w:r>
      <w:r w:rsidRPr="00E504E0">
        <w:t xml:space="preserve">we adopt the proposal to incorporate by reference in </w:t>
      </w:r>
      <w:r w:rsidR="00B879F0">
        <w:t>the Commission’s</w:t>
      </w:r>
      <w:r w:rsidRPr="00E504E0">
        <w:t xml:space="preserve"> regulations</w:t>
      </w:r>
      <w:r>
        <w:t xml:space="preserve"> </w:t>
      </w:r>
      <w:r w:rsidR="002F4488">
        <w:t>the</w:t>
      </w:r>
      <w:r w:rsidR="004C79CE">
        <w:t xml:space="preserve"> revisions to three sets of standards</w:t>
      </w:r>
      <w:r w:rsidR="00E978CB">
        <w:t xml:space="preserve"> in the currently incorporated version of the standards.</w:t>
      </w:r>
      <w:r w:rsidR="0066180B">
        <w:t xml:space="preserve">  </w:t>
      </w:r>
      <w:r w:rsidR="00CC52EA" w:rsidRPr="00DD7765">
        <w:rPr>
          <w:szCs w:val="26"/>
        </w:rPr>
        <w:t xml:space="preserve">Each set of </w:t>
      </w:r>
      <w:r w:rsidR="001160AD">
        <w:rPr>
          <w:szCs w:val="26"/>
        </w:rPr>
        <w:t>b</w:t>
      </w:r>
      <w:r w:rsidR="00CC52EA" w:rsidRPr="00DD7765">
        <w:rPr>
          <w:szCs w:val="26"/>
        </w:rPr>
        <w:t xml:space="preserve">usiness </w:t>
      </w:r>
      <w:r w:rsidR="001160AD">
        <w:rPr>
          <w:szCs w:val="26"/>
        </w:rPr>
        <w:t>p</w:t>
      </w:r>
      <w:r w:rsidR="00CC52EA" w:rsidRPr="00DD7765">
        <w:rPr>
          <w:szCs w:val="26"/>
        </w:rPr>
        <w:t xml:space="preserve">ractice </w:t>
      </w:r>
      <w:r w:rsidR="001160AD">
        <w:rPr>
          <w:szCs w:val="26"/>
        </w:rPr>
        <w:t>s</w:t>
      </w:r>
      <w:r w:rsidR="00CC52EA" w:rsidRPr="00DD7765">
        <w:rPr>
          <w:szCs w:val="26"/>
        </w:rPr>
        <w:t>tandards is hereafter referred to as a “manual.”</w:t>
      </w:r>
    </w:p>
    <w:tbl>
      <w:tblPr>
        <w:tblStyle w:val="TableGrid"/>
        <w:tblW w:w="918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8010"/>
      </w:tblGrid>
      <w:tr w:rsidR="00CC52EA" w:rsidRPr="0062757C" w14:paraId="2594B70B" w14:textId="77777777">
        <w:tc>
          <w:tcPr>
            <w:tcW w:w="1172" w:type="dxa"/>
          </w:tcPr>
          <w:p w14:paraId="1EE772CE" w14:textId="77777777" w:rsidR="00CC52EA" w:rsidRPr="00C13EEC" w:rsidRDefault="00CC52EA">
            <w:pPr>
              <w:rPr>
                <w:b/>
                <w:bCs/>
              </w:rPr>
            </w:pPr>
            <w:r>
              <w:rPr>
                <w:b/>
                <w:bCs/>
              </w:rPr>
              <w:t>Manual</w:t>
            </w:r>
          </w:p>
        </w:tc>
        <w:tc>
          <w:tcPr>
            <w:tcW w:w="8010" w:type="dxa"/>
          </w:tcPr>
          <w:p w14:paraId="302C10FE" w14:textId="77777777" w:rsidR="00CC52EA" w:rsidRPr="00C13EEC" w:rsidRDefault="00CC52EA">
            <w:pPr>
              <w:rPr>
                <w:rFonts w:eastAsiaTheme="minorHAnsi"/>
                <w:b/>
                <w:bCs/>
              </w:rPr>
            </w:pPr>
            <w:r w:rsidRPr="00C13EEC">
              <w:rPr>
                <w:rFonts w:eastAsiaTheme="minorHAnsi"/>
                <w:b/>
                <w:bCs/>
              </w:rPr>
              <w:t>Business Practice Standards</w:t>
            </w:r>
          </w:p>
        </w:tc>
      </w:tr>
      <w:tr w:rsidR="00CC52EA" w:rsidRPr="0062757C" w14:paraId="7E29ADDA" w14:textId="77777777">
        <w:tc>
          <w:tcPr>
            <w:tcW w:w="1172" w:type="dxa"/>
          </w:tcPr>
          <w:p w14:paraId="553EE182" w14:textId="798B372B" w:rsidR="00CC52EA" w:rsidRDefault="00CC52EA">
            <w:r>
              <w:t>0</w:t>
            </w:r>
          </w:p>
        </w:tc>
        <w:tc>
          <w:tcPr>
            <w:tcW w:w="8010" w:type="dxa"/>
          </w:tcPr>
          <w:p w14:paraId="685E2120" w14:textId="33C95F15" w:rsidR="00CC52EA" w:rsidRPr="001F4EFE" w:rsidRDefault="00CC52EA">
            <w:r>
              <w:t>Additional Standards</w:t>
            </w:r>
          </w:p>
        </w:tc>
      </w:tr>
      <w:tr w:rsidR="008614E4" w:rsidRPr="0062757C" w14:paraId="3F16764D" w14:textId="77777777">
        <w:tc>
          <w:tcPr>
            <w:tcW w:w="1172" w:type="dxa"/>
          </w:tcPr>
          <w:p w14:paraId="18E9778F" w14:textId="50E03240" w:rsidR="008614E4" w:rsidRDefault="008614E4">
            <w:r>
              <w:t>3</w:t>
            </w:r>
          </w:p>
        </w:tc>
        <w:tc>
          <w:tcPr>
            <w:tcW w:w="8010" w:type="dxa"/>
          </w:tcPr>
          <w:p w14:paraId="4F9C6D35" w14:textId="62CE2B77" w:rsidR="008614E4" w:rsidRDefault="008614E4">
            <w:r>
              <w:t>Invoicing Related Standards</w:t>
            </w:r>
            <w:r w:rsidR="0066496F">
              <w:rPr>
                <w:rStyle w:val="FootnoteReference"/>
              </w:rPr>
              <w:footnoteReference w:id="28"/>
            </w:r>
          </w:p>
        </w:tc>
      </w:tr>
      <w:tr w:rsidR="00CC52EA" w:rsidRPr="0062757C" w14:paraId="4554BE7C" w14:textId="77777777">
        <w:tc>
          <w:tcPr>
            <w:tcW w:w="1172" w:type="dxa"/>
          </w:tcPr>
          <w:p w14:paraId="1FFF6D3F" w14:textId="3705B38F" w:rsidR="00CC52EA" w:rsidRDefault="00CC52EA">
            <w:r>
              <w:t>4</w:t>
            </w:r>
          </w:p>
        </w:tc>
        <w:tc>
          <w:tcPr>
            <w:tcW w:w="8010" w:type="dxa"/>
          </w:tcPr>
          <w:p w14:paraId="250ED6D7" w14:textId="6994E8D7" w:rsidR="00CC52EA" w:rsidRPr="001F4EFE" w:rsidRDefault="00CC52EA">
            <w:bookmarkStart w:id="10" w:name="_Hlk184219826"/>
            <w:r>
              <w:rPr>
                <w:rFonts w:eastAsiaTheme="minorHAnsi"/>
              </w:rPr>
              <w:t>Quadrant Electronic Delivery Mechanism Related Standards</w:t>
            </w:r>
            <w:bookmarkEnd w:id="10"/>
          </w:p>
        </w:tc>
      </w:tr>
      <w:tr w:rsidR="00CC52EA" w:rsidRPr="0062757C" w14:paraId="2F4B5C15" w14:textId="77777777">
        <w:tc>
          <w:tcPr>
            <w:tcW w:w="1172" w:type="dxa"/>
          </w:tcPr>
          <w:p w14:paraId="5F1C86B8" w14:textId="77777777" w:rsidR="00CC52EA" w:rsidRPr="001F4EFE" w:rsidRDefault="00CC52EA">
            <w:r>
              <w:t>5</w:t>
            </w:r>
          </w:p>
        </w:tc>
        <w:tc>
          <w:tcPr>
            <w:tcW w:w="8010" w:type="dxa"/>
          </w:tcPr>
          <w:p w14:paraId="64691B5B" w14:textId="270232BE" w:rsidR="00CC52EA" w:rsidRPr="001F4EFE" w:rsidRDefault="00CC52EA">
            <w:bookmarkStart w:id="11" w:name="_Hlk184219898"/>
            <w:r w:rsidRPr="001F4EFE">
              <w:t>Capacity Release Related Standards</w:t>
            </w:r>
          </w:p>
        </w:tc>
      </w:tr>
    </w:tbl>
    <w:bookmarkEnd w:id="11"/>
    <w:p w14:paraId="46C62A82" w14:textId="0D6BC34E" w:rsidR="007D66E8" w:rsidRDefault="007D66E8" w:rsidP="007775C2">
      <w:pPr>
        <w:pStyle w:val="FERCparanumber"/>
        <w:spacing w:before="240"/>
      </w:pPr>
      <w:r>
        <w:t xml:space="preserve">We require compliance filings </w:t>
      </w:r>
      <w:r w:rsidR="00C22D34">
        <w:t>to be</w:t>
      </w:r>
      <w:r>
        <w:t xml:space="preserve"> made by </w:t>
      </w:r>
      <w:r w:rsidR="00511E90">
        <w:t>September 1</w:t>
      </w:r>
      <w:r w:rsidR="00AB40C7">
        <w:t>,</w:t>
      </w:r>
      <w:r w:rsidR="00511E90">
        <w:t xml:space="preserve"> 2026</w:t>
      </w:r>
      <w:r w:rsidR="00634B77">
        <w:t xml:space="preserve">, with </w:t>
      </w:r>
      <w:r w:rsidR="005F27E9">
        <w:t xml:space="preserve">an </w:t>
      </w:r>
      <w:r>
        <w:t xml:space="preserve">effective date </w:t>
      </w:r>
      <w:r w:rsidDel="00627BD9">
        <w:t>of</w:t>
      </w:r>
      <w:r>
        <w:t xml:space="preserve"> </w:t>
      </w:r>
      <w:r w:rsidR="007466D8">
        <w:t>January 1, 2027</w:t>
      </w:r>
      <w:r>
        <w:t xml:space="preserve">.  We discuss below some specific aspects of NAESB’s </w:t>
      </w:r>
      <w:r w:rsidR="00B54588">
        <w:t>Informational Report.</w:t>
      </w:r>
    </w:p>
    <w:p w14:paraId="408CE6C7" w14:textId="7B06E93E" w:rsidR="00DC7AFC" w:rsidRPr="00DC7AFC" w:rsidRDefault="00F90F09" w:rsidP="007775C2">
      <w:pPr>
        <w:pStyle w:val="Heading2"/>
      </w:pPr>
      <w:bookmarkStart w:id="12" w:name="_bmk6"/>
      <w:bookmarkStart w:id="13" w:name="_Toc173833724"/>
      <w:r>
        <w:t>M</w:t>
      </w:r>
      <w:bookmarkEnd w:id="12"/>
      <w:r>
        <w:t xml:space="preserve">odifications to </w:t>
      </w:r>
      <w:r w:rsidR="003E0E66">
        <w:t>t</w:t>
      </w:r>
      <w:r w:rsidR="00DC7AFC" w:rsidRPr="00DC7AFC">
        <w:t>he NAESB WGQ Version 4.0 Business Practice Standards</w:t>
      </w:r>
      <w:bookmarkEnd w:id="13"/>
    </w:p>
    <w:p w14:paraId="25388D7A" w14:textId="7A3038DC" w:rsidR="00DC7AFC" w:rsidRDefault="00DC7AFC" w:rsidP="00DC7AFC">
      <w:pPr>
        <w:pStyle w:val="FERCparanumber"/>
      </w:pPr>
      <w:r w:rsidRPr="0090772E">
        <w:t>NAESB used its consensus procedures to develop and approve</w:t>
      </w:r>
      <w:r w:rsidR="003E1F2C">
        <w:t xml:space="preserve"> revisions to three sets of standards</w:t>
      </w:r>
      <w:r w:rsidRPr="0090772E">
        <w:t>.  As the Commission found in Order No. 587, the adoption of consensus standards is appropriate because the consensus process helps ensure the reasonableness of the standards by requiring that the standards draw support from a broad spectrum of industry participants representing all segments of the industry.</w:t>
      </w:r>
      <w:r w:rsidR="005A457F">
        <w:rPr>
          <w:rStyle w:val="FootnoteReference"/>
        </w:rPr>
        <w:footnoteReference w:id="29"/>
      </w:r>
      <w:r w:rsidRPr="0090772E">
        <w:t xml:space="preserve">  Moreover, since the industry itself must conduct business under these standards, the Commission</w:t>
      </w:r>
      <w:r>
        <w:t>’</w:t>
      </w:r>
      <w:r w:rsidRPr="0090772E">
        <w:t>s regulations should reflect those standards that have the widest possible support.  In section 12(d) of the National Technology Transfer and Advancement Act of 1995,</w:t>
      </w:r>
      <w:r w:rsidRPr="5F7F722B">
        <w:rPr>
          <w:b/>
          <w:bCs/>
          <w:vertAlign w:val="superscript"/>
        </w:rPr>
        <w:footnoteReference w:id="30"/>
      </w:r>
      <w:r w:rsidRPr="0090772E">
        <w:t xml:space="preserve"> Congress affirmatively requires federal agencies to use technical standards developed by voluntary consensus standards organizations, like NAESB, as </w:t>
      </w:r>
      <w:r w:rsidR="00592C6C">
        <w:t xml:space="preserve">a </w:t>
      </w:r>
      <w:r w:rsidRPr="0090772E">
        <w:t>means to carry out policy objectives or activities</w:t>
      </w:r>
      <w:r w:rsidR="00FD2F7F">
        <w:t>.</w:t>
      </w:r>
    </w:p>
    <w:p w14:paraId="1D85DAD4" w14:textId="04CFB061" w:rsidR="007D66E8" w:rsidRDefault="007D66E8" w:rsidP="007D66E8">
      <w:pPr>
        <w:pStyle w:val="FERCparanumber"/>
      </w:pPr>
      <w:bookmarkStart w:id="14" w:name="_Toc52890000"/>
      <w:bookmarkStart w:id="15" w:name="_Toc160607336"/>
      <w:bookmarkStart w:id="16" w:name="_Toc160724642"/>
      <w:bookmarkStart w:id="17" w:name="_Hlk173748487"/>
      <w:r>
        <w:t>We incorporate by reference into the Commission’s regulations</w:t>
      </w:r>
      <w:r w:rsidR="000D5727">
        <w:t xml:space="preserve"> revisions to three sets of standards</w:t>
      </w:r>
      <w:r w:rsidR="00881FCF">
        <w:t xml:space="preserve"> in the currently incorporated version of the standards</w:t>
      </w:r>
      <w:r w:rsidR="00FB0E97">
        <w:t>,</w:t>
      </w:r>
      <w:r w:rsidR="00BE6288">
        <w:t xml:space="preserve"> </w:t>
      </w:r>
      <w:r>
        <w:t>as discussed below.</w:t>
      </w:r>
    </w:p>
    <w:p w14:paraId="0720ED89" w14:textId="6BD5D79B" w:rsidR="00DC7AFC" w:rsidRPr="00846573" w:rsidRDefault="00DC7AFC" w:rsidP="00802B30">
      <w:pPr>
        <w:pStyle w:val="Heading3"/>
      </w:pPr>
      <w:bookmarkStart w:id="18" w:name="_bmk7"/>
      <w:bookmarkEnd w:id="14"/>
      <w:bookmarkEnd w:id="15"/>
      <w:bookmarkEnd w:id="16"/>
      <w:r w:rsidRPr="00846573">
        <w:t>W</w:t>
      </w:r>
      <w:bookmarkEnd w:id="18"/>
      <w:r w:rsidRPr="00846573">
        <w:t xml:space="preserve">GQ </w:t>
      </w:r>
      <w:r w:rsidRPr="00846573">
        <w:rPr>
          <w:rFonts w:eastAsiaTheme="minorHAnsi"/>
        </w:rPr>
        <w:t>Additional</w:t>
      </w:r>
      <w:r>
        <w:rPr>
          <w:rFonts w:eastAsiaTheme="minorHAnsi"/>
        </w:rPr>
        <w:t xml:space="preserve"> </w:t>
      </w:r>
      <w:r w:rsidRPr="00846573">
        <w:rPr>
          <w:rFonts w:eastAsiaTheme="minorHAnsi"/>
        </w:rPr>
        <w:t>Standards</w:t>
      </w:r>
    </w:p>
    <w:bookmarkEnd w:id="17"/>
    <w:p w14:paraId="051AD100" w14:textId="3E4A5E7F" w:rsidR="003F3CCC" w:rsidRDefault="00B172A3" w:rsidP="005543D9">
      <w:pPr>
        <w:pStyle w:val="FERCparanumber"/>
      </w:pPr>
      <w:r>
        <w:t>One</w:t>
      </w:r>
      <w:r w:rsidR="00A15BD6">
        <w:t xml:space="preserve"> </w:t>
      </w:r>
      <w:r w:rsidR="003F3CCC" w:rsidRPr="00846573" w:rsidDel="008E53FE">
        <w:t>new standard</w:t>
      </w:r>
      <w:r w:rsidR="003F3CCC">
        <w:t xml:space="preserve">, WGQ Standard No. 0.3.30, </w:t>
      </w:r>
      <w:r w:rsidR="007A156B">
        <w:t>in</w:t>
      </w:r>
      <w:r w:rsidR="003F3CCC">
        <w:t xml:space="preserve"> the Additional Standards manual,</w:t>
      </w:r>
      <w:r w:rsidR="007A156B">
        <w:t xml:space="preserve"> </w:t>
      </w:r>
      <w:r w:rsidR="00A46B0B">
        <w:t>provides</w:t>
      </w:r>
      <w:r w:rsidR="00E52D62">
        <w:t xml:space="preserve"> that</w:t>
      </w:r>
      <w:r w:rsidR="003F3CCC">
        <w:t xml:space="preserve"> </w:t>
      </w:r>
      <w:r w:rsidR="003F3CCC" w:rsidRPr="00846573" w:rsidDel="008E53FE">
        <w:t xml:space="preserve">a </w:t>
      </w:r>
      <w:r w:rsidR="003F3CCC">
        <w:t xml:space="preserve">natural gas </w:t>
      </w:r>
      <w:r w:rsidR="003F3CCC" w:rsidRPr="00846573" w:rsidDel="008E53FE">
        <w:t>transportation service provider</w:t>
      </w:r>
      <w:r w:rsidR="00E52D62">
        <w:t xml:space="preserve"> </w:t>
      </w:r>
      <w:r w:rsidR="000D0C16">
        <w:t xml:space="preserve">must </w:t>
      </w:r>
      <w:r w:rsidR="003F3CCC">
        <w:t>post</w:t>
      </w:r>
      <w:r w:rsidR="003F3CCC" w:rsidRPr="00846573" w:rsidDel="008E53FE">
        <w:t xml:space="preserve"> scheduled quantity information for </w:t>
      </w:r>
      <w:r w:rsidR="003F3CCC">
        <w:t xml:space="preserve">power plants </w:t>
      </w:r>
      <w:r w:rsidR="003F3CCC" w:rsidRPr="00846573" w:rsidDel="008E53FE">
        <w:t xml:space="preserve">directly connected </w:t>
      </w:r>
      <w:r w:rsidR="003F3CCC">
        <w:t>to the pipeline,</w:t>
      </w:r>
      <w:r w:rsidR="003F3CCC" w:rsidRPr="00846573" w:rsidDel="008E53FE">
        <w:t xml:space="preserve"> </w:t>
      </w:r>
      <w:r w:rsidR="003F3CCC" w:rsidRPr="00426E55" w:rsidDel="008E53FE">
        <w:t xml:space="preserve">as part of </w:t>
      </w:r>
      <w:r w:rsidR="001B7278">
        <w:t xml:space="preserve">       </w:t>
      </w:r>
      <w:r w:rsidR="003F3CCC" w:rsidRPr="00426E55" w:rsidDel="008E53FE">
        <w:t xml:space="preserve">the </w:t>
      </w:r>
      <w:r w:rsidR="003F3CCC" w:rsidRPr="00426E55">
        <w:t xml:space="preserve">newly established </w:t>
      </w:r>
      <w:r w:rsidR="003F3CCC" w:rsidRPr="00426E55" w:rsidDel="008E53FE">
        <w:t xml:space="preserve">Gas Electric Coordination </w:t>
      </w:r>
      <w:r w:rsidR="00D24630">
        <w:t xml:space="preserve">posting </w:t>
      </w:r>
      <w:r w:rsidR="003F3CCC" w:rsidRPr="00426E55" w:rsidDel="008E53FE">
        <w:t>category</w:t>
      </w:r>
      <w:r w:rsidR="003F3CCC" w:rsidRPr="00846573" w:rsidDel="008E53FE">
        <w:t>.</w:t>
      </w:r>
      <w:r w:rsidR="003F3CCC" w:rsidDel="008E53FE">
        <w:t xml:space="preserve">  </w:t>
      </w:r>
      <w:r w:rsidR="003F3CCC" w:rsidRPr="00846573" w:rsidDel="008E53FE">
        <w:t>WGQ Standard</w:t>
      </w:r>
      <w:r w:rsidR="001B7278">
        <w:t xml:space="preserve">      </w:t>
      </w:r>
      <w:r w:rsidR="003F3CCC" w:rsidRPr="00846573" w:rsidDel="008E53FE">
        <w:t xml:space="preserve"> No. </w:t>
      </w:r>
      <w:r w:rsidR="003F3CCC">
        <w:t>0</w:t>
      </w:r>
      <w:r w:rsidR="003F3CCC" w:rsidRPr="00846573" w:rsidDel="008E53FE">
        <w:t>.3.</w:t>
      </w:r>
      <w:r w:rsidR="003F3CCC">
        <w:t>30</w:t>
      </w:r>
      <w:r w:rsidR="003F3CCC" w:rsidDel="008E53FE">
        <w:t xml:space="preserve"> identifie</w:t>
      </w:r>
      <w:r w:rsidR="003F3CCC">
        <w:t>s</w:t>
      </w:r>
      <w:r w:rsidR="003F3CCC" w:rsidDel="008E53FE">
        <w:t xml:space="preserve"> examples of the data that could be </w:t>
      </w:r>
      <w:r w:rsidR="003F3CCC">
        <w:t>posted</w:t>
      </w:r>
      <w:r w:rsidR="003F3CCC" w:rsidDel="008E53FE">
        <w:t xml:space="preserve"> </w:t>
      </w:r>
      <w:r w:rsidR="003F3CCC">
        <w:t xml:space="preserve">in </w:t>
      </w:r>
      <w:r w:rsidR="007C480F">
        <w:t>a</w:t>
      </w:r>
      <w:r w:rsidR="003F3CCC">
        <w:t xml:space="preserve"> new </w:t>
      </w:r>
      <w:r w:rsidR="007C480F">
        <w:t xml:space="preserve">information posting </w:t>
      </w:r>
      <w:r w:rsidR="003F3CCC">
        <w:t>category</w:t>
      </w:r>
      <w:r w:rsidR="007C480F">
        <w:t>, “Gas Electric Coordination” (discussed below),</w:t>
      </w:r>
      <w:r w:rsidR="00655AFF">
        <w:t xml:space="preserve"> </w:t>
      </w:r>
      <w:r w:rsidR="003F3CCC" w:rsidDel="008E53FE">
        <w:t>includ</w:t>
      </w:r>
      <w:r w:rsidR="003F3CCC">
        <w:t>ing</w:t>
      </w:r>
      <w:r w:rsidR="003F3CCC" w:rsidDel="008E53FE">
        <w:t xml:space="preserve"> </w:t>
      </w:r>
      <w:r w:rsidR="001B7278">
        <w:t xml:space="preserve">             </w:t>
      </w:r>
      <w:r w:rsidR="003F3CCC" w:rsidRPr="00846573" w:rsidDel="008E53FE">
        <w:t>Cycle Indicator (Cycle)</w:t>
      </w:r>
      <w:r w:rsidR="00DC2FDD">
        <w:t>,</w:t>
      </w:r>
      <w:r w:rsidR="00093A8B">
        <w:rPr>
          <w:rStyle w:val="FootnoteReference"/>
        </w:rPr>
        <w:footnoteReference w:id="31"/>
      </w:r>
      <w:r w:rsidR="00DC2FDD">
        <w:t xml:space="preserve"> </w:t>
      </w:r>
      <w:r w:rsidR="00DC2FDD" w:rsidRPr="00846573" w:rsidDel="008E53FE">
        <w:t>Effective Gas Day</w:t>
      </w:r>
      <w:r w:rsidR="00DC2FDD">
        <w:t>,</w:t>
      </w:r>
      <w:r w:rsidR="007F78F0">
        <w:rPr>
          <w:rStyle w:val="FootnoteReference"/>
        </w:rPr>
        <w:footnoteReference w:id="32"/>
      </w:r>
      <w:r w:rsidR="007F78F0">
        <w:t xml:space="preserve"> </w:t>
      </w:r>
      <w:r w:rsidR="002C534D">
        <w:t>Effective Time,</w:t>
      </w:r>
      <w:r w:rsidR="00160593">
        <w:rPr>
          <w:rStyle w:val="FootnoteReference"/>
        </w:rPr>
        <w:footnoteReference w:id="33"/>
      </w:r>
      <w:r w:rsidR="00657786" w:rsidRPr="00657786">
        <w:t xml:space="preserve"> </w:t>
      </w:r>
      <w:r w:rsidR="00657786">
        <w:t>generator’s l</w:t>
      </w:r>
      <w:r w:rsidR="00657786" w:rsidRPr="00846573" w:rsidDel="008E53FE">
        <w:t>ocation</w:t>
      </w:r>
      <w:r w:rsidR="00657786">
        <w:t xml:space="preserve"> information,</w:t>
      </w:r>
      <w:r w:rsidR="002A68FD">
        <w:rPr>
          <w:rStyle w:val="FootnoteReference"/>
        </w:rPr>
        <w:footnoteReference w:id="34"/>
      </w:r>
      <w:r w:rsidR="00657786">
        <w:t xml:space="preserve"> </w:t>
      </w:r>
      <w:r w:rsidR="002D5A23">
        <w:t xml:space="preserve">measurement </w:t>
      </w:r>
      <w:r w:rsidR="006D7507">
        <w:t>basis,</w:t>
      </w:r>
      <w:r w:rsidR="00F56219">
        <w:rPr>
          <w:rStyle w:val="FootnoteReference"/>
        </w:rPr>
        <w:footnoteReference w:id="35"/>
      </w:r>
      <w:r w:rsidR="006D7507">
        <w:t xml:space="preserve"> </w:t>
      </w:r>
      <w:r w:rsidR="006D35F7">
        <w:t>posting date and time,</w:t>
      </w:r>
      <w:r w:rsidR="00DE5FB6">
        <w:rPr>
          <w:rStyle w:val="FootnoteReference"/>
        </w:rPr>
        <w:footnoteReference w:id="36"/>
      </w:r>
      <w:r w:rsidR="006D35F7">
        <w:t xml:space="preserve"> and scheduled </w:t>
      </w:r>
      <w:r w:rsidR="006C1B7E">
        <w:t>quantity</w:t>
      </w:r>
      <w:r w:rsidR="003320C5">
        <w:t xml:space="preserve"> associated with </w:t>
      </w:r>
      <w:r w:rsidR="00B42E73">
        <w:t>power p</w:t>
      </w:r>
      <w:r w:rsidR="000F650A">
        <w:t>l</w:t>
      </w:r>
      <w:r w:rsidR="00B42E73">
        <w:t>ants</w:t>
      </w:r>
      <w:r w:rsidR="00F766F7">
        <w:t xml:space="preserve"> that are</w:t>
      </w:r>
      <w:r w:rsidR="003651C0">
        <w:t xml:space="preserve"> directly connected to an </w:t>
      </w:r>
      <w:r w:rsidR="000C7CF1">
        <w:t>interstate pipeline</w:t>
      </w:r>
      <w:r w:rsidR="003320C5">
        <w:t>.</w:t>
      </w:r>
      <w:r w:rsidR="002A3916">
        <w:rPr>
          <w:rStyle w:val="FootnoteReference"/>
        </w:rPr>
        <w:footnoteReference w:id="37"/>
      </w:r>
    </w:p>
    <w:p w14:paraId="3C280E21" w14:textId="0698C7D0" w:rsidR="009F6CCF" w:rsidRPr="002715FE" w:rsidRDefault="009F6CCF" w:rsidP="00802B30">
      <w:pPr>
        <w:pStyle w:val="Heading3"/>
      </w:pPr>
      <w:bookmarkStart w:id="19" w:name="_bmk8"/>
      <w:r w:rsidRPr="002715FE">
        <w:t>W</w:t>
      </w:r>
      <w:bookmarkEnd w:id="19"/>
      <w:r w:rsidRPr="002715FE">
        <w:t xml:space="preserve">GQ Quadrant </w:t>
      </w:r>
      <w:r w:rsidRPr="002715FE" w:rsidDel="00FF78A3">
        <w:t>Electronic Delivery Mechanism</w:t>
      </w:r>
      <w:r w:rsidRPr="002715FE" w:rsidDel="00210A47">
        <w:t xml:space="preserve"> </w:t>
      </w:r>
      <w:r w:rsidRPr="002715FE">
        <w:t>Standards</w:t>
      </w:r>
    </w:p>
    <w:p w14:paraId="67B2E5A6" w14:textId="63669A37" w:rsidR="009F6CCF" w:rsidRPr="00846573" w:rsidRDefault="00A7412B" w:rsidP="009F6CCF">
      <w:pPr>
        <w:pStyle w:val="FERCparanumber"/>
      </w:pPr>
      <w:r>
        <w:t>R</w:t>
      </w:r>
      <w:r w:rsidR="009F6CCF">
        <w:t>evised existing</w:t>
      </w:r>
      <w:r w:rsidR="009F6CCF" w:rsidRPr="00846573">
        <w:t xml:space="preserve"> standard</w:t>
      </w:r>
      <w:r w:rsidR="009F6CCF">
        <w:t xml:space="preserve"> WGQ Standard No. 4.3.23 under the Quadrant Electronic Delivery Mechanism Standards manual</w:t>
      </w:r>
      <w:r w:rsidR="00840A08">
        <w:t xml:space="preserve"> </w:t>
      </w:r>
      <w:r w:rsidR="009F6CCF">
        <w:t>establish</w:t>
      </w:r>
      <w:r w:rsidR="00840A08">
        <w:t>es</w:t>
      </w:r>
      <w:r w:rsidR="009F6CCF" w:rsidRPr="00EA1751" w:rsidDel="00FF78A3">
        <w:t xml:space="preserve"> </w:t>
      </w:r>
      <w:r w:rsidR="00655AFF">
        <w:t>the</w:t>
      </w:r>
      <w:r w:rsidR="00655AFF" w:rsidRPr="00EA1751" w:rsidDel="00FF78A3">
        <w:t xml:space="preserve"> </w:t>
      </w:r>
      <w:r w:rsidR="009F6CCF" w:rsidRPr="00EA1751" w:rsidDel="00FF78A3">
        <w:t>new information posting category</w:t>
      </w:r>
      <w:r w:rsidR="009F6CCF">
        <w:t>,</w:t>
      </w:r>
      <w:r w:rsidR="009F6CCF" w:rsidRPr="00EA1751" w:rsidDel="00FF78A3">
        <w:t xml:space="preserve"> </w:t>
      </w:r>
      <w:r w:rsidR="007E127D">
        <w:t>“</w:t>
      </w:r>
      <w:r w:rsidR="009F6CCF" w:rsidRPr="00EA1751" w:rsidDel="00FF78A3">
        <w:t>Gas Electric Coordination</w:t>
      </w:r>
      <w:r w:rsidR="009F6CCF" w:rsidDel="00FF78A3">
        <w:t>,</w:t>
      </w:r>
      <w:r w:rsidR="007E127D">
        <w:t>”</w:t>
      </w:r>
      <w:r w:rsidR="009F6CCF" w:rsidDel="00FF78A3">
        <w:t xml:space="preserve"> </w:t>
      </w:r>
      <w:r w:rsidR="009F6CCF">
        <w:t xml:space="preserve">on </w:t>
      </w:r>
      <w:r w:rsidR="009F6CCF" w:rsidRPr="00EA1751" w:rsidDel="00FF78A3">
        <w:t>a transportation service provider</w:t>
      </w:r>
      <w:r w:rsidR="009F6CCF">
        <w:t xml:space="preserve">’s </w:t>
      </w:r>
      <w:r w:rsidR="009F6CCF" w:rsidRPr="00EA1751" w:rsidDel="00FF78A3">
        <w:t>Informational Postings Web</w:t>
      </w:r>
      <w:r w:rsidR="009F6CCF" w:rsidDel="00FF78A3">
        <w:t xml:space="preserve"> </w:t>
      </w:r>
      <w:r w:rsidR="009F6CCF" w:rsidRPr="00EA1751" w:rsidDel="00FF78A3">
        <w:t>site</w:t>
      </w:r>
      <w:r w:rsidR="009F6CCF">
        <w:t xml:space="preserve"> </w:t>
      </w:r>
      <w:r w:rsidR="009F6CCF" w:rsidRPr="00E77CD6" w:rsidDel="00FF78A3">
        <w:t xml:space="preserve">where a transportation service provider </w:t>
      </w:r>
      <w:r w:rsidR="003B28BB">
        <w:t xml:space="preserve">must </w:t>
      </w:r>
      <w:r w:rsidR="009F6CCF" w:rsidRPr="00E77CD6" w:rsidDel="00FF78A3">
        <w:t>post publicly</w:t>
      </w:r>
      <w:r w:rsidR="009F6CCF">
        <w:t xml:space="preserve"> available</w:t>
      </w:r>
      <w:r w:rsidR="009F6CCF" w:rsidRPr="00E77CD6" w:rsidDel="00FF78A3">
        <w:t xml:space="preserve"> data, including scheduled quantity information</w:t>
      </w:r>
      <w:r w:rsidR="009F6CCF">
        <w:t xml:space="preserve"> for </w:t>
      </w:r>
      <w:r w:rsidR="009F6CCF" w:rsidDel="00FF78A3">
        <w:t>RTOs/</w:t>
      </w:r>
      <w:r w:rsidR="009F6CCF" w:rsidRPr="00EA1751" w:rsidDel="00FF78A3">
        <w:t xml:space="preserve">ISOs and other parties </w:t>
      </w:r>
      <w:r w:rsidR="009F6CCF">
        <w:t>to access</w:t>
      </w:r>
      <w:r w:rsidR="009F6CCF" w:rsidRPr="00EA1751" w:rsidDel="00FF78A3">
        <w:t xml:space="preserve"> </w:t>
      </w:r>
      <w:r w:rsidR="00546BC2">
        <w:t>such</w:t>
      </w:r>
      <w:r w:rsidR="00546BC2" w:rsidRPr="00EA1751" w:rsidDel="00FF78A3">
        <w:t xml:space="preserve"> </w:t>
      </w:r>
      <w:r w:rsidR="009F6CCF" w:rsidRPr="00EA1751" w:rsidDel="00FF78A3">
        <w:t>data</w:t>
      </w:r>
      <w:r w:rsidR="009F6CCF">
        <w:t>.</w:t>
      </w:r>
    </w:p>
    <w:p w14:paraId="6C4133F3" w14:textId="3F198EF9" w:rsidR="003F3CCC" w:rsidRPr="00597F20" w:rsidRDefault="003F3CCC" w:rsidP="00224836">
      <w:pPr>
        <w:pStyle w:val="Heading3"/>
      </w:pPr>
      <w:bookmarkStart w:id="20" w:name="_bmk9"/>
      <w:r w:rsidRPr="00597F20">
        <w:t>W</w:t>
      </w:r>
      <w:bookmarkEnd w:id="20"/>
      <w:r w:rsidRPr="00597F20">
        <w:t xml:space="preserve">GQ </w:t>
      </w:r>
      <w:r w:rsidRPr="00597F20">
        <w:rPr>
          <w:rFonts w:eastAsiaTheme="minorHAnsi"/>
        </w:rPr>
        <w:t>Capacity Release Related Standards</w:t>
      </w:r>
    </w:p>
    <w:p w14:paraId="1C72DADB" w14:textId="13ABC979" w:rsidR="003F3CCC" w:rsidRDefault="00840A08" w:rsidP="003F3CCC">
      <w:pPr>
        <w:pStyle w:val="FERCparanumber"/>
      </w:pPr>
      <w:r>
        <w:t>N</w:t>
      </w:r>
      <w:r w:rsidR="003F3CCC" w:rsidRPr="00597F20">
        <w:t>ew standard, WGQ Standard No. 5.</w:t>
      </w:r>
      <w:r w:rsidR="003F3CCC">
        <w:t>3.</w:t>
      </w:r>
      <w:r w:rsidR="003F3CCC" w:rsidRPr="00597F20">
        <w:t>74</w:t>
      </w:r>
      <w:r w:rsidR="003F3CCC">
        <w:t xml:space="preserve"> under the Capacity Release Related Standards manual</w:t>
      </w:r>
      <w:r w:rsidR="008E23EA">
        <w:t xml:space="preserve"> provides that</w:t>
      </w:r>
      <w:r w:rsidR="003F3CCC" w:rsidRPr="00597F20">
        <w:t xml:space="preserve"> geographic information </w:t>
      </w:r>
      <w:r w:rsidR="002F2CCB">
        <w:t xml:space="preserve">must </w:t>
      </w:r>
      <w:r w:rsidR="00744FC6">
        <w:t xml:space="preserve">be included </w:t>
      </w:r>
      <w:r w:rsidR="003F3CCC" w:rsidRPr="00597F20">
        <w:t xml:space="preserve">when a </w:t>
      </w:r>
      <w:r w:rsidR="003F3CCC">
        <w:t xml:space="preserve">natural gas </w:t>
      </w:r>
      <w:r w:rsidR="003F3CCC" w:rsidRPr="00597F20">
        <w:t>transportation service provider issu</w:t>
      </w:r>
      <w:r w:rsidR="003F3CCC">
        <w:t>es</w:t>
      </w:r>
      <w:r w:rsidR="003F3CCC" w:rsidRPr="00597F20">
        <w:t xml:space="preserve"> a critical notice</w:t>
      </w:r>
      <w:r w:rsidR="003F3CCC">
        <w:t xml:space="preserve">, such as geographic information </w:t>
      </w:r>
      <w:r w:rsidR="003F3CCC" w:rsidRPr="00597F20" w:rsidDel="00CD4E90">
        <w:t>of</w:t>
      </w:r>
      <w:r w:rsidR="003F3CCC" w:rsidRPr="00597F20">
        <w:t xml:space="preserve"> impacted areas, locations, </w:t>
      </w:r>
      <w:r w:rsidR="003F3CCC">
        <w:t>and</w:t>
      </w:r>
      <w:r w:rsidR="003F3CCC" w:rsidRPr="00597F20">
        <w:t xml:space="preserve"> pipeline facilities.</w:t>
      </w:r>
      <w:r w:rsidR="003F3CCC">
        <w:rPr>
          <w:rStyle w:val="FootnoteReference"/>
        </w:rPr>
        <w:footnoteReference w:id="38"/>
      </w:r>
    </w:p>
    <w:p w14:paraId="438EA805" w14:textId="7734E0EB" w:rsidR="006A0EC0" w:rsidRPr="00551081" w:rsidRDefault="00E161A2" w:rsidP="00345CEE">
      <w:pPr>
        <w:pStyle w:val="Heading2"/>
      </w:pPr>
      <w:bookmarkStart w:id="21" w:name="_bmk10"/>
      <w:bookmarkStart w:id="22" w:name="_Toc173833728"/>
      <w:r>
        <w:t>C</w:t>
      </w:r>
      <w:bookmarkEnd w:id="21"/>
      <w:r>
        <w:t xml:space="preserve">ompliance and Implementation </w:t>
      </w:r>
      <w:r w:rsidR="00425292">
        <w:t>Dates</w:t>
      </w:r>
      <w:bookmarkEnd w:id="22"/>
    </w:p>
    <w:p w14:paraId="1AA9DB02" w14:textId="49E450E2" w:rsidR="00DB5AF2" w:rsidRDefault="001A7BAA" w:rsidP="006A0EC0">
      <w:pPr>
        <w:widowControl/>
        <w:numPr>
          <w:ilvl w:val="0"/>
          <w:numId w:val="11"/>
        </w:numPr>
        <w:spacing w:line="480" w:lineRule="auto"/>
      </w:pPr>
      <w:r>
        <w:t xml:space="preserve">Pipelines are required to make compliance filings incorporating the NAESB standards into their tariffs by </w:t>
      </w:r>
      <w:r w:rsidR="008A6F84">
        <w:t>September 1, 2026</w:t>
      </w:r>
      <w:r w:rsidR="00E161A2">
        <w:t>.</w:t>
      </w:r>
      <w:r w:rsidR="001C1367">
        <w:t xml:space="preserve">  </w:t>
      </w:r>
      <w:r w:rsidR="001C1367" w:rsidRPr="001C1367">
        <w:t>We are adopting this</w:t>
      </w:r>
      <w:r w:rsidR="00645C50">
        <w:t xml:space="preserve"> compliance filing </w:t>
      </w:r>
      <w:r w:rsidR="001C1367" w:rsidRPr="001C1367">
        <w:t>schedule to give interstate natural gas pipelines subject to these standards time to</w:t>
      </w:r>
      <w:r w:rsidR="00A941DF">
        <w:t xml:space="preserve"> </w:t>
      </w:r>
      <w:r w:rsidR="00371511">
        <w:t>prepare</w:t>
      </w:r>
      <w:r w:rsidR="00205EF4">
        <w:t xml:space="preserve"> </w:t>
      </w:r>
      <w:r w:rsidR="00A941DF">
        <w:t>compliance filings</w:t>
      </w:r>
      <w:r w:rsidR="001C1367" w:rsidRPr="001C1367">
        <w:t xml:space="preserve"> implement</w:t>
      </w:r>
      <w:r w:rsidR="00BE34B4">
        <w:t>ing</w:t>
      </w:r>
      <w:r w:rsidR="001C1367" w:rsidRPr="001C1367">
        <w:t xml:space="preserve"> these change</w:t>
      </w:r>
      <w:r w:rsidR="007929D1">
        <w:t>s.</w:t>
      </w:r>
    </w:p>
    <w:p w14:paraId="02B3E4F7" w14:textId="12DE844E" w:rsidR="00772C7E" w:rsidRDefault="000C2FFE" w:rsidP="00D553FC">
      <w:pPr>
        <w:widowControl/>
        <w:numPr>
          <w:ilvl w:val="0"/>
          <w:numId w:val="11"/>
        </w:numPr>
        <w:spacing w:line="480" w:lineRule="auto"/>
      </w:pPr>
      <w:r>
        <w:t xml:space="preserve">INGAA </w:t>
      </w:r>
      <w:r w:rsidR="00D553FC">
        <w:t>highlights</w:t>
      </w:r>
      <w:r w:rsidR="00D553FC" w:rsidRPr="00D553FC">
        <w:t xml:space="preserve"> the importance of implementing these modifications earlier in the winter heating period to enhance situational awareness when both the gas and electric systems have coincident peak requirements</w:t>
      </w:r>
      <w:r w:rsidR="00672575">
        <w:t>.</w:t>
      </w:r>
      <w:r w:rsidR="00104AEA">
        <w:rPr>
          <w:rStyle w:val="FootnoteReference"/>
        </w:rPr>
        <w:footnoteReference w:id="39"/>
      </w:r>
      <w:r w:rsidR="00812DF9">
        <w:t xml:space="preserve">  In addition, </w:t>
      </w:r>
      <w:r w:rsidR="00C00525">
        <w:t xml:space="preserve">INGAA suggests </w:t>
      </w:r>
      <w:r w:rsidR="004307CF">
        <w:t xml:space="preserve">that the Commission provide pipelines with flexibility </w:t>
      </w:r>
      <w:r w:rsidR="00331E8F">
        <w:t xml:space="preserve">to implement </w:t>
      </w:r>
      <w:r w:rsidR="003140D4">
        <w:t>the proposed rule earlier, if practical</w:t>
      </w:r>
      <w:r w:rsidR="000C55BC">
        <w:t>, at a time that minimizes disruptions.</w:t>
      </w:r>
      <w:r w:rsidR="00812DF9">
        <w:t xml:space="preserve">  Lastly, INGAA suggests that </w:t>
      </w:r>
      <w:r w:rsidR="00555F23">
        <w:t xml:space="preserve">the Commission require implementation </w:t>
      </w:r>
      <w:r w:rsidR="008D296B">
        <w:t xml:space="preserve">of this rule </w:t>
      </w:r>
      <w:r w:rsidR="00D12A06">
        <w:t>on the first gas day of the month.</w:t>
      </w:r>
    </w:p>
    <w:p w14:paraId="0C454229" w14:textId="0DB8C605" w:rsidR="006A0EC0" w:rsidRDefault="00CE6168" w:rsidP="006A0EC0">
      <w:pPr>
        <w:widowControl/>
        <w:numPr>
          <w:ilvl w:val="0"/>
          <w:numId w:val="11"/>
        </w:numPr>
        <w:spacing w:line="480" w:lineRule="auto"/>
      </w:pPr>
      <w:r>
        <w:t>W</w:t>
      </w:r>
      <w:r w:rsidR="00AE5F8A">
        <w:t xml:space="preserve">e are </w:t>
      </w:r>
      <w:r w:rsidR="00DD1096">
        <w:t xml:space="preserve">requiring implementation </w:t>
      </w:r>
      <w:r w:rsidR="000F3BB5">
        <w:t>by</w:t>
      </w:r>
      <w:r w:rsidR="005A2775">
        <w:t xml:space="preserve"> </w:t>
      </w:r>
      <w:r w:rsidR="00EB66D3">
        <w:t xml:space="preserve">January </w:t>
      </w:r>
      <w:r w:rsidR="005A2775">
        <w:t>1, 202</w:t>
      </w:r>
      <w:r w:rsidR="00EB66D3">
        <w:t>7</w:t>
      </w:r>
      <w:r w:rsidR="005E646C">
        <w:t>.</w:t>
      </w:r>
      <w:r w:rsidR="002A7D82">
        <w:t xml:space="preserve">  </w:t>
      </w:r>
      <w:r w:rsidR="00DD28A5" w:rsidRPr="00421FD7">
        <w:t xml:space="preserve">Consistent with INGAA’s suggestion that the Commission provide pipelines with flexibility to implement the proposed rule earlier in the winter heating period, </w:t>
      </w:r>
      <w:r w:rsidR="00DD28A5">
        <w:t xml:space="preserve">we confirm that </w:t>
      </w:r>
      <w:r w:rsidR="00DD28A5" w:rsidRPr="00421FD7">
        <w:rPr>
          <w:iCs/>
        </w:rPr>
        <w:t xml:space="preserve">interstate natural gas pipelines </w:t>
      </w:r>
      <w:r w:rsidR="00DD28A5">
        <w:rPr>
          <w:iCs/>
        </w:rPr>
        <w:t>can</w:t>
      </w:r>
      <w:r w:rsidR="00DD28A5" w:rsidRPr="00421FD7">
        <w:rPr>
          <w:iCs/>
        </w:rPr>
        <w:t xml:space="preserve"> voluntarily implement these NAESB standards at an earlier date.</w:t>
      </w:r>
      <w:r w:rsidR="00DD28A5">
        <w:rPr>
          <w:rStyle w:val="FootnoteReference"/>
        </w:rPr>
        <w:footnoteReference w:id="40"/>
      </w:r>
      <w:r w:rsidR="00DD28A5">
        <w:t xml:space="preserve">  </w:t>
      </w:r>
      <w:r>
        <w:t xml:space="preserve">While </w:t>
      </w:r>
      <w:r w:rsidR="00E10991">
        <w:t xml:space="preserve">the implementation date </w:t>
      </w:r>
      <w:r w:rsidR="00807673" w:rsidRPr="000F5D35" w:rsidDel="00DD28A5">
        <w:t xml:space="preserve">is </w:t>
      </w:r>
      <w:r w:rsidR="00772C7E" w:rsidRPr="000F5D35" w:rsidDel="00DD28A5">
        <w:t xml:space="preserve">relatively </w:t>
      </w:r>
      <w:r w:rsidR="00807673" w:rsidRPr="000F5D35" w:rsidDel="00DD28A5">
        <w:t>earl</w:t>
      </w:r>
      <w:r w:rsidR="0076336E" w:rsidRPr="000F5D35" w:rsidDel="00DD28A5">
        <w:t>y</w:t>
      </w:r>
      <w:r w:rsidR="00807673" w:rsidRPr="000F5D35" w:rsidDel="00DD28A5">
        <w:t xml:space="preserve"> in </w:t>
      </w:r>
      <w:r w:rsidR="00807673" w:rsidRPr="000F5D35">
        <w:t>th</w:t>
      </w:r>
      <w:r w:rsidR="00582A68" w:rsidRPr="000F5D35">
        <w:t>e winter heating</w:t>
      </w:r>
      <w:r w:rsidR="00807673" w:rsidRPr="000F5D35" w:rsidDel="00DD28A5">
        <w:t xml:space="preserve"> season</w:t>
      </w:r>
      <w:r w:rsidR="002563A1" w:rsidRPr="000F5D35">
        <w:t>,</w:t>
      </w:r>
      <w:r w:rsidR="0076336E" w:rsidRPr="000F5D35" w:rsidDel="00DD28A5">
        <w:t xml:space="preserve"> </w:t>
      </w:r>
      <w:r w:rsidR="002A636F">
        <w:t xml:space="preserve">we expect that </w:t>
      </w:r>
      <w:r w:rsidR="0076336E">
        <w:t xml:space="preserve">implementation should not be </w:t>
      </w:r>
      <w:r w:rsidR="00B03226">
        <w:t>particularly time</w:t>
      </w:r>
      <w:r w:rsidR="00081304">
        <w:t xml:space="preserve"> </w:t>
      </w:r>
      <w:r w:rsidR="00B03226">
        <w:t xml:space="preserve">consuming </w:t>
      </w:r>
      <w:r w:rsidR="00F84DD3">
        <w:t xml:space="preserve">or </w:t>
      </w:r>
      <w:r w:rsidR="00BE4F99">
        <w:t xml:space="preserve">disruptive </w:t>
      </w:r>
      <w:r w:rsidR="00F84DD3">
        <w:t>to the industry</w:t>
      </w:r>
      <w:r w:rsidR="001B7278">
        <w:t xml:space="preserve"> </w:t>
      </w:r>
      <w:r w:rsidR="0076336E">
        <w:t xml:space="preserve"> </w:t>
      </w:r>
      <w:r w:rsidR="00226B7A">
        <w:t>as t</w:t>
      </w:r>
      <w:r w:rsidR="000425C3">
        <w:t>he standards involve only the posting of information</w:t>
      </w:r>
      <w:r w:rsidR="000F176E">
        <w:t xml:space="preserve"> </w:t>
      </w:r>
      <w:r w:rsidR="00163ADA">
        <w:t xml:space="preserve">relating to </w:t>
      </w:r>
      <w:r w:rsidR="000F176E">
        <w:t>the natural gas and electric industries during extreme cold weather or emergency events</w:t>
      </w:r>
      <w:r w:rsidR="00825CB5">
        <w:t>.</w:t>
      </w:r>
    </w:p>
    <w:p w14:paraId="775F10CE" w14:textId="77777777" w:rsidR="006A0EC0" w:rsidRPr="00103A57" w:rsidRDefault="006A0EC0" w:rsidP="00345CEE">
      <w:pPr>
        <w:pStyle w:val="Heading2"/>
      </w:pPr>
      <w:bookmarkStart w:id="23" w:name="_bmk11"/>
      <w:bookmarkStart w:id="24" w:name="_Toc52890007"/>
      <w:bookmarkStart w:id="25" w:name="_Toc160607340"/>
      <w:bookmarkStart w:id="26" w:name="_Toc160724646"/>
      <w:bookmarkStart w:id="27" w:name="_Toc173833729"/>
      <w:r w:rsidRPr="00103A57">
        <w:t>I</w:t>
      </w:r>
      <w:bookmarkEnd w:id="23"/>
      <w:r w:rsidRPr="00103A57">
        <w:t>mplementation Procedures</w:t>
      </w:r>
      <w:bookmarkEnd w:id="24"/>
      <w:bookmarkEnd w:id="25"/>
      <w:bookmarkEnd w:id="26"/>
      <w:bookmarkEnd w:id="27"/>
    </w:p>
    <w:p w14:paraId="1514B9AE" w14:textId="02EB3E3A" w:rsidR="006A0EC0" w:rsidRPr="006A0EC0" w:rsidRDefault="006A0EC0" w:rsidP="006A0EC0">
      <w:pPr>
        <w:widowControl/>
        <w:numPr>
          <w:ilvl w:val="0"/>
          <w:numId w:val="11"/>
        </w:numPr>
        <w:spacing w:line="480" w:lineRule="auto"/>
      </w:pPr>
      <w:r w:rsidRPr="006A0EC0">
        <w:t>We will</w:t>
      </w:r>
      <w:r w:rsidRPr="006A0EC0" w:rsidDel="63002BF7">
        <w:t xml:space="preserve"> </w:t>
      </w:r>
      <w:r w:rsidRPr="006A0EC0">
        <w:t>continue the compliance filing requirements as revised and prescribed in Order No. 587-V to increase the transparency of the interstate natural gas pipelines’ incorporation by reference of the NAESB WGQ Standards so that shippers and the Commission will know which tariff provision(s) implements each standard as well as the status of each standard.</w:t>
      </w:r>
      <w:r w:rsidRPr="006A0EC0">
        <w:rPr>
          <w:b/>
          <w:bCs/>
          <w:vertAlign w:val="superscript"/>
        </w:rPr>
        <w:footnoteReference w:id="41"/>
      </w:r>
    </w:p>
    <w:p w14:paraId="57241204" w14:textId="77777777" w:rsidR="006A0EC0" w:rsidRPr="006A0EC0" w:rsidRDefault="006A0EC0" w:rsidP="006A0EC0">
      <w:pPr>
        <w:widowControl/>
        <w:numPr>
          <w:ilvl w:val="0"/>
          <w:numId w:val="11"/>
        </w:numPr>
        <w:spacing w:line="480" w:lineRule="auto"/>
      </w:pPr>
      <w:r w:rsidRPr="006A0EC0">
        <w:t>Consistent with the Commission’s practice since Order No. 587-V, each interstate natural gas pipeline must designate a single tariff section under which every NAESB WGQ Standard incorporated by reference by the Commission is listed.</w:t>
      </w:r>
      <w:r w:rsidRPr="006A0EC0">
        <w:rPr>
          <w:b/>
          <w:bCs/>
          <w:vertAlign w:val="superscript"/>
        </w:rPr>
        <w:footnoteReference w:id="42"/>
      </w:r>
      <w:r w:rsidRPr="006A0EC0">
        <w:t xml:space="preserve">  In that tariff section, the pipeline must list for each standard:</w:t>
      </w:r>
    </w:p>
    <w:p w14:paraId="1DD3FA13" w14:textId="77777777" w:rsidR="006A0EC0" w:rsidRPr="006A0EC0" w:rsidRDefault="006A0EC0" w:rsidP="006A0EC0">
      <w:pPr>
        <w:widowControl/>
        <w:numPr>
          <w:ilvl w:val="0"/>
          <w:numId w:val="24"/>
        </w:numPr>
        <w:spacing w:line="480" w:lineRule="auto"/>
      </w:pPr>
      <w:r w:rsidRPr="006A0EC0">
        <w:t>whether the standard is incorporated by reference;</w:t>
      </w:r>
    </w:p>
    <w:p w14:paraId="682D5D7A" w14:textId="77777777" w:rsidR="006A0EC0" w:rsidRPr="006A0EC0" w:rsidRDefault="006A0EC0" w:rsidP="006A0EC0">
      <w:pPr>
        <w:widowControl/>
        <w:numPr>
          <w:ilvl w:val="0"/>
          <w:numId w:val="24"/>
        </w:numPr>
        <w:spacing w:line="480" w:lineRule="auto"/>
      </w:pPr>
      <w:r w:rsidRPr="006A0EC0">
        <w:t>for those standards not incorporated by reference, the tariff provision that complies with the standard; or</w:t>
      </w:r>
    </w:p>
    <w:p w14:paraId="2F680277" w14:textId="77777777" w:rsidR="006A0EC0" w:rsidRPr="006A0EC0" w:rsidRDefault="006A0EC0" w:rsidP="006A0EC0">
      <w:pPr>
        <w:widowControl/>
        <w:numPr>
          <w:ilvl w:val="0"/>
          <w:numId w:val="24"/>
        </w:numPr>
        <w:spacing w:line="480" w:lineRule="auto"/>
      </w:pPr>
      <w:r w:rsidRPr="006A0EC0">
        <w:t>for those standards with which the pipeline does not comply, an explanatory statement, including an indication of whether the pipeline has been granted a waiver, extension of time, or other variance with respect to compliance with the standard.</w:t>
      </w:r>
      <w:r w:rsidRPr="006A0EC0">
        <w:rPr>
          <w:b/>
          <w:bCs/>
          <w:vertAlign w:val="superscript"/>
        </w:rPr>
        <w:footnoteReference w:id="43"/>
      </w:r>
    </w:p>
    <w:p w14:paraId="7F2B190F" w14:textId="55B713E0" w:rsidR="006A0EC0" w:rsidRPr="006A0EC0" w:rsidRDefault="006A0EC0" w:rsidP="000A5C89">
      <w:pPr>
        <w:widowControl/>
        <w:numPr>
          <w:ilvl w:val="0"/>
          <w:numId w:val="11"/>
        </w:numPr>
        <w:tabs>
          <w:tab w:val="clear" w:pos="720"/>
        </w:tabs>
        <w:spacing w:line="480" w:lineRule="auto"/>
      </w:pPr>
      <w:r w:rsidRPr="006A0EC0">
        <w:t>Likewise, consistent with past practice, we will post on our eLibrary website (under Docket No. RM96-1-04</w:t>
      </w:r>
      <w:r w:rsidR="00595594">
        <w:t>4</w:t>
      </w:r>
      <w:r w:rsidRPr="006A0EC0">
        <w:t>) a sample tariff format, to provide filers with an illustrative example to aid them in preparing their compliance filings.</w:t>
      </w:r>
      <w:r w:rsidR="000A5C89">
        <w:t xml:space="preserve">  Also, c</w:t>
      </w:r>
      <w:r w:rsidRPr="006A0EC0">
        <w:t>onsistent with our policy since Order No. 587-V,</w:t>
      </w:r>
      <w:r w:rsidRPr="006A0EC0">
        <w:rPr>
          <w:b/>
          <w:bCs/>
          <w:vertAlign w:val="superscript"/>
        </w:rPr>
        <w:footnoteReference w:id="44"/>
      </w:r>
      <w:r w:rsidRPr="006A0EC0">
        <w:t xml:space="preserve"> entities may request waivers under the requirements set forth in Order No. 587-V and the Commission will evaluate those requests at that time.</w:t>
      </w:r>
      <w:r w:rsidRPr="006A0EC0">
        <w:rPr>
          <w:b/>
          <w:bCs/>
          <w:vertAlign w:val="superscript"/>
        </w:rPr>
        <w:footnoteReference w:id="45"/>
      </w:r>
    </w:p>
    <w:p w14:paraId="336D4A76" w14:textId="29266EA2" w:rsidR="006A0EC0" w:rsidRPr="006A0EC0" w:rsidRDefault="006A0EC0" w:rsidP="006A0EC0">
      <w:pPr>
        <w:widowControl/>
        <w:numPr>
          <w:ilvl w:val="0"/>
          <w:numId w:val="11"/>
        </w:numPr>
        <w:tabs>
          <w:tab w:val="clear" w:pos="720"/>
        </w:tabs>
        <w:spacing w:line="480" w:lineRule="auto"/>
      </w:pPr>
      <w:r w:rsidRPr="006A0EC0">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t>
      </w:r>
      <w:r w:rsidR="00551CAC" w:rsidRPr="006A0EC0">
        <w:t>regarding</w:t>
      </w:r>
      <w:r w:rsidR="007779D9">
        <w:t xml:space="preserve"> a revision to the </w:t>
      </w:r>
      <w:r w:rsidR="008B550E">
        <w:t>three sets of standards in the currently incorporated version of the standards.</w:t>
      </w:r>
    </w:p>
    <w:p w14:paraId="7462E995" w14:textId="53931856" w:rsidR="006A0EC0" w:rsidRPr="00597F20" w:rsidRDefault="006A0EC0" w:rsidP="00103A57">
      <w:pPr>
        <w:widowControl/>
        <w:numPr>
          <w:ilvl w:val="0"/>
          <w:numId w:val="11"/>
        </w:numPr>
        <w:spacing w:line="480" w:lineRule="auto"/>
      </w:pPr>
      <w:r w:rsidRPr="006A0EC0">
        <w:t>This approach</w:t>
      </w:r>
      <w:r w:rsidR="00C54EFD">
        <w:t xml:space="preserve"> to</w:t>
      </w:r>
      <w:r w:rsidRPr="006A0EC0">
        <w:t xml:space="preserve"> </w:t>
      </w:r>
      <w:r w:rsidR="00C54EFD" w:rsidRPr="006A0EC0">
        <w:t xml:space="preserve">implementation </w:t>
      </w:r>
      <w:r w:rsidRPr="006A0EC0">
        <w:t>continues the Commission’s practice of having pipelines include in their tariffs a common location that identifies the way in which the pipeline is incorporating all the NAESB WGQ Standards and the standards with which it is required to comply.</w:t>
      </w:r>
    </w:p>
    <w:p w14:paraId="1EEBDC9A" w14:textId="435525F5" w:rsidR="00631E8F" w:rsidRPr="004C0E20" w:rsidRDefault="00BB69E7" w:rsidP="00345CEE">
      <w:pPr>
        <w:pStyle w:val="Heading1"/>
      </w:pPr>
      <w:bookmarkStart w:id="28" w:name="_bmk12"/>
      <w:r w:rsidRPr="00FD5E9C">
        <w:t>A</w:t>
      </w:r>
      <w:bookmarkEnd w:id="28"/>
      <w:r w:rsidRPr="00FD5E9C">
        <w:t>dditional Areas for Gas-Electric Coordination</w:t>
      </w:r>
    </w:p>
    <w:p w14:paraId="0FA3573C" w14:textId="4056F3B1" w:rsidR="009878A6" w:rsidRDefault="0057779B">
      <w:pPr>
        <w:pStyle w:val="FERCparanumber"/>
      </w:pPr>
      <w:r>
        <w:t xml:space="preserve">Commenters also provided </w:t>
      </w:r>
      <w:r w:rsidR="00A9191F">
        <w:t>suggestions for further action to promote gas-electric coordination</w:t>
      </w:r>
      <w:r w:rsidRPr="0057779B">
        <w:t xml:space="preserve"> beyond revisions to the three sets of standards</w:t>
      </w:r>
      <w:r w:rsidR="00A9191F">
        <w:t>.</w:t>
      </w:r>
      <w:r w:rsidR="00E469F2">
        <w:rPr>
          <w:rStyle w:val="FootnoteReference"/>
        </w:rPr>
        <w:footnoteReference w:id="46"/>
      </w:r>
      <w:r w:rsidR="00464E06">
        <w:t xml:space="preserve">  </w:t>
      </w:r>
      <w:r w:rsidR="009878A6" w:rsidRPr="007D66E8">
        <w:t>ISO/RTO Council encourages the Commission to support</w:t>
      </w:r>
      <w:r w:rsidR="005E5A49">
        <w:t xml:space="preserve"> </w:t>
      </w:r>
      <w:r w:rsidR="009878A6" w:rsidRPr="007D66E8">
        <w:t>proposed rules or practices that can enhance reliability of electric and gas transmission and distribution systems.</w:t>
      </w:r>
      <w:r w:rsidR="009878A6" w:rsidRPr="007D66E8">
        <w:rPr>
          <w:b/>
          <w:vertAlign w:val="superscript"/>
        </w:rPr>
        <w:footnoteReference w:id="47"/>
      </w:r>
      <w:r w:rsidR="009878A6" w:rsidRPr="007D66E8">
        <w:t xml:space="preserve">  </w:t>
      </w:r>
      <w:r w:rsidR="006D060A">
        <w:t xml:space="preserve">Further, </w:t>
      </w:r>
      <w:r w:rsidR="009878A6" w:rsidRPr="007D66E8">
        <w:t>ISO/RTO Council</w:t>
      </w:r>
      <w:r w:rsidR="006D060A">
        <w:t xml:space="preserve"> </w:t>
      </w:r>
      <w:r w:rsidR="009878A6" w:rsidRPr="007D66E8">
        <w:t>suggests that the Commission could expand dialogues with ISO</w:t>
      </w:r>
      <w:r w:rsidR="009878A6">
        <w:t>s</w:t>
      </w:r>
      <w:r w:rsidR="009878A6" w:rsidRPr="007D66E8">
        <w:t xml:space="preserve">/RTOs and national gas industry associations to include other entities involved in </w:t>
      </w:r>
      <w:r w:rsidR="006B3A6E">
        <w:t xml:space="preserve">the </w:t>
      </w:r>
      <w:r w:rsidR="009878A6" w:rsidRPr="007D66E8">
        <w:t xml:space="preserve">natural gas supply </w:t>
      </w:r>
      <w:r w:rsidR="006B3A6E">
        <w:t xml:space="preserve">chain </w:t>
      </w:r>
      <w:r w:rsidR="009878A6" w:rsidRPr="007D66E8">
        <w:t>to better assess how to improve situational awareness and understand constraints that may affect reliability of the electricity and gas transmission systems.</w:t>
      </w:r>
      <w:r w:rsidR="009878A6" w:rsidRPr="007D66E8">
        <w:rPr>
          <w:b/>
          <w:vertAlign w:val="superscript"/>
        </w:rPr>
        <w:footnoteReference w:id="48"/>
      </w:r>
    </w:p>
    <w:p w14:paraId="1718135A" w14:textId="14FFBD29" w:rsidR="009878A6" w:rsidRPr="007D66E8" w:rsidRDefault="009878A6" w:rsidP="00DB52A7">
      <w:pPr>
        <w:pStyle w:val="FERCparanumber"/>
      </w:pPr>
      <w:r>
        <w:t>CRF</w:t>
      </w:r>
      <w:r w:rsidRPr="007D66E8">
        <w:t xml:space="preserve"> </w:t>
      </w:r>
      <w:r w:rsidR="00DE3E87">
        <w:t>suggests</w:t>
      </w:r>
      <w:r w:rsidR="002F39FF">
        <w:t xml:space="preserve"> early engagement </w:t>
      </w:r>
      <w:r w:rsidR="00FD672A">
        <w:t xml:space="preserve">on gas-electric coordination </w:t>
      </w:r>
      <w:r w:rsidR="00431095">
        <w:t>to</w:t>
      </w:r>
      <w:r w:rsidR="007A092F">
        <w:t xml:space="preserve"> allow the Commission, </w:t>
      </w:r>
      <w:r w:rsidR="002F4E14">
        <w:t>NAESB, and industry participants to</w:t>
      </w:r>
      <w:r w:rsidR="00431095">
        <w:t xml:space="preserve"> consider whether existing coordination frameworks sufficiently capture real-world system behavior</w:t>
      </w:r>
      <w:r w:rsidR="00512EC4">
        <w:t xml:space="preserve"> during emergencies</w:t>
      </w:r>
      <w:r w:rsidR="00431095">
        <w:t>.</w:t>
      </w:r>
      <w:r w:rsidR="00E768BC">
        <w:rPr>
          <w:rStyle w:val="FootnoteReference"/>
        </w:rPr>
        <w:footnoteReference w:id="49"/>
      </w:r>
      <w:r w:rsidRPr="007D66E8">
        <w:t xml:space="preserve">  Both AGA and the Utility Coalition request that the Commission establish</w:t>
      </w:r>
      <w:r w:rsidR="009D7048">
        <w:t xml:space="preserve"> </w:t>
      </w:r>
      <w:r w:rsidRPr="007D66E8">
        <w:t>a proceeding dedicated to pipeline reliability issues.</w:t>
      </w:r>
      <w:r w:rsidRPr="007D66E8">
        <w:rPr>
          <w:b/>
          <w:vertAlign w:val="superscript"/>
        </w:rPr>
        <w:footnoteReference w:id="50"/>
      </w:r>
      <w:r w:rsidRPr="007D66E8">
        <w:t xml:space="preserve">  The Utility Coalition</w:t>
      </w:r>
      <w:r w:rsidR="00317B16">
        <w:t xml:space="preserve"> requests that the Commission issue </w:t>
      </w:r>
      <w:r w:rsidRPr="007D66E8">
        <w:t xml:space="preserve">a notice of inquiry (NOI) to seek input from industry </w:t>
      </w:r>
      <w:r w:rsidR="00DB5BAB">
        <w:t>stake</w:t>
      </w:r>
      <w:r w:rsidRPr="007D66E8">
        <w:t>holders and examine additional measures</w:t>
      </w:r>
      <w:r w:rsidR="0090472F">
        <w:t xml:space="preserve"> </w:t>
      </w:r>
      <w:r w:rsidR="00EF0EA4">
        <w:t>the Commission could take</w:t>
      </w:r>
      <w:r w:rsidR="00A3647F">
        <w:t xml:space="preserve"> </w:t>
      </w:r>
      <w:r w:rsidRPr="007D66E8">
        <w:t>to preserve and further incentivize reliable deliveries of natural gas via the interstate pipeline network</w:t>
      </w:r>
      <w:r w:rsidR="00A3647F">
        <w:t xml:space="preserve">.  </w:t>
      </w:r>
      <w:r w:rsidR="00291BDA">
        <w:t xml:space="preserve">The Utility </w:t>
      </w:r>
      <w:r w:rsidR="00981505">
        <w:t xml:space="preserve">Coalition </w:t>
      </w:r>
      <w:r w:rsidR="00291BDA">
        <w:t xml:space="preserve">further states that an NOI </w:t>
      </w:r>
      <w:r w:rsidR="002D0E8D">
        <w:t xml:space="preserve">could </w:t>
      </w:r>
      <w:r w:rsidR="005928AA">
        <w:t>aid in the collection of necessary</w:t>
      </w:r>
      <w:r w:rsidR="003B6297">
        <w:t xml:space="preserve"> information to provide clear guidance to NAESB</w:t>
      </w:r>
      <w:r w:rsidR="00ED3931">
        <w:t xml:space="preserve"> in the development or modification of business </w:t>
      </w:r>
      <w:r w:rsidR="008A18E5">
        <w:t>practice standards.</w:t>
      </w:r>
      <w:r w:rsidR="008A18E5">
        <w:rPr>
          <w:rStyle w:val="FootnoteReference"/>
        </w:rPr>
        <w:footnoteReference w:id="51"/>
      </w:r>
      <w:r w:rsidR="004F73BB">
        <w:t xml:space="preserve">  </w:t>
      </w:r>
      <w:r w:rsidR="008F7132">
        <w:t xml:space="preserve">Specifically, </w:t>
      </w:r>
      <w:r w:rsidR="007D779E">
        <w:t xml:space="preserve">the </w:t>
      </w:r>
      <w:r w:rsidR="00A53545">
        <w:t>U</w:t>
      </w:r>
      <w:r w:rsidR="005E7B63" w:rsidRPr="005E7B63">
        <w:t xml:space="preserve">tility </w:t>
      </w:r>
      <w:r w:rsidR="00A53545">
        <w:t>C</w:t>
      </w:r>
      <w:r w:rsidR="005E7B63" w:rsidRPr="005E7B63">
        <w:t>oalition</w:t>
      </w:r>
      <w:r w:rsidR="004F73BB">
        <w:t xml:space="preserve"> </w:t>
      </w:r>
      <w:r w:rsidR="0024306B">
        <w:t xml:space="preserve">notes </w:t>
      </w:r>
      <w:r w:rsidR="004F73BB">
        <w:t>that</w:t>
      </w:r>
      <w:r w:rsidR="005E7B63" w:rsidRPr="005E7B63">
        <w:t xml:space="preserve"> NAESB in its 2026 </w:t>
      </w:r>
      <w:r w:rsidR="00674CF6">
        <w:t>W</w:t>
      </w:r>
      <w:r w:rsidR="00C57811">
        <w:t>GQ</w:t>
      </w:r>
      <w:r w:rsidR="005E7B63" w:rsidRPr="005E7B63">
        <w:t xml:space="preserve"> </w:t>
      </w:r>
      <w:r w:rsidR="00674CF6">
        <w:t>A</w:t>
      </w:r>
      <w:r w:rsidR="005E7B63" w:rsidRPr="005E7B63">
        <w:t xml:space="preserve">nnual </w:t>
      </w:r>
      <w:r w:rsidR="00674CF6">
        <w:t>P</w:t>
      </w:r>
      <w:r w:rsidR="005E7B63" w:rsidRPr="005E7B63">
        <w:t>lan</w:t>
      </w:r>
      <w:r w:rsidR="001D449D">
        <w:t xml:space="preserve"> o</w:t>
      </w:r>
      <w:r w:rsidR="005E7B63" w:rsidRPr="002F2B7C">
        <w:t>ffer</w:t>
      </w:r>
      <w:r w:rsidR="001D449D">
        <w:t>ed</w:t>
      </w:r>
      <w:r w:rsidR="005E7B63" w:rsidRPr="002F2B7C">
        <w:t xml:space="preserve"> to consider developing and</w:t>
      </w:r>
      <w:r w:rsidR="000872C9">
        <w:t>/</w:t>
      </w:r>
      <w:r w:rsidR="005E7B63" w:rsidRPr="002F2B7C">
        <w:t>or modifying business practice standards that reflect best practices that will provide stronger operating reliability from production/supply/transport</w:t>
      </w:r>
      <w:r w:rsidR="008370BD">
        <w:t xml:space="preserve">, for </w:t>
      </w:r>
      <w:r w:rsidR="00BC4716">
        <w:t xml:space="preserve">example, </w:t>
      </w:r>
      <w:r w:rsidR="008C5364">
        <w:t>d</w:t>
      </w:r>
      <w:r w:rsidR="00BC4716" w:rsidRPr="001B70EA">
        <w:t>uring extreme weather conditions, and more clear communication and business processes around force majeure declarations during critical operating periods.</w:t>
      </w:r>
      <w:r w:rsidR="008C5364">
        <w:rPr>
          <w:rStyle w:val="FootnoteReference"/>
        </w:rPr>
        <w:footnoteReference w:id="52"/>
      </w:r>
      <w:r w:rsidR="009D2868">
        <w:t xml:space="preserve">  The Utility Coalition </w:t>
      </w:r>
      <w:r w:rsidR="00B233C5">
        <w:t xml:space="preserve">also </w:t>
      </w:r>
      <w:r w:rsidR="00543D2F">
        <w:t>encourag</w:t>
      </w:r>
      <w:r w:rsidR="009D2868">
        <w:t>es</w:t>
      </w:r>
      <w:r w:rsidR="00543D2F">
        <w:t xml:space="preserve"> the</w:t>
      </w:r>
      <w:r w:rsidR="00B45494">
        <w:t xml:space="preserve"> Commission to consider </w:t>
      </w:r>
      <w:r w:rsidR="00543D2F">
        <w:t>greater standardization of pipeline scheduling and confirmation practices.</w:t>
      </w:r>
      <w:r w:rsidR="00543D2F">
        <w:rPr>
          <w:rStyle w:val="FootnoteReference"/>
        </w:rPr>
        <w:footnoteReference w:id="53"/>
      </w:r>
      <w:r w:rsidR="00301420">
        <w:t xml:space="preserve"> </w:t>
      </w:r>
      <w:r w:rsidR="00584681">
        <w:t xml:space="preserve"> </w:t>
      </w:r>
      <w:r w:rsidR="00DB52A7" w:rsidRPr="00DB52A7">
        <w:t>The Utility Coalition also avers that the Commission could require pipelines to consider whether facilities targeted for replacement or abandonment may still offer reliability benefits to customers as redundant facilities.</w:t>
      </w:r>
      <w:r w:rsidR="00DB52A7" w:rsidRPr="00DB52A7">
        <w:rPr>
          <w:b/>
          <w:vertAlign w:val="superscript"/>
        </w:rPr>
        <w:footnoteReference w:id="54"/>
      </w:r>
    </w:p>
    <w:p w14:paraId="47374B20" w14:textId="2EA2D872" w:rsidR="008313C7" w:rsidRPr="007D66E8" w:rsidRDefault="00BE344A" w:rsidP="00583D00">
      <w:pPr>
        <w:pStyle w:val="FERCparanumber"/>
      </w:pPr>
      <w:r>
        <w:t>A</w:t>
      </w:r>
      <w:r w:rsidR="008C4E74">
        <w:t xml:space="preserve">dditional areas </w:t>
      </w:r>
      <w:r w:rsidR="005E2979">
        <w:t xml:space="preserve">identified by </w:t>
      </w:r>
      <w:r w:rsidR="00207C17">
        <w:t xml:space="preserve">commenters </w:t>
      </w:r>
      <w:r w:rsidR="008C4E74">
        <w:t xml:space="preserve">for </w:t>
      </w:r>
      <w:r w:rsidR="008313C7" w:rsidRPr="007D66E8">
        <w:t xml:space="preserve">gas-electric coordination </w:t>
      </w:r>
      <w:r w:rsidR="003A0E03">
        <w:t xml:space="preserve">beyond the </w:t>
      </w:r>
      <w:r w:rsidR="004E5A52">
        <w:t>NAESB</w:t>
      </w:r>
      <w:r w:rsidR="00CB4E9C">
        <w:t xml:space="preserve"> WGQ</w:t>
      </w:r>
      <w:r w:rsidR="004E5A52">
        <w:t xml:space="preserve"> </w:t>
      </w:r>
      <w:r w:rsidR="003A0E03">
        <w:t>standards</w:t>
      </w:r>
      <w:r w:rsidR="004E5A52">
        <w:t xml:space="preserve"> includ</w:t>
      </w:r>
      <w:r w:rsidR="00DB279E">
        <w:t>e</w:t>
      </w:r>
      <w:r w:rsidR="004276AE">
        <w:t>:</w:t>
      </w:r>
      <w:r w:rsidR="00B77350">
        <w:t xml:space="preserve"> </w:t>
      </w:r>
      <w:r w:rsidR="004E5A52">
        <w:t xml:space="preserve"> </w:t>
      </w:r>
      <w:r w:rsidR="00A155D4">
        <w:t>revis</w:t>
      </w:r>
      <w:r w:rsidR="008A7165">
        <w:t>it</w:t>
      </w:r>
      <w:r w:rsidR="00A155D4">
        <w:t>ing the policy for</w:t>
      </w:r>
      <w:r w:rsidR="00665C9A">
        <w:t xml:space="preserve"> force majeure</w:t>
      </w:r>
      <w:r w:rsidR="00A17D65">
        <w:t xml:space="preserve"> (particularly during critical operating periods)</w:t>
      </w:r>
      <w:r w:rsidR="00310F26" w:rsidRPr="00310F26">
        <w:t xml:space="preserve"> </w:t>
      </w:r>
      <w:r w:rsidR="00D75CEE">
        <w:t xml:space="preserve">including updating </w:t>
      </w:r>
      <w:r w:rsidR="000F3F94">
        <w:t xml:space="preserve">the </w:t>
      </w:r>
      <w:r w:rsidR="00310F26" w:rsidRPr="00310F26">
        <w:t>NAESB Base Contract for Sale and Purchase of Natural Gas to enhance transparency regarding the conditions under which parties may invoke force majeure and providing guidance to improve force majeure definitions/provisions and reservation charge crediting.</w:t>
      </w:r>
      <w:r w:rsidR="00DC38A5">
        <w:rPr>
          <w:rStyle w:val="FootnoteReference"/>
        </w:rPr>
        <w:footnoteReference w:id="55"/>
      </w:r>
      <w:r w:rsidR="0067381A">
        <w:t xml:space="preserve"> </w:t>
      </w:r>
      <w:r w:rsidR="00D92D39">
        <w:t xml:space="preserve"> </w:t>
      </w:r>
      <w:r w:rsidR="00B61301">
        <w:t xml:space="preserve">Commenters also suggest </w:t>
      </w:r>
      <w:r w:rsidR="0028453E">
        <w:t xml:space="preserve">standardization of </w:t>
      </w:r>
      <w:r w:rsidR="00F14AAD">
        <w:t>pipeline reliability metrics and reporting requirements</w:t>
      </w:r>
      <w:r w:rsidR="000B429A">
        <w:t>;</w:t>
      </w:r>
      <w:r w:rsidR="000975C0">
        <w:rPr>
          <w:rStyle w:val="FootnoteReference"/>
        </w:rPr>
        <w:footnoteReference w:id="56"/>
      </w:r>
      <w:r w:rsidR="00351EDC">
        <w:t xml:space="preserve"> </w:t>
      </w:r>
      <w:r w:rsidR="009F0247">
        <w:t>support</w:t>
      </w:r>
      <w:r w:rsidR="00D65430">
        <w:t xml:space="preserve"> for natural gas storage infrastructure</w:t>
      </w:r>
      <w:r w:rsidR="000B429A">
        <w:t>;</w:t>
      </w:r>
      <w:r w:rsidR="00A86D5A">
        <w:rPr>
          <w:rStyle w:val="FootnoteReference"/>
        </w:rPr>
        <w:footnoteReference w:id="57"/>
      </w:r>
      <w:r w:rsidR="003E4B4A">
        <w:t xml:space="preserve"> </w:t>
      </w:r>
      <w:r w:rsidR="007157A8">
        <w:t xml:space="preserve">encouraging </w:t>
      </w:r>
      <w:r w:rsidR="007A38A0">
        <w:t>state commissions</w:t>
      </w:r>
      <w:r w:rsidR="00182541">
        <w:t xml:space="preserve"> to issue incentives to develop demand response programs</w:t>
      </w:r>
      <w:r w:rsidR="00F93B9E">
        <w:t xml:space="preserve"> and Advanced Metering Infrastructure</w:t>
      </w:r>
      <w:r w:rsidR="000B429A">
        <w:t>;</w:t>
      </w:r>
      <w:r w:rsidR="00F93B9E">
        <w:rPr>
          <w:rStyle w:val="FootnoteReference"/>
        </w:rPr>
        <w:footnoteReference w:id="58"/>
      </w:r>
      <w:r w:rsidR="00543D2F">
        <w:t xml:space="preserve"> and</w:t>
      </w:r>
      <w:r w:rsidR="0059098B">
        <w:t xml:space="preserve"> </w:t>
      </w:r>
      <w:r w:rsidR="00583381">
        <w:t>weatherization requirements</w:t>
      </w:r>
      <w:r w:rsidR="00543D2F">
        <w:t>.</w:t>
      </w:r>
      <w:r w:rsidR="00CA5385">
        <w:rPr>
          <w:rStyle w:val="FootnoteReference"/>
        </w:rPr>
        <w:footnoteReference w:id="59"/>
      </w:r>
      <w:r w:rsidR="00543D2F" w:rsidDel="00543D2F">
        <w:rPr>
          <w:rStyle w:val="FootnoteReference"/>
        </w:rPr>
        <w:t xml:space="preserve"> </w:t>
      </w:r>
    </w:p>
    <w:p w14:paraId="278001BC" w14:textId="06B11B1A" w:rsidR="00AB7A3C" w:rsidRDefault="00D3120E" w:rsidP="00345CEE">
      <w:pPr>
        <w:pStyle w:val="FERCparanumber"/>
      </w:pPr>
      <w:r w:rsidRPr="00D3120E">
        <w:t xml:space="preserve">We find that these comments are outside the scope of this proceeding because they do not address the merits of the revised NAESB </w:t>
      </w:r>
      <w:r w:rsidR="008A43E6">
        <w:t>WGQ</w:t>
      </w:r>
      <w:r w:rsidRPr="00D3120E">
        <w:t xml:space="preserve"> standards that are the subject </w:t>
      </w:r>
      <w:r w:rsidR="001B7278">
        <w:t xml:space="preserve">       </w:t>
      </w:r>
      <w:r w:rsidRPr="00D3120E">
        <w:t xml:space="preserve">of the NOPR.  </w:t>
      </w:r>
      <w:r w:rsidR="001E7075">
        <w:t xml:space="preserve">Nonetheless, </w:t>
      </w:r>
      <w:r w:rsidR="009504B1">
        <w:t xml:space="preserve">the </w:t>
      </w:r>
      <w:r w:rsidR="005D2568">
        <w:t xml:space="preserve">Commission </w:t>
      </w:r>
      <w:r w:rsidR="00C556E5">
        <w:t xml:space="preserve">will continue to </w:t>
      </w:r>
      <w:r w:rsidR="00FF3392">
        <w:t xml:space="preserve">consider standards for </w:t>
      </w:r>
      <w:r w:rsidR="001B7278">
        <w:t xml:space="preserve">   </w:t>
      </w:r>
      <w:r w:rsidR="00FF3392">
        <w:t xml:space="preserve">gas-electric coordination approved by NAESB </w:t>
      </w:r>
      <w:r w:rsidR="005E0FCF">
        <w:t xml:space="preserve">through </w:t>
      </w:r>
      <w:r w:rsidR="007D1017">
        <w:t>its consensus-based</w:t>
      </w:r>
      <w:r w:rsidR="00FF3392">
        <w:t xml:space="preserve"> process as </w:t>
      </w:r>
      <w:r w:rsidR="005E0FCF">
        <w:t>NAESB and other stakeholders continue their dialogue on gas-electric coordination.</w:t>
      </w:r>
    </w:p>
    <w:p w14:paraId="71A4FFC6" w14:textId="16E0FC99" w:rsidR="003F3CCC" w:rsidRPr="00A82D79" w:rsidRDefault="003F3CCC" w:rsidP="00345CEE">
      <w:pPr>
        <w:pStyle w:val="Heading1"/>
      </w:pPr>
      <w:bookmarkStart w:id="29" w:name="_bmk13"/>
      <w:r w:rsidRPr="00A82D79">
        <w:t>U</w:t>
      </w:r>
      <w:bookmarkEnd w:id="29"/>
      <w:r w:rsidRPr="00A82D79">
        <w:t>se of Voluntary Consensus Standards</w:t>
      </w:r>
    </w:p>
    <w:p w14:paraId="77280C32" w14:textId="3F009A0E" w:rsidR="00E56FBE" w:rsidRDefault="00A300E2" w:rsidP="003F3CCC">
      <w:pPr>
        <w:pStyle w:val="FERCparanumber"/>
      </w:pPr>
      <w:r w:rsidRPr="00A300E2">
        <w:t>Office of Management and Budget Circular A-119 (section 11) (Feb. 10, 1998) provides that</w:t>
      </w:r>
      <w:r w:rsidR="00103174">
        <w:t>,</w:t>
      </w:r>
      <w:r w:rsidRPr="00A300E2">
        <w:t xml:space="preserve"> when a federal agency issues or revises a regulation containing a standard, the agency should publish a statement in the </w:t>
      </w:r>
      <w:r w:rsidR="003A3A58" w:rsidRPr="00A300E2">
        <w:t>final rule</w:t>
      </w:r>
      <w:r w:rsidRPr="00A300E2">
        <w:t xml:space="preserve"> stating whether the adopted standard is a voluntary consensus standard or a government-unique standard. </w:t>
      </w:r>
      <w:r w:rsidR="00A11CB7">
        <w:t xml:space="preserve"> </w:t>
      </w:r>
      <w:r w:rsidRPr="00A300E2">
        <w:t>In this rulemaking, the Commission is incorporating by reference</w:t>
      </w:r>
      <w:r>
        <w:t xml:space="preserve"> </w:t>
      </w:r>
      <w:r w:rsidR="003F3CCC">
        <w:t>a new WGQ</w:t>
      </w:r>
      <w:r w:rsidR="001249FD">
        <w:t xml:space="preserve"> </w:t>
      </w:r>
      <w:r w:rsidR="003F3CCC">
        <w:t>Additional Business Practice Standard No. 0.3.30, a revised WGQ</w:t>
      </w:r>
      <w:r w:rsidR="008E1754">
        <w:t xml:space="preserve"> </w:t>
      </w:r>
      <w:r w:rsidR="003F3CCC">
        <w:t>Quadrant Electronic Delivery Mechanism Related Business Practice Standard No. 4.3.23, and a new WGQ</w:t>
      </w:r>
      <w:r w:rsidR="008E1754">
        <w:t xml:space="preserve"> </w:t>
      </w:r>
      <w:r w:rsidR="003F3CCC">
        <w:t xml:space="preserve">Capacity Release Related Business Practice Standard No. 5.3.74, which are </w:t>
      </w:r>
      <w:r w:rsidR="003F3CCC" w:rsidRPr="007344AF">
        <w:t xml:space="preserve">voluntary consensus standards developed by the </w:t>
      </w:r>
      <w:r w:rsidR="008D0869">
        <w:t xml:space="preserve">NAESB </w:t>
      </w:r>
      <w:r w:rsidR="003F3CCC" w:rsidRPr="007344AF">
        <w:t>WGQ</w:t>
      </w:r>
      <w:r w:rsidR="003F3CCC" w:rsidRPr="00120071">
        <w:t>.</w:t>
      </w:r>
    </w:p>
    <w:p w14:paraId="566912F6" w14:textId="77777777" w:rsidR="00A05583" w:rsidRPr="00C735A7" w:rsidRDefault="00A05583" w:rsidP="00345CEE">
      <w:pPr>
        <w:pStyle w:val="Heading1"/>
      </w:pPr>
      <w:bookmarkStart w:id="30" w:name="_bmk14"/>
      <w:r w:rsidRPr="00C735A7">
        <w:t>I</w:t>
      </w:r>
      <w:bookmarkEnd w:id="30"/>
      <w:r w:rsidRPr="00C735A7">
        <w:t xml:space="preserve">ncorporation </w:t>
      </w:r>
      <w:r>
        <w:t>b</w:t>
      </w:r>
      <w:r w:rsidRPr="00C735A7">
        <w:t>y Reference</w:t>
      </w:r>
    </w:p>
    <w:p w14:paraId="6FA75F94" w14:textId="65DEA5D0" w:rsidR="00E46BDA" w:rsidRDefault="00A300E2" w:rsidP="00345CEE">
      <w:pPr>
        <w:pStyle w:val="FERCparanumber"/>
      </w:pPr>
      <w:r w:rsidRPr="00C735A7">
        <w:t>The Office of the Federal Register requires agencies incorporating material by reference in final rules to discuss, in the preamble of the final rule, the ways that the materials it incorporates by reference are reasonably available to interested parties and how interested parties can obtain the materials.</w:t>
      </w:r>
      <w:r w:rsidRPr="00C52020">
        <w:rPr>
          <w:rStyle w:val="FootnoteReference"/>
        </w:rPr>
        <w:footnoteReference w:id="60"/>
      </w:r>
      <w:r w:rsidRPr="00C735A7">
        <w:t xml:space="preserve">  The regulations also require agencies</w:t>
      </w:r>
      <w:r w:rsidR="001B7278">
        <w:t xml:space="preserve"> </w:t>
      </w:r>
      <w:r w:rsidRPr="00C735A7">
        <w:t xml:space="preserve"> to summarize, in the preamble of the final rule, the material it incorporates by reference.  </w:t>
      </w:r>
      <w:r w:rsidR="006A0EC0" w:rsidRPr="001F4EFE">
        <w:t>The</w:t>
      </w:r>
      <w:r w:rsidR="00A00F7F">
        <w:t xml:space="preserve"> revisions to the three sets of standards </w:t>
      </w:r>
      <w:r w:rsidR="006A0EC0" w:rsidRPr="001F4EFE">
        <w:t>we are incorporat</w:t>
      </w:r>
      <w:r w:rsidR="00A11CB7">
        <w:t>ing</w:t>
      </w:r>
      <w:r w:rsidR="006A0EC0" w:rsidRPr="001F4EFE">
        <w:t xml:space="preserve"> by reference</w:t>
      </w:r>
      <w:r w:rsidR="00617134">
        <w:t xml:space="preserve"> </w:t>
      </w:r>
      <w:r w:rsidR="006A0EC0" w:rsidRPr="001F4EFE">
        <w:t xml:space="preserve">are designed to </w:t>
      </w:r>
      <w:r w:rsidR="00264630">
        <w:t xml:space="preserve">streamline the process for accessing publicly available gas-electric coordination data during extreme cold weather or emergency events and </w:t>
      </w:r>
      <w:r w:rsidR="00264630" w:rsidRPr="00232BCC">
        <w:rPr>
          <w:snapToGrid w:val="0"/>
          <w:color w:val="000000"/>
        </w:rPr>
        <w:t>improve communication among natural gas and electricity market participants to enhance situational awareness</w:t>
      </w:r>
      <w:r w:rsidR="00264630" w:rsidRPr="00232BCC" w:rsidDel="00B75D41">
        <w:rPr>
          <w:snapToGrid w:val="0"/>
          <w:color w:val="000000"/>
        </w:rPr>
        <w:t xml:space="preserve"> </w:t>
      </w:r>
      <w:r w:rsidR="00264630" w:rsidRPr="00232BCC">
        <w:rPr>
          <w:snapToGrid w:val="0"/>
          <w:color w:val="000000"/>
        </w:rPr>
        <w:t>during extreme cold weather events</w:t>
      </w:r>
      <w:r w:rsidR="006A0EC0" w:rsidRPr="001F4EFE">
        <w:t xml:space="preserve">.  The </w:t>
      </w:r>
      <w:r w:rsidR="006A0EC0">
        <w:t>applicable</w:t>
      </w:r>
      <w:r w:rsidR="00A11CB7">
        <w:t xml:space="preserve"> standards are included in </w:t>
      </w:r>
      <w:bookmarkStart w:id="31" w:name="_Hlk150273578"/>
      <w:r w:rsidR="006A0EC0" w:rsidRPr="001F4EFE">
        <w:t>WGQ Additional Business Practice Standard</w:t>
      </w:r>
      <w:r w:rsidR="00B1220E">
        <w:t>s</w:t>
      </w:r>
      <w:r w:rsidR="006A0EC0">
        <w:t>, WGQ Quadrant Electronic Delivery Mechanism Related Business Practice Standard</w:t>
      </w:r>
      <w:r w:rsidR="00B1220E">
        <w:t>s</w:t>
      </w:r>
      <w:r w:rsidR="006A0EC0">
        <w:t xml:space="preserve">, </w:t>
      </w:r>
      <w:r w:rsidR="006A0EC0" w:rsidRPr="001F4EFE">
        <w:t xml:space="preserve">and </w:t>
      </w:r>
      <w:r w:rsidR="006A0EC0">
        <w:t xml:space="preserve">WGQ </w:t>
      </w:r>
      <w:r w:rsidR="006A0EC0" w:rsidRPr="001F4EFE">
        <w:t>Capacity Release Related Business Practice Standard</w:t>
      </w:r>
      <w:bookmarkEnd w:id="31"/>
      <w:r w:rsidR="00B1220E">
        <w:t>s</w:t>
      </w:r>
      <w:r w:rsidR="006A0EC0" w:rsidRPr="001F4EFE">
        <w:t xml:space="preserve">. </w:t>
      </w:r>
      <w:r w:rsidR="00D11FD6">
        <w:t>We are also incorporating</w:t>
      </w:r>
      <w:r w:rsidR="00D11FD6" w:rsidRPr="00D11FD6">
        <w:t xml:space="preserve"> </w:t>
      </w:r>
      <w:r w:rsidR="00D11FD6">
        <w:t xml:space="preserve">an updated version of </w:t>
      </w:r>
      <w:r w:rsidR="00D11FD6" w:rsidRPr="00D11FD6">
        <w:t>WGQ Invoicing Related Standards</w:t>
      </w:r>
      <w:r w:rsidR="003440BB" w:rsidRPr="003440BB">
        <w:t xml:space="preserve"> </w:t>
      </w:r>
      <w:r w:rsidR="003440BB" w:rsidRPr="00C23C0F">
        <w:t>that includes the Minor Correction incorporated by reference in Order No. 587-AA</w:t>
      </w:r>
      <w:r w:rsidR="00087696">
        <w:t xml:space="preserve">. </w:t>
      </w:r>
      <w:r w:rsidR="003440BB" w:rsidRPr="001F4EFE">
        <w:t xml:space="preserve"> </w:t>
      </w:r>
      <w:r w:rsidR="006A0EC0" w:rsidRPr="001F4EFE">
        <w:t xml:space="preserve">We summarize these </w:t>
      </w:r>
      <w:r w:rsidR="006A0EC0">
        <w:t xml:space="preserve">sets of </w:t>
      </w:r>
      <w:r w:rsidR="006A0EC0" w:rsidRPr="001F4EFE">
        <w:t>standards below</w:t>
      </w:r>
      <w:r w:rsidR="006A0EC0">
        <w:t>.</w:t>
      </w:r>
    </w:p>
    <w:p w14:paraId="53404A8B" w14:textId="6EDBF31F" w:rsidR="00E46BDA" w:rsidRPr="004557FF" w:rsidRDefault="00D141FF" w:rsidP="00752187">
      <w:pPr>
        <w:pStyle w:val="FERCparanumber"/>
      </w:pPr>
      <w:r w:rsidRPr="00E46BDA">
        <w:rPr>
          <w:b/>
          <w:u w:val="single"/>
        </w:rPr>
        <w:t>WGQ Additional Standards, Version 4.0, September 29, 2023, (including</w:t>
      </w:r>
      <w:r w:rsidR="00F91C08" w:rsidRPr="00E46BDA">
        <w:rPr>
          <w:b/>
          <w:u w:val="single"/>
        </w:rPr>
        <w:t xml:space="preserve"> Addition of WGQ </w:t>
      </w:r>
      <w:r w:rsidRPr="00E46BDA">
        <w:rPr>
          <w:b/>
          <w:u w:val="single"/>
        </w:rPr>
        <w:t>Standard No. 0.3.30, November 25, 2024)</w:t>
      </w:r>
      <w:r w:rsidR="006A0EC0" w:rsidRPr="00E46BDA">
        <w:rPr>
          <w:b/>
        </w:rPr>
        <w:t xml:space="preserve"> </w:t>
      </w:r>
      <w:r w:rsidR="006A0EC0" w:rsidRPr="004557FF">
        <w:t>address</w:t>
      </w:r>
      <w:r w:rsidR="004C27EB">
        <w:t>es</w:t>
      </w:r>
      <w:r w:rsidR="006A0EC0">
        <w:t xml:space="preserve"> standards</w:t>
      </w:r>
      <w:r w:rsidR="001B7278">
        <w:t xml:space="preserve"> </w:t>
      </w:r>
      <w:r w:rsidR="006A0EC0">
        <w:t>that are in addition to the five distinct areas of business activities – Nominations,</w:t>
      </w:r>
      <w:r w:rsidR="001B7278">
        <w:t xml:space="preserve"> </w:t>
      </w:r>
      <w:r w:rsidR="006A0EC0">
        <w:t xml:space="preserve">Flowing Gas, Invoicing, Electronic Delivery Mechanism, and Capacity Release. </w:t>
      </w:r>
      <w:r w:rsidR="006A0EC0" w:rsidRPr="004557FF">
        <w:t xml:space="preserve"> </w:t>
      </w:r>
      <w:r w:rsidR="006A0EC0">
        <w:t xml:space="preserve">The </w:t>
      </w:r>
      <w:r w:rsidR="006A0EC0" w:rsidRPr="004557FF">
        <w:t xml:space="preserve">six </w:t>
      </w:r>
      <w:r w:rsidR="006A0EC0">
        <w:t>categories within the WGQ Additional Standards are</w:t>
      </w:r>
      <w:r w:rsidR="006A0EC0" w:rsidRPr="004557FF">
        <w:t>:</w:t>
      </w:r>
      <w:r w:rsidR="00A73340">
        <w:t xml:space="preserve"> </w:t>
      </w:r>
      <w:r w:rsidR="006A0EC0" w:rsidRPr="004557FF">
        <w:t xml:space="preserve"> </w:t>
      </w:r>
      <w:r w:rsidR="006A0EC0">
        <w:t xml:space="preserve">(1) General; (2) </w:t>
      </w:r>
      <w:r w:rsidR="006A0EC0" w:rsidRPr="004557FF">
        <w:t>Creditworthiness;</w:t>
      </w:r>
      <w:r w:rsidR="006A0EC0">
        <w:t xml:space="preserve"> (3)</w:t>
      </w:r>
      <w:r w:rsidR="00E15284">
        <w:t> </w:t>
      </w:r>
      <w:r w:rsidR="006A0EC0" w:rsidRPr="004557FF">
        <w:t xml:space="preserve">Gas/Electric Operational Communications; </w:t>
      </w:r>
      <w:r w:rsidR="006A0EC0">
        <w:t xml:space="preserve">(4) </w:t>
      </w:r>
      <w:r w:rsidR="006A0EC0" w:rsidRPr="004557FF">
        <w:t>Operati</w:t>
      </w:r>
      <w:r w:rsidR="006A0EC0">
        <w:t xml:space="preserve">ng </w:t>
      </w:r>
      <w:r w:rsidR="006A0EC0" w:rsidRPr="004557FF">
        <w:t>Capacit</w:t>
      </w:r>
      <w:r w:rsidR="006A0EC0">
        <w:t xml:space="preserve">y and </w:t>
      </w:r>
      <w:r w:rsidR="006A0EC0" w:rsidRPr="004557FF">
        <w:t xml:space="preserve">Unsubscribed Capacity; </w:t>
      </w:r>
      <w:r w:rsidR="006A0EC0">
        <w:t xml:space="preserve">(5) </w:t>
      </w:r>
      <w:r w:rsidR="006A0EC0" w:rsidRPr="004557FF">
        <w:t>Location Data Download</w:t>
      </w:r>
      <w:r w:rsidR="006A0EC0">
        <w:t>; and (6) Storage Information</w:t>
      </w:r>
      <w:r w:rsidR="006A0EC0" w:rsidRPr="004557FF">
        <w:t>.</w:t>
      </w:r>
      <w:r w:rsidR="004213EC" w:rsidRPr="004213EC">
        <w:t xml:space="preserve"> </w:t>
      </w:r>
      <w:r w:rsidR="004213EC">
        <w:t xml:space="preserve"> WGQ Standard </w:t>
      </w:r>
      <w:r w:rsidR="001B7278">
        <w:t xml:space="preserve"> </w:t>
      </w:r>
      <w:r w:rsidR="004213EC">
        <w:t xml:space="preserve">No. 0.3.30 provides </w:t>
      </w:r>
      <w:r w:rsidR="007A6D9D" w:rsidRPr="007A6D9D">
        <w:t>that a natural gas transportation service provider must post scheduled quantity information for power plants directly connected to the pipeline, as part of the newly established Gas Electric Coordination posting category</w:t>
      </w:r>
      <w:r w:rsidR="007A6D9D">
        <w:t>.</w:t>
      </w:r>
    </w:p>
    <w:p w14:paraId="3BFF1C61" w14:textId="596BC828" w:rsidR="0044237F" w:rsidRPr="00846573" w:rsidRDefault="00800CC0" w:rsidP="0044237F">
      <w:pPr>
        <w:pStyle w:val="FERCparanumber"/>
      </w:pPr>
      <w:r w:rsidRPr="00800CC0">
        <w:rPr>
          <w:b/>
          <w:u w:val="single"/>
        </w:rPr>
        <w:t>WGQ Quadrant Electronic Delivery Mechanism Related Standards, Version 4.0, September 29, 2023, (including Revision to Standard No. 4.3.23, November 25, 2024)</w:t>
      </w:r>
      <w:r w:rsidR="008C31E8" w:rsidRPr="00E33F4A">
        <w:rPr>
          <w:b/>
        </w:rPr>
        <w:t xml:space="preserve"> </w:t>
      </w:r>
      <w:r w:rsidR="006A0EC0" w:rsidRPr="00724D4E">
        <w:t>define</w:t>
      </w:r>
      <w:r w:rsidR="008C31E8">
        <w:t>s</w:t>
      </w:r>
      <w:r w:rsidR="006A0EC0" w:rsidRPr="00724D4E">
        <w:t xml:space="preserv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bookmarkStart w:id="32" w:name="_Hlk230070326"/>
      <w:r w:rsidR="00F4168B">
        <w:t xml:space="preserve">  </w:t>
      </w:r>
      <w:r w:rsidR="00701B4D" w:rsidRPr="00701B4D">
        <w:t>WGQ Standard No. 4.3.23</w:t>
      </w:r>
      <w:r w:rsidR="0044237F" w:rsidRPr="0044237F">
        <w:t xml:space="preserve"> </w:t>
      </w:r>
      <w:r w:rsidR="0044237F">
        <w:t>establishes</w:t>
      </w:r>
      <w:r w:rsidR="0044237F" w:rsidRPr="00EA1751" w:rsidDel="00FF78A3">
        <w:t xml:space="preserve"> </w:t>
      </w:r>
      <w:r w:rsidR="0044237F">
        <w:t>the</w:t>
      </w:r>
      <w:r w:rsidR="0044237F" w:rsidRPr="00EA1751" w:rsidDel="00FF78A3">
        <w:t xml:space="preserve"> new information posting category</w:t>
      </w:r>
      <w:r w:rsidR="0044237F">
        <w:t>,</w:t>
      </w:r>
      <w:r w:rsidR="0044237F" w:rsidRPr="00EA1751" w:rsidDel="00FF78A3">
        <w:t xml:space="preserve"> </w:t>
      </w:r>
      <w:r w:rsidR="0044237F">
        <w:t>“</w:t>
      </w:r>
      <w:r w:rsidR="0044237F" w:rsidRPr="00EA1751" w:rsidDel="00FF78A3">
        <w:t>Gas Electric Coordination</w:t>
      </w:r>
      <w:r w:rsidR="0044237F" w:rsidDel="00FF78A3">
        <w:t>,</w:t>
      </w:r>
      <w:r w:rsidR="0044237F">
        <w:t>”</w:t>
      </w:r>
      <w:r w:rsidR="0044237F" w:rsidDel="00FF78A3">
        <w:t xml:space="preserve"> </w:t>
      </w:r>
      <w:r w:rsidR="0044237F">
        <w:t xml:space="preserve">on </w:t>
      </w:r>
      <w:r w:rsidR="0044237F" w:rsidRPr="00EA1751" w:rsidDel="00FF78A3">
        <w:t>a transportation service provider</w:t>
      </w:r>
      <w:r w:rsidR="0044237F">
        <w:t xml:space="preserve">’s </w:t>
      </w:r>
      <w:r w:rsidR="0044237F" w:rsidRPr="00EA1751" w:rsidDel="00FF78A3">
        <w:t>Informational Postings Web</w:t>
      </w:r>
      <w:r w:rsidR="0044237F" w:rsidDel="00FF78A3">
        <w:t xml:space="preserve"> </w:t>
      </w:r>
      <w:r w:rsidR="0044237F" w:rsidRPr="00EA1751" w:rsidDel="00FF78A3">
        <w:t>site</w:t>
      </w:r>
      <w:r w:rsidR="0044237F">
        <w:t xml:space="preserve"> </w:t>
      </w:r>
      <w:r w:rsidR="0044237F" w:rsidRPr="00E77CD6" w:rsidDel="00FF78A3">
        <w:t xml:space="preserve">where a transportation service provider </w:t>
      </w:r>
      <w:r w:rsidR="0044237F">
        <w:t xml:space="preserve">must </w:t>
      </w:r>
      <w:r w:rsidR="0044237F" w:rsidRPr="00E77CD6" w:rsidDel="00FF78A3">
        <w:t>post publicly</w:t>
      </w:r>
      <w:r w:rsidR="0044237F">
        <w:t xml:space="preserve"> available</w:t>
      </w:r>
      <w:r w:rsidR="0044237F" w:rsidRPr="00E77CD6" w:rsidDel="00FF78A3">
        <w:t xml:space="preserve"> data, including scheduled quantity information</w:t>
      </w:r>
      <w:r w:rsidR="0044237F">
        <w:t xml:space="preserve"> for </w:t>
      </w:r>
      <w:r w:rsidR="0044237F" w:rsidDel="00FF78A3">
        <w:t>RTOs/</w:t>
      </w:r>
      <w:r w:rsidR="0044237F" w:rsidRPr="00EA1751" w:rsidDel="00FF78A3">
        <w:t xml:space="preserve">ISOs and other parties </w:t>
      </w:r>
      <w:r w:rsidR="0044237F">
        <w:t>to access</w:t>
      </w:r>
      <w:r w:rsidR="0044237F" w:rsidRPr="00EA1751" w:rsidDel="00FF78A3">
        <w:t xml:space="preserve"> </w:t>
      </w:r>
      <w:r w:rsidR="0044237F">
        <w:t>such</w:t>
      </w:r>
      <w:r w:rsidR="0044237F" w:rsidRPr="00EA1751" w:rsidDel="00FF78A3">
        <w:t xml:space="preserve"> data</w:t>
      </w:r>
      <w:r w:rsidR="0044237F">
        <w:t>.</w:t>
      </w:r>
    </w:p>
    <w:p w14:paraId="2CA72400" w14:textId="4C303FB8" w:rsidR="00F4168B" w:rsidRDefault="00071A34" w:rsidP="00752187">
      <w:pPr>
        <w:pStyle w:val="FERCparanumber"/>
      </w:pPr>
      <w:r w:rsidRPr="00752187">
        <w:rPr>
          <w:b/>
          <w:bCs/>
          <w:u w:val="single"/>
        </w:rPr>
        <w:t>WGQ Capacity Release Related Standards, Version 4.0, September 29, 2023, (including Addition of WGQ Standard No. 5.3.74, November 25, 2024)</w:t>
      </w:r>
      <w:r w:rsidR="006A0EC0" w:rsidRPr="00DD7765">
        <w:t xml:space="preserve"> </w:t>
      </w:r>
      <w:bookmarkEnd w:id="32"/>
      <w:r w:rsidR="006A0EC0" w:rsidRPr="00932257">
        <w:t>define</w:t>
      </w:r>
      <w:r w:rsidR="00AD7FFB">
        <w:t>s</w:t>
      </w:r>
      <w:r w:rsidR="006A0EC0" w:rsidRPr="00932257">
        <w:t xml:space="preserve"> the business processes for communication of information related to the selling of all or any portion of a </w:t>
      </w:r>
      <w:r w:rsidR="006A0EC0">
        <w:t>transportation</w:t>
      </w:r>
      <w:r w:rsidR="006A0EC0" w:rsidRPr="00932257">
        <w:t xml:space="preserve"> service requester’s contract rights.</w:t>
      </w:r>
      <w:r w:rsidR="00F4168B">
        <w:t xml:space="preserve">  </w:t>
      </w:r>
      <w:r w:rsidR="00AA344D" w:rsidRPr="00752187">
        <w:rPr>
          <w:bCs/>
        </w:rPr>
        <w:t>WGQ Standard No. 5.3.74</w:t>
      </w:r>
      <w:r w:rsidR="00435433">
        <w:t xml:space="preserve"> </w:t>
      </w:r>
      <w:r w:rsidR="009668F1">
        <w:t>provides that</w:t>
      </w:r>
      <w:r w:rsidR="009668F1" w:rsidRPr="00597F20">
        <w:t xml:space="preserve"> geographic information </w:t>
      </w:r>
      <w:r w:rsidR="009668F1">
        <w:t xml:space="preserve">must be included </w:t>
      </w:r>
      <w:r w:rsidR="009668F1" w:rsidRPr="00597F20">
        <w:t xml:space="preserve">when a </w:t>
      </w:r>
      <w:r w:rsidR="009668F1">
        <w:t xml:space="preserve">natural gas </w:t>
      </w:r>
      <w:r w:rsidR="009668F1" w:rsidRPr="00597F20">
        <w:t>transportation service provider issu</w:t>
      </w:r>
      <w:r w:rsidR="009668F1">
        <w:t>es</w:t>
      </w:r>
      <w:r w:rsidR="009668F1" w:rsidRPr="00597F20">
        <w:t xml:space="preserve"> a critical notice</w:t>
      </w:r>
      <w:r w:rsidR="009668F1">
        <w:t xml:space="preserve">, such as geographic information </w:t>
      </w:r>
      <w:r w:rsidR="009668F1" w:rsidRPr="00597F20" w:rsidDel="00CD4E90">
        <w:t>of</w:t>
      </w:r>
      <w:r w:rsidR="009668F1" w:rsidRPr="00597F20">
        <w:t xml:space="preserve"> impacted areas, locations, </w:t>
      </w:r>
      <w:r w:rsidR="009668F1">
        <w:t>and</w:t>
      </w:r>
      <w:r w:rsidR="009668F1" w:rsidRPr="00597F20">
        <w:t xml:space="preserve"> pipeline facilities</w:t>
      </w:r>
      <w:r w:rsidR="001315C7">
        <w:t>.</w:t>
      </w:r>
    </w:p>
    <w:p w14:paraId="2DEF49DA" w14:textId="38565A5E" w:rsidR="006A0EC0" w:rsidRPr="00EA39E2" w:rsidRDefault="00071A34" w:rsidP="006A0EC0">
      <w:pPr>
        <w:pStyle w:val="FERCparanumber"/>
        <w:tabs>
          <w:tab w:val="clear" w:pos="720"/>
        </w:tabs>
        <w:rPr>
          <w:rStyle w:val="Hyperlink"/>
          <w:i/>
          <w:iCs/>
          <w:color w:val="000000" w:themeColor="text1"/>
          <w:u w:val="none"/>
        </w:rPr>
      </w:pPr>
      <w:r w:rsidRPr="00752187">
        <w:rPr>
          <w:b/>
          <w:bCs/>
          <w:u w:val="single"/>
        </w:rPr>
        <w:t>WGQ Invoicing Related Standards, Version 4.0, September 29, 2023, (including Minor Correction MC24002 applied May 17, 2024)</w:t>
      </w:r>
      <w:r w:rsidR="001E581C" w:rsidRPr="001E581C">
        <w:t xml:space="preserve"> </w:t>
      </w:r>
      <w:r w:rsidR="00D77CBB" w:rsidRPr="00D77CBB">
        <w:t>define</w:t>
      </w:r>
      <w:r w:rsidR="00D579A0">
        <w:t>s</w:t>
      </w:r>
      <w:r w:rsidR="00D77CBB" w:rsidRPr="00D77CBB">
        <w:t xml:space="preserve"> the process for the communication of charges for services rendered (Invoice), communication of details about funds rendered in payment for services rendered (Payment Remittance), and communication of the financial status of a customer's account (Statement of Account).</w:t>
      </w:r>
      <w:r w:rsidR="00D77CBB" w:rsidRPr="00D77CBB" w:rsidDel="00D77CBB">
        <w:t xml:space="preserve"> </w:t>
      </w:r>
      <w:r w:rsidR="006A0EC0" w:rsidRPr="00D35B3D">
        <w:t xml:space="preserve">Commission regulations provide that copies of the standards incorporated by reference may be obtained </w:t>
      </w:r>
      <w:r w:rsidR="006A0EC0" w:rsidRPr="005C361C">
        <w:t>through</w:t>
      </w:r>
      <w:r w:rsidR="006A0EC0" w:rsidRPr="00D35B3D">
        <w:t xml:space="preserve"> purchase or otherwise from the North American Energy Standards Board,</w:t>
      </w:r>
      <w:r w:rsidR="006A0EC0" w:rsidRPr="00B501F4">
        <w:t xml:space="preserve"> </w:t>
      </w:r>
      <w:r w:rsidR="006A0EC0">
        <w:t xml:space="preserve">1415 Louisiana, Suite 3460, Houston, Texas </w:t>
      </w:r>
      <w:r w:rsidR="00B77350">
        <w:t xml:space="preserve"> </w:t>
      </w:r>
      <w:r w:rsidR="006A0EC0">
        <w:t>77002</w:t>
      </w:r>
      <w:r w:rsidR="006A0EC0" w:rsidRPr="00B501F4">
        <w:t xml:space="preserve">, </w:t>
      </w:r>
      <w:r w:rsidR="006A0EC0">
        <w:br/>
        <w:t>p</w:t>
      </w:r>
      <w:r w:rsidR="006A0EC0" w:rsidRPr="00B501F4">
        <w:t>hone:</w:t>
      </w:r>
      <w:r w:rsidR="006A0EC0">
        <w:t xml:space="preserve"> </w:t>
      </w:r>
      <w:r w:rsidR="000B1B98">
        <w:t xml:space="preserve"> </w:t>
      </w:r>
      <w:r w:rsidR="006A0EC0" w:rsidRPr="00B501F4">
        <w:t>(713) 356</w:t>
      </w:r>
      <w:r w:rsidR="006A0EC0">
        <w:t>-</w:t>
      </w:r>
      <w:r w:rsidR="006A0EC0" w:rsidRPr="00B501F4">
        <w:t>0060</w:t>
      </w:r>
      <w:r w:rsidR="006A0EC0">
        <w:t>, w</w:t>
      </w:r>
      <w:r w:rsidR="006A0EC0" w:rsidRPr="00B501F4">
        <w:t>ebsite</w:t>
      </w:r>
      <w:r w:rsidR="006A0EC0" w:rsidRPr="0029072E">
        <w:t>: http</w:t>
      </w:r>
      <w:r w:rsidR="006A0EC0">
        <w:t>s</w:t>
      </w:r>
      <w:r w:rsidR="006A0EC0" w:rsidRPr="0029072E">
        <w:t xml:space="preserve">://www.naesb.org/.  </w:t>
      </w:r>
      <w:r w:rsidR="006A0EC0">
        <w:rPr>
          <w:rStyle w:val="Hyperlink"/>
          <w:color w:val="000000" w:themeColor="text1"/>
          <w:u w:val="none"/>
        </w:rPr>
        <w:t>The standards can also be reviewed without purchasing them.</w:t>
      </w:r>
    </w:p>
    <w:p w14:paraId="4FAF5A65" w14:textId="1B25F7F0" w:rsidR="00E46BDA" w:rsidRPr="00392551" w:rsidRDefault="006A0EC0" w:rsidP="006A0EC0">
      <w:pPr>
        <w:pStyle w:val="FERCparanumber"/>
        <w:rPr>
          <w:b/>
        </w:rPr>
      </w:pPr>
      <w:r w:rsidRPr="00932257">
        <w:t xml:space="preserve">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w:t>
      </w:r>
      <w:r w:rsidRPr="007344AF">
        <w:t xml:space="preserve">membership cost of </w:t>
      </w:r>
      <w:r w:rsidRPr="00392551">
        <w:t>$8,000, which entitles them to full participation in NAESB and enables them to obtain these standards at no additional cost.  Non-members may obtain any of the ten individual</w:t>
      </w:r>
      <w:r w:rsidRPr="00EA6304">
        <w:rPr>
          <w:color w:val="000000" w:themeColor="text1"/>
        </w:rPr>
        <w:t xml:space="preserve"> </w:t>
      </w:r>
      <w:r w:rsidRPr="00392551">
        <w:t xml:space="preserve">standards manuals for $250 per manual, </w:t>
      </w:r>
      <w:r w:rsidRPr="007344AF">
        <w:t>which in the case of these</w:t>
      </w:r>
      <w:r w:rsidR="0038433A">
        <w:t xml:space="preserve"> revisions to three sets of</w:t>
      </w:r>
      <w:r w:rsidRPr="007344AF">
        <w:t xml:space="preserve"> standards would total </w:t>
      </w:r>
      <w:r w:rsidRPr="00392551">
        <w:t xml:space="preserve">$750 </w:t>
      </w:r>
      <w:r w:rsidRPr="007344AF">
        <w:t xml:space="preserve">for all three </w:t>
      </w:r>
      <w:r w:rsidR="006F75A3">
        <w:t xml:space="preserve">standards </w:t>
      </w:r>
      <w:r w:rsidRPr="007344AF">
        <w:t xml:space="preserve">manuals.  Non-members also may obtain the complete set of </w:t>
      </w:r>
      <w:r w:rsidR="00C46E62">
        <w:t>s</w:t>
      </w:r>
      <w:r w:rsidRPr="007344AF">
        <w:t xml:space="preserve">tandards </w:t>
      </w:r>
      <w:r w:rsidR="00C46E62">
        <w:t>m</w:t>
      </w:r>
      <w:r w:rsidRPr="007344AF">
        <w:t>anuals for</w:t>
      </w:r>
      <w:r w:rsidRPr="00392551">
        <w:t xml:space="preserve"> $2,000.</w:t>
      </w:r>
    </w:p>
    <w:p w14:paraId="2A4FF9F5" w14:textId="757AE7C7" w:rsidR="00E46BDA" w:rsidRDefault="006A0EC0" w:rsidP="00752187">
      <w:pPr>
        <w:pStyle w:val="FERCparanumber"/>
      </w:pPr>
      <w:r w:rsidRPr="00E46BDA">
        <w:rPr>
          <w:color w:val="000000" w:themeColor="text1"/>
        </w:rPr>
        <w:t>NAESB provides ample opportunities for non-members, including agents, subsidiaries, and affiliates of NAESB members, to obtain access to the copyrighted standards through a no-cost limited copyright waiver.  The limited copyright waivers are issued by the NAESB office and are granted to non-members on a case-by-case basis for the purpose of evaluating standards prior to purchase and/or reviewing the standards to prepare comments to a regulatory agency.  Following the granting of a limited copyright waiver, the non-member is provided with read-only access to the standards through the end of the comment period or some other set period of time via Locklizard Safeguard</w:t>
      </w:r>
      <w:r w:rsidR="000B1B98">
        <w:rPr>
          <w:color w:val="000000" w:themeColor="text1"/>
        </w:rPr>
        <w:t xml:space="preserve"> </w:t>
      </w:r>
      <w:r w:rsidRPr="00E46BDA">
        <w:rPr>
          <w:color w:val="000000" w:themeColor="text1"/>
        </w:rPr>
        <w:t>Secure Viewer.</w:t>
      </w:r>
      <w:r>
        <w:rPr>
          <w:rStyle w:val="FootnoteReference"/>
          <w:color w:val="000000" w:themeColor="text1"/>
        </w:rPr>
        <w:footnoteReference w:id="61"/>
      </w:r>
      <w:r w:rsidRPr="00E46BDA">
        <w:rPr>
          <w:color w:val="000000" w:themeColor="text1"/>
        </w:rPr>
        <w:t xml:space="preserve">  NAESB will grant one limited copyright wa</w:t>
      </w:r>
      <w:r w:rsidR="00850BF5">
        <w:rPr>
          <w:color w:val="000000" w:themeColor="text1"/>
        </w:rPr>
        <w:t>i</w:t>
      </w:r>
      <w:r w:rsidRPr="00E46BDA">
        <w:rPr>
          <w:color w:val="000000" w:themeColor="text1"/>
        </w:rPr>
        <w:t>ver per company for each set of standards or final actions.  Any entity seeking a limited copyright waiver should contact the NAESB office.</w:t>
      </w:r>
    </w:p>
    <w:p w14:paraId="191F57B4" w14:textId="6417314D" w:rsidR="00C107B3" w:rsidRPr="00752187" w:rsidRDefault="000F5FB8" w:rsidP="00752187">
      <w:pPr>
        <w:pStyle w:val="FERCparanumber"/>
        <w:rPr>
          <w:bCs/>
          <w:color w:val="000000" w:themeColor="text1"/>
        </w:rPr>
      </w:pPr>
      <w:r w:rsidRPr="00E46BDA">
        <w:rPr>
          <w:color w:val="000000" w:themeColor="text1"/>
        </w:rPr>
        <w:t xml:space="preserve">The following standards appear in the amendatory text of this document and </w:t>
      </w:r>
      <w:r w:rsidR="000B1B98">
        <w:rPr>
          <w:color w:val="000000" w:themeColor="text1"/>
        </w:rPr>
        <w:t xml:space="preserve">   </w:t>
      </w:r>
      <w:r w:rsidRPr="00E46BDA">
        <w:rPr>
          <w:color w:val="000000" w:themeColor="text1"/>
        </w:rPr>
        <w:t>were previously approved for 18 CFR 284.12:</w:t>
      </w:r>
      <w:r w:rsidR="00455F80" w:rsidRPr="00E46BDA">
        <w:rPr>
          <w:color w:val="000000" w:themeColor="text1"/>
        </w:rPr>
        <w:t xml:space="preserve"> </w:t>
      </w:r>
      <w:r w:rsidR="000B1B98">
        <w:rPr>
          <w:color w:val="000000" w:themeColor="text1"/>
        </w:rPr>
        <w:t xml:space="preserve"> </w:t>
      </w:r>
      <w:r w:rsidR="00455F80" w:rsidRPr="00E46BDA">
        <w:rPr>
          <w:color w:val="000000" w:themeColor="text1"/>
        </w:rPr>
        <w:t>WGQ Nominations Related Standards</w:t>
      </w:r>
      <w:r w:rsidRPr="00E46BDA">
        <w:rPr>
          <w:color w:val="000000" w:themeColor="text1"/>
        </w:rPr>
        <w:t>, WGQ Flowing Gas Related Standards, and.</w:t>
      </w:r>
      <w:r w:rsidR="00455F80" w:rsidRPr="00E46BDA">
        <w:rPr>
          <w:color w:val="000000" w:themeColor="text1"/>
        </w:rPr>
        <w:t xml:space="preserve"> WGQ Cybersecurity Related Standards.</w:t>
      </w:r>
    </w:p>
    <w:p w14:paraId="796124C9" w14:textId="77777777" w:rsidR="00A05583" w:rsidRDefault="00A05583" w:rsidP="00224836">
      <w:pPr>
        <w:pStyle w:val="Heading1"/>
      </w:pPr>
      <w:bookmarkStart w:id="33" w:name="_bmk15"/>
      <w:r w:rsidRPr="00395600">
        <w:t>I</w:t>
      </w:r>
      <w:bookmarkEnd w:id="33"/>
      <w:r w:rsidRPr="00395600">
        <w:t>nformation Collection Statement</w:t>
      </w:r>
    </w:p>
    <w:p w14:paraId="2984FB8D" w14:textId="0F544C0F" w:rsidR="00F4280A" w:rsidRDefault="00F4280A" w:rsidP="00F4280A">
      <w:pPr>
        <w:pStyle w:val="FERCparanumber"/>
      </w:pPr>
      <w:r w:rsidRPr="00F4280A">
        <w:t>The collection of information contained in this final rule is being submitted to the Office of Management and Budget (OMB) for review under section 3507(d) of the Paperwork Reduction Act of 1995, 44 U.S.C. 3507(d).  Respondents subject to the filing requirements of this final rule will not be penalized for failing to respond to these collections of information unless the collections of information display a valid OMB control number.  The information collection requirements in this final rule are revising two currently approved collections that will be submitted to OMB for review.</w:t>
      </w:r>
    </w:p>
    <w:p w14:paraId="05DBA505" w14:textId="278F4AEE" w:rsidR="00F4280A" w:rsidRDefault="00F4280A" w:rsidP="00F4280A">
      <w:pPr>
        <w:pStyle w:val="FERCparanumber"/>
      </w:pPr>
      <w:r w:rsidRPr="00F4280A">
        <w:t>During the NOPR, the Commission solicited comments on our need for this information, whether the information will have practical utility, the accuracy of the provided burden estimates, ways to enhance the quality, utility, and clarity of the information to be collected, and any suggested methods for minimizing respondents’ burden, including the use of automated information techniques.</w:t>
      </w:r>
    </w:p>
    <w:p w14:paraId="4215B3AE" w14:textId="3E578253" w:rsidR="001F33CC" w:rsidRDefault="001F33CC" w:rsidP="001F33CC">
      <w:pPr>
        <w:pStyle w:val="FERCparanumber"/>
      </w:pPr>
      <w:r w:rsidRPr="005C1356">
        <w:rPr>
          <w:u w:val="single"/>
        </w:rPr>
        <w:t>Public Reporting Burden</w:t>
      </w:r>
      <w:r w:rsidRPr="005C1356">
        <w:t>:</w:t>
      </w:r>
      <w:r w:rsidRPr="00D617BF">
        <w:t xml:space="preserve">  The</w:t>
      </w:r>
      <w:r w:rsidRPr="005C1356">
        <w:t xml:space="preserve"> Commission’s burden estimates for </w:t>
      </w:r>
      <w:r w:rsidR="00CB0275">
        <w:t xml:space="preserve">the requirements in </w:t>
      </w:r>
      <w:r w:rsidRPr="005C1356">
        <w:t xml:space="preserve">this </w:t>
      </w:r>
      <w:r w:rsidR="00E6373C">
        <w:t>final rule</w:t>
      </w:r>
      <w:r w:rsidRPr="005C1356">
        <w:t xml:space="preserve"> are for one-time implementation of the information collection requirements of this </w:t>
      </w:r>
      <w:r w:rsidR="00E6373C">
        <w:t>final rule</w:t>
      </w:r>
      <w:r w:rsidRPr="005C1356">
        <w:t xml:space="preserve"> (including tariff filing, documentation of the process and procedures, and information technology work).</w:t>
      </w:r>
    </w:p>
    <w:p w14:paraId="645EF7CD" w14:textId="724DCF16" w:rsidR="00171760" w:rsidRDefault="001F33CC" w:rsidP="001F33CC">
      <w:pPr>
        <w:pStyle w:val="FERCparanumber"/>
      </w:pPr>
      <w:r w:rsidRPr="005C1356">
        <w:t xml:space="preserve">The collections of information related to this </w:t>
      </w:r>
      <w:r w:rsidR="00E6373C">
        <w:t>final rule</w:t>
      </w:r>
      <w:r w:rsidRPr="005C1356">
        <w:t xml:space="preserve"> fall under FERC–545 </w:t>
      </w:r>
      <w:r w:rsidR="000B1B98">
        <w:t xml:space="preserve">  </w:t>
      </w:r>
      <w:r w:rsidRPr="005C1356">
        <w:t>(Gas Pipeline Rates:</w:t>
      </w:r>
      <w:r>
        <w:t xml:space="preserve"> </w:t>
      </w:r>
      <w:r w:rsidR="000B1B98">
        <w:t xml:space="preserve"> </w:t>
      </w:r>
      <w:r w:rsidRPr="005C1356">
        <w:t>Rate Change (Non-Formal))</w:t>
      </w:r>
      <w:r w:rsidRPr="005C1356">
        <w:rPr>
          <w:rStyle w:val="FootnoteReference"/>
        </w:rPr>
        <w:footnoteReference w:id="62"/>
      </w:r>
      <w:r w:rsidRPr="005C1356">
        <w:t xml:space="preserve"> and FERC–549C (Standards for Business Practices of Interstate Natural Gas Pipelines).</w:t>
      </w:r>
      <w:r w:rsidRPr="005C1356">
        <w:rPr>
          <w:rStyle w:val="FootnoteReference"/>
        </w:rPr>
        <w:footnoteReference w:id="63"/>
      </w:r>
      <w:r w:rsidRPr="005C1356">
        <w:t xml:space="preserve">  The following estimates of reporting</w:t>
      </w:r>
      <w:r>
        <w:t xml:space="preserve"> </w:t>
      </w:r>
      <w:r w:rsidRPr="005C1356">
        <w:t xml:space="preserve">burden are related only to this </w:t>
      </w:r>
      <w:r w:rsidR="009C0547">
        <w:t>f</w:t>
      </w:r>
      <w:r w:rsidR="0098440F">
        <w:t xml:space="preserve">inal </w:t>
      </w:r>
      <w:r w:rsidR="009C0547">
        <w:t>r</w:t>
      </w:r>
      <w:r w:rsidR="0098440F">
        <w:t>ule</w:t>
      </w:r>
      <w:r w:rsidRPr="005C1356">
        <w:t xml:space="preserve"> and anticipate the costs to </w:t>
      </w:r>
      <w:r>
        <w:t xml:space="preserve">interstate natural gas </w:t>
      </w:r>
      <w:r w:rsidRPr="005C1356">
        <w:t>pipelines for compliance with</w:t>
      </w:r>
      <w:r w:rsidR="0098440F">
        <w:t xml:space="preserve"> this </w:t>
      </w:r>
      <w:r w:rsidR="009C0547">
        <w:t>f</w:t>
      </w:r>
      <w:r w:rsidR="0098440F">
        <w:t xml:space="preserve">inal </w:t>
      </w:r>
      <w:r w:rsidR="009C0547">
        <w:t>r</w:t>
      </w:r>
      <w:r w:rsidR="0098440F">
        <w:t>ule</w:t>
      </w:r>
      <w:r w:rsidRPr="005C1356">
        <w:t>.  The burden estimates are related to implementing these standards and regulations and will not result in ongoing costs</w:t>
      </w:r>
      <w:r w:rsidR="009819EB">
        <w:t xml:space="preserve">. </w:t>
      </w:r>
      <w:r w:rsidR="009C0547">
        <w:t xml:space="preserve"> </w:t>
      </w:r>
      <w:r w:rsidR="009819EB">
        <w:t>Within the NOPR, the Commission solicited comments on</w:t>
      </w:r>
      <w:r w:rsidR="002F269C">
        <w:t xml:space="preserve"> the information collection requirements and </w:t>
      </w:r>
      <w:r w:rsidR="00A300E2">
        <w:t>received one comment from an individual citizen, James Hunter Poole, protesting paperwork and compliance</w:t>
      </w:r>
      <w:r w:rsidR="00A300E2" w:rsidRPr="00570FD2">
        <w:t xml:space="preserve"> burden estimates</w:t>
      </w:r>
      <w:r w:rsidR="005A3081">
        <w:t>.</w:t>
      </w:r>
      <w:r w:rsidR="00A300E2">
        <w:t xml:space="preserve">  </w:t>
      </w:r>
      <w:r w:rsidR="005A3081">
        <w:t xml:space="preserve">Mr. Poole states that </w:t>
      </w:r>
      <w:r w:rsidR="00A300E2" w:rsidRPr="00A300E2">
        <w:t>the Commission’s current approach relies on excessive, layered, and duplicative documentation requirements that exceed what is necessary to achieve safety, reliability, or market integrity</w:t>
      </w:r>
      <w:r w:rsidR="005A3081">
        <w:t xml:space="preserve">.  He also states that </w:t>
      </w:r>
      <w:r w:rsidR="003B278A">
        <w:t xml:space="preserve">the </w:t>
      </w:r>
      <w:r w:rsidR="005A3081">
        <w:t>Commission</w:t>
      </w:r>
      <w:r w:rsidR="003B278A">
        <w:t>’s</w:t>
      </w:r>
      <w:r w:rsidR="005A3081">
        <w:t xml:space="preserve"> fixed documentation and reporting costs disproportionately burden m</w:t>
      </w:r>
      <w:r w:rsidR="005A3081" w:rsidRPr="005A3081">
        <w:t>unicipal utilities</w:t>
      </w:r>
      <w:r w:rsidR="005A3081">
        <w:t>,</w:t>
      </w:r>
      <w:r w:rsidR="005A3081" w:rsidRPr="005A3081">
        <w:t xml:space="preserve"> </w:t>
      </w:r>
      <w:r w:rsidR="005A3081">
        <w:t>r</w:t>
      </w:r>
      <w:r w:rsidR="005A3081" w:rsidRPr="005A3081">
        <w:t>ural cooperatives</w:t>
      </w:r>
      <w:r w:rsidR="005A3081">
        <w:t>, a</w:t>
      </w:r>
      <w:r w:rsidR="005A3081" w:rsidRPr="005A3081">
        <w:t>nd small transmission operator</w:t>
      </w:r>
      <w:r w:rsidR="005A3081">
        <w:t>s f</w:t>
      </w:r>
      <w:r w:rsidR="005A3081" w:rsidRPr="005A3081">
        <w:t>orcing small entities to divert scarce technical</w:t>
      </w:r>
      <w:r w:rsidR="005A3081">
        <w:t xml:space="preserve"> s</w:t>
      </w:r>
      <w:r w:rsidR="005A3081" w:rsidRPr="005A3081">
        <w:t xml:space="preserve">taff </w:t>
      </w:r>
      <w:r w:rsidR="005A3081">
        <w:t>i</w:t>
      </w:r>
      <w:r w:rsidR="005A3081" w:rsidRPr="005A3081">
        <w:t>nto compliance</w:t>
      </w:r>
      <w:r w:rsidR="005A3081">
        <w:t>; delay</w:t>
      </w:r>
      <w:r w:rsidR="003B0244">
        <w:t xml:space="preserve"> </w:t>
      </w:r>
      <w:r w:rsidR="002066B0">
        <w:t>g</w:t>
      </w:r>
      <w:r w:rsidR="005A3081" w:rsidRPr="005A3081">
        <w:t xml:space="preserve">rid upgrades and capacity expansion; </w:t>
      </w:r>
      <w:r w:rsidR="005A3081">
        <w:t>and s</w:t>
      </w:r>
      <w:r w:rsidR="005A3081" w:rsidRPr="005A3081">
        <w:t>uppress job creation.</w:t>
      </w:r>
      <w:r w:rsidR="000D3907">
        <w:t xml:space="preserve"> </w:t>
      </w:r>
      <w:r w:rsidR="005A3081">
        <w:t xml:space="preserve"> </w:t>
      </w:r>
      <w:r w:rsidR="005A3081" w:rsidRPr="005A3081">
        <w:t>He argues that excessive documentation and compliance</w:t>
      </w:r>
      <w:r w:rsidR="005A3081">
        <w:t xml:space="preserve"> </w:t>
      </w:r>
      <w:r w:rsidR="00314A43">
        <w:t>l</w:t>
      </w:r>
      <w:r w:rsidR="00314A43" w:rsidRPr="005A3081">
        <w:t>ead</w:t>
      </w:r>
      <w:r w:rsidR="005A3081" w:rsidRPr="005A3081">
        <w:t xml:space="preserve"> to economic harm,</w:t>
      </w:r>
      <w:r w:rsidR="005A3081">
        <w:t xml:space="preserve"> including</w:t>
      </w:r>
      <w:r w:rsidR="00DB43B7">
        <w:t>,</w:t>
      </w:r>
      <w:r w:rsidR="005A3081">
        <w:t xml:space="preserve"> </w:t>
      </w:r>
      <w:r w:rsidR="003B278A">
        <w:t>d</w:t>
      </w:r>
      <w:r w:rsidR="005A3081" w:rsidRPr="005A3081">
        <w:t>elayed grid expansion and modernization</w:t>
      </w:r>
      <w:r w:rsidR="005A3081">
        <w:t>;</w:t>
      </w:r>
      <w:r w:rsidR="005A3081" w:rsidRPr="005A3081">
        <w:t xml:space="preserve"> suppressed private investment</w:t>
      </w:r>
      <w:r w:rsidR="005A3081">
        <w:t>;</w:t>
      </w:r>
      <w:r w:rsidR="005A3081" w:rsidRPr="005A3081">
        <w:t xml:space="preserve"> increased outage risk due to delayed upgrades</w:t>
      </w:r>
      <w:r w:rsidR="005A3081">
        <w:t>;</w:t>
      </w:r>
      <w:r w:rsidR="005A3081" w:rsidRPr="005A3081">
        <w:t xml:space="preserve"> deferred maintenance and slower integration of new capacity</w:t>
      </w:r>
      <w:r w:rsidR="005A3081">
        <w:t xml:space="preserve">; </w:t>
      </w:r>
      <w:r w:rsidR="003B278A">
        <w:t>r</w:t>
      </w:r>
      <w:r w:rsidR="005A3081" w:rsidRPr="005A3081">
        <w:t>educed resilience during extreme weather and emergencies</w:t>
      </w:r>
      <w:r w:rsidR="005A3081">
        <w:t>; a</w:t>
      </w:r>
      <w:r w:rsidR="005A3081" w:rsidRPr="005A3081">
        <w:t>nd higher energy costs</w:t>
      </w:r>
      <w:r w:rsidR="005A3081">
        <w:t xml:space="preserve"> p</w:t>
      </w:r>
      <w:r w:rsidR="005A3081" w:rsidRPr="005A3081">
        <w:t>assed through to ratepayers.</w:t>
      </w:r>
      <w:r w:rsidR="0054354A">
        <w:rPr>
          <w:rStyle w:val="FootnoteReference"/>
        </w:rPr>
        <w:footnoteReference w:id="64"/>
      </w:r>
      <w:r w:rsidR="005A3081">
        <w:t xml:space="preserve">  Conversely, CRF </w:t>
      </w:r>
      <w:r w:rsidR="007C48FC">
        <w:t xml:space="preserve">contends </w:t>
      </w:r>
      <w:r w:rsidR="005A3081" w:rsidRPr="005A3081">
        <w:t>that these reforms impose modest one</w:t>
      </w:r>
      <w:r w:rsidR="005A3081">
        <w:t>-</w:t>
      </w:r>
      <w:r w:rsidR="005A3081" w:rsidRPr="005A3081">
        <w:t>time compliance cost</w:t>
      </w:r>
      <w:r w:rsidR="005A3081">
        <w:t>s</w:t>
      </w:r>
      <w:r w:rsidR="005A3081" w:rsidRPr="005A3081">
        <w:t xml:space="preserve"> that are justified by their substantial reliability benefits, including avoiding prolonged outages, generator failures, and cascading system</w:t>
      </w:r>
      <w:r w:rsidR="005A3081">
        <w:t xml:space="preserve"> d</w:t>
      </w:r>
      <w:r w:rsidR="005A3081" w:rsidRPr="005A3081">
        <w:t>isruptions.</w:t>
      </w:r>
      <w:r w:rsidR="005A3081">
        <w:rPr>
          <w:rStyle w:val="FootnoteReference"/>
        </w:rPr>
        <w:footnoteReference w:id="65"/>
      </w:r>
      <w:r w:rsidR="005A3081" w:rsidRPr="005A3081">
        <w:t xml:space="preserve"> </w:t>
      </w:r>
      <w:r w:rsidR="003B278A">
        <w:t xml:space="preserve"> CRF</w:t>
      </w:r>
      <w:r w:rsidR="003817EB">
        <w:t xml:space="preserve"> states</w:t>
      </w:r>
      <w:r w:rsidR="003B278A">
        <w:t xml:space="preserve"> that t</w:t>
      </w:r>
      <w:r w:rsidR="005A3081">
        <w:t>hese reliability benefits</w:t>
      </w:r>
      <w:r w:rsidR="005A3081" w:rsidRPr="005A3081">
        <w:t xml:space="preserve"> deliver significant value to consumers and the broader economy, far outweighing the limited implementation burdens identified in the </w:t>
      </w:r>
      <w:r w:rsidR="005A3081">
        <w:t>NOPR.</w:t>
      </w:r>
      <w:r w:rsidR="00F30F57">
        <w:rPr>
          <w:rStyle w:val="FootnoteReference"/>
        </w:rPr>
        <w:footnoteReference w:id="66"/>
      </w:r>
    </w:p>
    <w:p w14:paraId="7C0C0E60" w14:textId="7D749002" w:rsidR="000F5D35" w:rsidRDefault="00397A6D" w:rsidP="000F5D35">
      <w:pPr>
        <w:pStyle w:val="FERCparanumber"/>
      </w:pPr>
      <w:r>
        <w:t>Although</w:t>
      </w:r>
      <w:r w:rsidR="005D3F96">
        <w:t xml:space="preserve"> t</w:t>
      </w:r>
      <w:r w:rsidR="00964EBE">
        <w:t>he revised standards</w:t>
      </w:r>
      <w:r w:rsidR="00300B28">
        <w:t xml:space="preserve"> </w:t>
      </w:r>
      <w:r w:rsidR="00300B28" w:rsidRPr="005A3081">
        <w:t>impose modest one</w:t>
      </w:r>
      <w:r w:rsidR="00300B28">
        <w:t>-</w:t>
      </w:r>
      <w:r w:rsidR="00300B28" w:rsidRPr="005A3081">
        <w:t>time compliance cost</w:t>
      </w:r>
      <w:r w:rsidR="00300B28">
        <w:t>s</w:t>
      </w:r>
      <w:r>
        <w:t xml:space="preserve">, discussed below, </w:t>
      </w:r>
      <w:r w:rsidR="005D3F96">
        <w:t>we agree with CRF</w:t>
      </w:r>
      <w:r w:rsidR="005819BF">
        <w:t xml:space="preserve"> regarding the substantial benefits</w:t>
      </w:r>
      <w:r w:rsidR="001B1723">
        <w:t xml:space="preserve"> achieve</w:t>
      </w:r>
      <w:r w:rsidR="00171C04">
        <w:t>d with minor and limited implementation burdens.</w:t>
      </w:r>
      <w:r w:rsidR="005D3F96">
        <w:t xml:space="preserve"> </w:t>
      </w:r>
      <w:r w:rsidR="00171C04">
        <w:t xml:space="preserve"> </w:t>
      </w:r>
      <w:r w:rsidR="00043C27">
        <w:t xml:space="preserve">Mr. Poole’s </w:t>
      </w:r>
      <w:r w:rsidR="007E57DA">
        <w:t>comments</w:t>
      </w:r>
      <w:r w:rsidR="004A47FD">
        <w:t xml:space="preserve"> </w:t>
      </w:r>
      <w:r w:rsidR="002D2398">
        <w:t>reflect</w:t>
      </w:r>
      <w:r w:rsidR="004A47FD">
        <w:t xml:space="preserve"> a general </w:t>
      </w:r>
      <w:r w:rsidR="002D2398">
        <w:t>concern with</w:t>
      </w:r>
      <w:r w:rsidR="0090338B">
        <w:t xml:space="preserve"> </w:t>
      </w:r>
      <w:r w:rsidR="00275E29">
        <w:t>documentation and reporting costs</w:t>
      </w:r>
      <w:r w:rsidR="002D2398">
        <w:t xml:space="preserve">, not </w:t>
      </w:r>
      <w:r w:rsidR="002220B5">
        <w:t xml:space="preserve">a concern </w:t>
      </w:r>
      <w:r w:rsidR="002D2398">
        <w:t xml:space="preserve">with the </w:t>
      </w:r>
      <w:r w:rsidR="002220B5">
        <w:t>calculation of</w:t>
      </w:r>
      <w:r w:rsidR="000B1B98">
        <w:t xml:space="preserve"> </w:t>
      </w:r>
      <w:r w:rsidR="002220B5">
        <w:t xml:space="preserve"> the </w:t>
      </w:r>
      <w:r w:rsidR="00245C85">
        <w:t>costs</w:t>
      </w:r>
      <w:r w:rsidR="002D2398">
        <w:t xml:space="preserve"> </w:t>
      </w:r>
      <w:r w:rsidR="004E45A3">
        <w:t>for these</w:t>
      </w:r>
      <w:r w:rsidR="00D86F87">
        <w:t xml:space="preserve"> revised standards and their respective requirements</w:t>
      </w:r>
      <w:r w:rsidR="00F92A5F">
        <w:t>.</w:t>
      </w:r>
      <w:r w:rsidR="005A3081">
        <w:t xml:space="preserve"> </w:t>
      </w:r>
      <w:r w:rsidR="00F92A5F">
        <w:t xml:space="preserve"> </w:t>
      </w:r>
      <w:r w:rsidR="000D3907">
        <w:t xml:space="preserve">Therefore, </w:t>
      </w:r>
      <w:r w:rsidR="003B278A">
        <w:t>we</w:t>
      </w:r>
      <w:r w:rsidR="000D3907">
        <w:t xml:space="preserve"> </w:t>
      </w:r>
      <w:r w:rsidR="00771CC4">
        <w:t>continue</w:t>
      </w:r>
      <w:r w:rsidR="000D3907">
        <w:t xml:space="preserve"> to estimate </w:t>
      </w:r>
      <w:r w:rsidR="003B278A">
        <w:t xml:space="preserve">that </w:t>
      </w:r>
      <w:r w:rsidR="000D3907">
        <w:t xml:space="preserve">the burden will </w:t>
      </w:r>
      <w:r w:rsidR="00E23FBC">
        <w:t xml:space="preserve">remain consistent with our estimate put forth in the NOPR. </w:t>
      </w:r>
      <w:r w:rsidR="00CE2596">
        <w:t xml:space="preserve"> </w:t>
      </w:r>
      <w:r w:rsidR="00E23FBC">
        <w:t xml:space="preserve">A breakdown of the one-time costs </w:t>
      </w:r>
      <w:r w:rsidR="00DB43B7">
        <w:t>is</w:t>
      </w:r>
      <w:r w:rsidR="00E23FBC">
        <w:t xml:space="preserve"> in the table below.</w:t>
      </w:r>
    </w:p>
    <w:p w14:paraId="47D8A4F1" w14:textId="77777777" w:rsidR="000B1B98" w:rsidRDefault="000B1B98" w:rsidP="000B1B98">
      <w:pPr>
        <w:pStyle w:val="FERCparanumber"/>
        <w:numPr>
          <w:ilvl w:val="0"/>
          <w:numId w:val="0"/>
        </w:numPr>
      </w:pPr>
    </w:p>
    <w:p w14:paraId="76940ECF" w14:textId="77777777" w:rsidR="000B1B98" w:rsidRDefault="000B1B98" w:rsidP="000B1B98">
      <w:pPr>
        <w:pStyle w:val="FERCparanumber"/>
        <w:numPr>
          <w:ilvl w:val="0"/>
          <w:numId w:val="0"/>
        </w:numPr>
      </w:pPr>
    </w:p>
    <w:p w14:paraId="5A81B1CA" w14:textId="77777777" w:rsidR="000B1B98" w:rsidRDefault="000B1B98" w:rsidP="000B1B98">
      <w:pPr>
        <w:pStyle w:val="FERCparanumber"/>
        <w:numPr>
          <w:ilvl w:val="0"/>
          <w:numId w:val="0"/>
        </w:numPr>
      </w:pPr>
    </w:p>
    <w:p w14:paraId="3F6D31C9" w14:textId="77777777" w:rsidR="000B1B98" w:rsidRPr="005C1356" w:rsidRDefault="000B1B98" w:rsidP="000B1B98">
      <w:pPr>
        <w:pStyle w:val="FERCparanumber"/>
        <w:numPr>
          <w:ilvl w:val="0"/>
          <w:numId w:val="0"/>
        </w:numPr>
      </w:pPr>
    </w:p>
    <w:tbl>
      <w:tblPr>
        <w:tblW w:w="5655"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1713"/>
        <w:gridCol w:w="1440"/>
        <w:gridCol w:w="1347"/>
        <w:gridCol w:w="1233"/>
        <w:gridCol w:w="1868"/>
        <w:gridCol w:w="1944"/>
      </w:tblGrid>
      <w:tr w:rsidR="008F616A" w:rsidRPr="005C1356" w14:paraId="227B270F" w14:textId="77777777" w:rsidTr="0041736C">
        <w:trPr>
          <w:gridBefore w:val="1"/>
          <w:wBefore w:w="487" w:type="pct"/>
          <w:cantSplit/>
          <w:trHeight w:val="188"/>
        </w:trPr>
        <w:tc>
          <w:tcPr>
            <w:tcW w:w="4513" w:type="pct"/>
            <w:gridSpan w:val="6"/>
            <w:tcBorders>
              <w:bottom w:val="single" w:sz="4" w:space="0" w:color="auto"/>
            </w:tcBorders>
            <w:shd w:val="clear" w:color="auto" w:fill="D9D9D9"/>
          </w:tcPr>
          <w:p w14:paraId="3197AAAB" w14:textId="77777777" w:rsidR="001F33CC" w:rsidRPr="005C1356" w:rsidRDefault="001F33CC">
            <w:pPr>
              <w:keepNext/>
              <w:jc w:val="center"/>
              <w:rPr>
                <w:b/>
                <w:szCs w:val="20"/>
              </w:rPr>
            </w:pPr>
            <w:r w:rsidRPr="005C1356">
              <w:rPr>
                <w:b/>
                <w:szCs w:val="20"/>
              </w:rPr>
              <w:t>RM96-1-04</w:t>
            </w:r>
            <w:r>
              <w:rPr>
                <w:b/>
                <w:szCs w:val="20"/>
              </w:rPr>
              <w:t>4</w:t>
            </w:r>
            <w:r w:rsidRPr="005C1356">
              <w:rPr>
                <w:b/>
                <w:szCs w:val="20"/>
              </w:rPr>
              <w:t xml:space="preserve"> NOPR (Standards for Business Practices of Interstate Natural Gas Pipelines)</w:t>
            </w:r>
          </w:p>
        </w:tc>
      </w:tr>
      <w:tr w:rsidR="008F616A" w:rsidRPr="005C1356" w14:paraId="3E25C19F" w14:textId="77777777" w:rsidTr="0041736C">
        <w:trPr>
          <w:cantSplit/>
        </w:trPr>
        <w:tc>
          <w:tcPr>
            <w:tcW w:w="487" w:type="pct"/>
            <w:shd w:val="clear" w:color="auto" w:fill="D9D9D9"/>
          </w:tcPr>
          <w:p w14:paraId="6996221E" w14:textId="77777777" w:rsidR="001F33CC" w:rsidRPr="005C1356" w:rsidRDefault="001F33CC">
            <w:pPr>
              <w:jc w:val="center"/>
              <w:rPr>
                <w:rFonts w:eastAsia="Calibri"/>
                <w:b/>
                <w:szCs w:val="20"/>
              </w:rPr>
            </w:pPr>
          </w:p>
        </w:tc>
        <w:tc>
          <w:tcPr>
            <w:tcW w:w="810" w:type="pct"/>
            <w:shd w:val="clear" w:color="auto" w:fill="D9D9D9"/>
            <w:vAlign w:val="bottom"/>
          </w:tcPr>
          <w:p w14:paraId="3FA7D787" w14:textId="77777777" w:rsidR="001F33CC" w:rsidRPr="00103A57" w:rsidRDefault="001F33CC">
            <w:pPr>
              <w:jc w:val="center"/>
              <w:rPr>
                <w:rFonts w:eastAsia="Calibri"/>
                <w:b/>
                <w:sz w:val="24"/>
                <w:szCs w:val="24"/>
              </w:rPr>
            </w:pPr>
            <w:r w:rsidRPr="00103A57">
              <w:rPr>
                <w:rFonts w:eastAsia="Calibri"/>
                <w:b/>
                <w:sz w:val="24"/>
                <w:szCs w:val="24"/>
              </w:rPr>
              <w:t>Number of Respondents</w:t>
            </w:r>
            <w:r w:rsidRPr="00103A57">
              <w:rPr>
                <w:rStyle w:val="FootnoteReference"/>
                <w:sz w:val="24"/>
                <w:szCs w:val="24"/>
              </w:rPr>
              <w:footnoteReference w:id="67"/>
            </w:r>
          </w:p>
          <w:p w14:paraId="25042ED6" w14:textId="77777777" w:rsidR="001F33CC" w:rsidRPr="00103A57" w:rsidRDefault="001F33CC">
            <w:pPr>
              <w:jc w:val="center"/>
              <w:rPr>
                <w:rFonts w:eastAsia="Calibri"/>
                <w:b/>
                <w:sz w:val="24"/>
                <w:szCs w:val="24"/>
              </w:rPr>
            </w:pPr>
            <w:r w:rsidRPr="00103A57">
              <w:rPr>
                <w:rFonts w:eastAsia="Calibri"/>
                <w:b/>
                <w:sz w:val="24"/>
                <w:szCs w:val="24"/>
              </w:rPr>
              <w:t>(1)</w:t>
            </w:r>
          </w:p>
        </w:tc>
        <w:tc>
          <w:tcPr>
            <w:tcW w:w="681" w:type="pct"/>
            <w:shd w:val="clear" w:color="auto" w:fill="D9D9D9"/>
            <w:vAlign w:val="bottom"/>
          </w:tcPr>
          <w:p w14:paraId="2C858496" w14:textId="4A1F036C" w:rsidR="001F33CC" w:rsidRPr="00103A57" w:rsidRDefault="001F33CC">
            <w:pPr>
              <w:jc w:val="center"/>
              <w:rPr>
                <w:rFonts w:eastAsia="Calibri"/>
                <w:b/>
                <w:sz w:val="24"/>
                <w:szCs w:val="24"/>
              </w:rPr>
            </w:pPr>
            <w:r w:rsidRPr="00103A57">
              <w:rPr>
                <w:rFonts w:eastAsia="Calibri"/>
                <w:b/>
                <w:sz w:val="24"/>
                <w:szCs w:val="24"/>
              </w:rPr>
              <w:t>Number of Responses per Respondent</w:t>
            </w:r>
          </w:p>
          <w:p w14:paraId="193C34DA" w14:textId="77777777" w:rsidR="001F33CC" w:rsidRPr="00103A57" w:rsidRDefault="001F33CC">
            <w:pPr>
              <w:jc w:val="center"/>
              <w:rPr>
                <w:rFonts w:eastAsia="Calibri"/>
                <w:b/>
                <w:sz w:val="24"/>
                <w:szCs w:val="24"/>
              </w:rPr>
            </w:pPr>
            <w:r w:rsidRPr="00103A57">
              <w:rPr>
                <w:rFonts w:eastAsia="Calibri"/>
                <w:b/>
                <w:sz w:val="24"/>
                <w:szCs w:val="24"/>
              </w:rPr>
              <w:t>(2)</w:t>
            </w:r>
          </w:p>
        </w:tc>
        <w:tc>
          <w:tcPr>
            <w:tcW w:w="637" w:type="pct"/>
            <w:shd w:val="clear" w:color="auto" w:fill="D9D9D9"/>
            <w:vAlign w:val="bottom"/>
          </w:tcPr>
          <w:p w14:paraId="35C4582D" w14:textId="77777777" w:rsidR="001F33CC" w:rsidRPr="00103A57" w:rsidRDefault="001F33CC">
            <w:pPr>
              <w:jc w:val="center"/>
              <w:rPr>
                <w:rFonts w:eastAsia="Calibri"/>
                <w:b/>
                <w:sz w:val="24"/>
                <w:szCs w:val="24"/>
              </w:rPr>
            </w:pPr>
            <w:r w:rsidRPr="00103A57">
              <w:rPr>
                <w:rFonts w:eastAsia="Calibri"/>
                <w:b/>
                <w:sz w:val="24"/>
                <w:szCs w:val="24"/>
              </w:rPr>
              <w:t>Total Number of Responses (1)*(2)=</w:t>
            </w:r>
          </w:p>
          <w:p w14:paraId="48778D0A" w14:textId="77777777" w:rsidR="001F33CC" w:rsidRPr="00103A57" w:rsidRDefault="001F33CC">
            <w:pPr>
              <w:jc w:val="center"/>
              <w:rPr>
                <w:rFonts w:eastAsia="Calibri"/>
                <w:b/>
                <w:sz w:val="24"/>
                <w:szCs w:val="24"/>
              </w:rPr>
            </w:pPr>
            <w:r w:rsidRPr="00103A57">
              <w:rPr>
                <w:rFonts w:eastAsia="Calibri"/>
                <w:b/>
                <w:sz w:val="24"/>
                <w:szCs w:val="24"/>
              </w:rPr>
              <w:t>(3)</w:t>
            </w:r>
          </w:p>
        </w:tc>
        <w:tc>
          <w:tcPr>
            <w:tcW w:w="583" w:type="pct"/>
            <w:shd w:val="clear" w:color="auto" w:fill="D9D9D9"/>
            <w:vAlign w:val="bottom"/>
          </w:tcPr>
          <w:p w14:paraId="2D6A988B" w14:textId="6C386CDC" w:rsidR="001F33CC" w:rsidRPr="00103A57" w:rsidRDefault="001F33CC">
            <w:pPr>
              <w:jc w:val="center"/>
              <w:rPr>
                <w:rFonts w:eastAsia="Calibri"/>
                <w:b/>
                <w:sz w:val="24"/>
                <w:szCs w:val="24"/>
              </w:rPr>
            </w:pPr>
            <w:r w:rsidRPr="00103A57">
              <w:rPr>
                <w:rFonts w:eastAsia="Calibri"/>
                <w:b/>
                <w:sz w:val="24"/>
                <w:szCs w:val="24"/>
              </w:rPr>
              <w:t>Average Burden Hr</w:t>
            </w:r>
            <w:r w:rsidR="00435BC6">
              <w:rPr>
                <w:rFonts w:eastAsia="Calibri"/>
                <w:b/>
                <w:sz w:val="24"/>
                <w:szCs w:val="24"/>
              </w:rPr>
              <w:t>s</w:t>
            </w:r>
            <w:r w:rsidRPr="00103A57">
              <w:rPr>
                <w:rFonts w:eastAsia="Calibri"/>
                <w:b/>
                <w:sz w:val="24"/>
                <w:szCs w:val="24"/>
              </w:rPr>
              <w:t>. Per Response</w:t>
            </w:r>
          </w:p>
          <w:p w14:paraId="6D6AD327" w14:textId="77777777" w:rsidR="001F33CC" w:rsidRPr="00103A57" w:rsidRDefault="001F33CC">
            <w:pPr>
              <w:jc w:val="center"/>
              <w:rPr>
                <w:rFonts w:eastAsia="Calibri"/>
                <w:b/>
                <w:sz w:val="24"/>
                <w:szCs w:val="24"/>
              </w:rPr>
            </w:pPr>
            <w:r w:rsidRPr="00103A57">
              <w:rPr>
                <w:rFonts w:eastAsia="Calibri"/>
                <w:b/>
                <w:sz w:val="24"/>
                <w:szCs w:val="24"/>
              </w:rPr>
              <w:t>(4)</w:t>
            </w:r>
          </w:p>
        </w:tc>
        <w:tc>
          <w:tcPr>
            <w:tcW w:w="883" w:type="pct"/>
            <w:shd w:val="clear" w:color="auto" w:fill="D9D9D9"/>
            <w:vAlign w:val="bottom"/>
          </w:tcPr>
          <w:p w14:paraId="36336406" w14:textId="660E41ED" w:rsidR="001F33CC" w:rsidRPr="00103A57" w:rsidRDefault="001F33CC">
            <w:pPr>
              <w:jc w:val="center"/>
              <w:rPr>
                <w:rFonts w:eastAsia="Calibri"/>
                <w:b/>
                <w:sz w:val="24"/>
                <w:szCs w:val="24"/>
              </w:rPr>
            </w:pPr>
            <w:r w:rsidRPr="00103A57">
              <w:rPr>
                <w:rFonts w:eastAsia="Calibri"/>
                <w:b/>
                <w:sz w:val="24"/>
                <w:szCs w:val="24"/>
              </w:rPr>
              <w:t>Total  Burden Hours &amp; Total Cost</w:t>
            </w:r>
            <w:r w:rsidRPr="00103A57">
              <w:rPr>
                <w:rStyle w:val="FootnoteReference"/>
                <w:sz w:val="24"/>
                <w:szCs w:val="24"/>
              </w:rPr>
              <w:footnoteReference w:id="68"/>
            </w:r>
          </w:p>
          <w:p w14:paraId="6C910089" w14:textId="77777777" w:rsidR="001F33CC" w:rsidRPr="00103A57" w:rsidRDefault="001F33CC">
            <w:pPr>
              <w:jc w:val="center"/>
              <w:rPr>
                <w:rFonts w:eastAsia="Calibri"/>
                <w:b/>
                <w:sz w:val="24"/>
                <w:szCs w:val="24"/>
              </w:rPr>
            </w:pPr>
            <w:r w:rsidRPr="00103A57">
              <w:rPr>
                <w:rFonts w:eastAsia="Calibri"/>
                <w:b/>
                <w:sz w:val="24"/>
                <w:szCs w:val="24"/>
              </w:rPr>
              <w:t>(3)*(4)=(5)</w:t>
            </w:r>
          </w:p>
        </w:tc>
        <w:tc>
          <w:tcPr>
            <w:tcW w:w="919" w:type="pct"/>
            <w:shd w:val="clear" w:color="auto" w:fill="D9D9D9"/>
            <w:vAlign w:val="bottom"/>
          </w:tcPr>
          <w:p w14:paraId="11CE771E" w14:textId="74D01400" w:rsidR="001F33CC" w:rsidRPr="00103A57" w:rsidRDefault="001F33CC">
            <w:pPr>
              <w:jc w:val="center"/>
              <w:rPr>
                <w:rFonts w:eastAsia="Calibri"/>
                <w:b/>
                <w:sz w:val="24"/>
                <w:szCs w:val="24"/>
              </w:rPr>
            </w:pPr>
            <w:r w:rsidRPr="00103A57">
              <w:rPr>
                <w:rFonts w:eastAsia="Calibri"/>
                <w:b/>
                <w:sz w:val="24"/>
                <w:szCs w:val="24"/>
              </w:rPr>
              <w:t xml:space="preserve">Cost Per Respondent </w:t>
            </w:r>
          </w:p>
          <w:p w14:paraId="38BC6A61" w14:textId="77777777" w:rsidR="001F33CC" w:rsidRPr="00103A57" w:rsidRDefault="001F33CC">
            <w:pPr>
              <w:jc w:val="center"/>
              <w:rPr>
                <w:rFonts w:eastAsia="Calibri"/>
                <w:b/>
                <w:sz w:val="24"/>
                <w:szCs w:val="24"/>
              </w:rPr>
            </w:pPr>
            <w:r w:rsidRPr="00103A57">
              <w:rPr>
                <w:rFonts w:eastAsia="Calibri"/>
                <w:b/>
                <w:sz w:val="24"/>
                <w:szCs w:val="24"/>
              </w:rPr>
              <w:t>($)</w:t>
            </w:r>
          </w:p>
          <w:p w14:paraId="2F49D2B9" w14:textId="77777777" w:rsidR="001F33CC" w:rsidRPr="00103A57" w:rsidRDefault="001F33CC">
            <w:pPr>
              <w:jc w:val="center"/>
              <w:rPr>
                <w:rFonts w:eastAsia="Calibri"/>
                <w:b/>
                <w:sz w:val="24"/>
                <w:szCs w:val="24"/>
              </w:rPr>
            </w:pPr>
            <w:r w:rsidRPr="00103A57">
              <w:rPr>
                <w:rFonts w:eastAsia="Calibri"/>
                <w:b/>
                <w:sz w:val="24"/>
                <w:szCs w:val="24"/>
              </w:rPr>
              <w:t>(5)/ (1) = (6)</w:t>
            </w:r>
          </w:p>
        </w:tc>
      </w:tr>
      <w:tr w:rsidR="0041736C" w:rsidRPr="005C1356" w14:paraId="0446D2C2" w14:textId="77777777" w:rsidTr="0041736C">
        <w:trPr>
          <w:cantSplit/>
        </w:trPr>
        <w:tc>
          <w:tcPr>
            <w:tcW w:w="487" w:type="pct"/>
          </w:tcPr>
          <w:p w14:paraId="4981D65D" w14:textId="77777777" w:rsidR="001F33CC" w:rsidRPr="005C1356" w:rsidRDefault="001F33CC">
            <w:pPr>
              <w:rPr>
                <w:rFonts w:eastAsia="Calibri"/>
                <w:szCs w:val="20"/>
              </w:rPr>
            </w:pPr>
            <w:r w:rsidRPr="005C1356">
              <w:rPr>
                <w:rFonts w:eastAsia="Calibri"/>
                <w:szCs w:val="20"/>
              </w:rPr>
              <w:t>FERC-545 (one-time)</w:t>
            </w:r>
          </w:p>
        </w:tc>
        <w:tc>
          <w:tcPr>
            <w:tcW w:w="810" w:type="pct"/>
          </w:tcPr>
          <w:p w14:paraId="15099351" w14:textId="77777777" w:rsidR="001F33CC" w:rsidRPr="005C1356" w:rsidRDefault="001F33CC">
            <w:pPr>
              <w:jc w:val="right"/>
              <w:rPr>
                <w:rFonts w:eastAsia="Calibri"/>
                <w:szCs w:val="20"/>
              </w:rPr>
            </w:pPr>
            <w:r w:rsidRPr="005C1356">
              <w:rPr>
                <w:rFonts w:eastAsia="Calibri"/>
                <w:szCs w:val="20"/>
              </w:rPr>
              <w:t>193</w:t>
            </w:r>
          </w:p>
        </w:tc>
        <w:tc>
          <w:tcPr>
            <w:tcW w:w="681" w:type="pct"/>
          </w:tcPr>
          <w:p w14:paraId="2B6542A0" w14:textId="77777777" w:rsidR="001F33CC" w:rsidRPr="005C1356" w:rsidRDefault="001F33CC">
            <w:pPr>
              <w:jc w:val="right"/>
              <w:rPr>
                <w:rFonts w:eastAsia="Calibri"/>
                <w:szCs w:val="20"/>
              </w:rPr>
            </w:pPr>
            <w:r w:rsidRPr="005C1356">
              <w:rPr>
                <w:rFonts w:eastAsia="Calibri"/>
                <w:szCs w:val="20"/>
              </w:rPr>
              <w:t>1</w:t>
            </w:r>
          </w:p>
        </w:tc>
        <w:tc>
          <w:tcPr>
            <w:tcW w:w="637" w:type="pct"/>
          </w:tcPr>
          <w:p w14:paraId="66B9B071" w14:textId="77777777" w:rsidR="001F33CC" w:rsidRPr="005C1356" w:rsidRDefault="001F33CC">
            <w:pPr>
              <w:jc w:val="right"/>
              <w:rPr>
                <w:rFonts w:eastAsia="Calibri"/>
                <w:szCs w:val="20"/>
              </w:rPr>
            </w:pPr>
            <w:r w:rsidRPr="005C1356">
              <w:rPr>
                <w:rFonts w:eastAsia="Calibri"/>
                <w:szCs w:val="20"/>
              </w:rPr>
              <w:t>193</w:t>
            </w:r>
          </w:p>
        </w:tc>
        <w:tc>
          <w:tcPr>
            <w:tcW w:w="583" w:type="pct"/>
          </w:tcPr>
          <w:p w14:paraId="7CB2C15A" w14:textId="77777777" w:rsidR="001F33CC" w:rsidRPr="005C1356" w:rsidRDefault="001F33CC">
            <w:pPr>
              <w:jc w:val="right"/>
              <w:rPr>
                <w:rFonts w:eastAsia="Calibri"/>
                <w:szCs w:val="20"/>
              </w:rPr>
            </w:pPr>
            <w:r w:rsidRPr="005C1356">
              <w:rPr>
                <w:rFonts w:eastAsia="Calibri"/>
                <w:szCs w:val="20"/>
              </w:rPr>
              <w:t>10 hrs.;</w:t>
            </w:r>
          </w:p>
          <w:p w14:paraId="70B0A5E2" w14:textId="77777777" w:rsidR="001F33CC" w:rsidRPr="005C1356" w:rsidRDefault="001F33CC">
            <w:pPr>
              <w:jc w:val="right"/>
              <w:rPr>
                <w:rFonts w:eastAsia="Calibri"/>
                <w:szCs w:val="20"/>
              </w:rPr>
            </w:pPr>
            <w:r w:rsidRPr="005C1356">
              <w:rPr>
                <w:rFonts w:eastAsia="Calibri"/>
                <w:szCs w:val="20"/>
              </w:rPr>
              <w:t>$</w:t>
            </w:r>
            <w:r>
              <w:rPr>
                <w:rFonts w:eastAsia="Calibri"/>
                <w:szCs w:val="20"/>
              </w:rPr>
              <w:t>980</w:t>
            </w:r>
          </w:p>
        </w:tc>
        <w:tc>
          <w:tcPr>
            <w:tcW w:w="883" w:type="pct"/>
          </w:tcPr>
          <w:p w14:paraId="43D8C99C" w14:textId="77777777" w:rsidR="001F33CC" w:rsidRPr="005C1356" w:rsidRDefault="001F33CC">
            <w:pPr>
              <w:jc w:val="right"/>
              <w:rPr>
                <w:rFonts w:eastAsia="Calibri"/>
                <w:szCs w:val="20"/>
              </w:rPr>
            </w:pPr>
            <w:r w:rsidRPr="005C1356">
              <w:rPr>
                <w:rFonts w:eastAsia="Calibri"/>
                <w:szCs w:val="20"/>
              </w:rPr>
              <w:t>1,930 hrs.;</w:t>
            </w:r>
          </w:p>
          <w:p w14:paraId="6EBB3EE9" w14:textId="77777777" w:rsidR="001F33CC" w:rsidRPr="005C1356" w:rsidRDefault="001F33CC">
            <w:pPr>
              <w:jc w:val="right"/>
              <w:rPr>
                <w:rFonts w:eastAsia="Calibri"/>
                <w:szCs w:val="20"/>
              </w:rPr>
            </w:pPr>
            <w:r w:rsidRPr="005C1356">
              <w:rPr>
                <w:rFonts w:eastAsia="Calibri"/>
                <w:szCs w:val="20"/>
              </w:rPr>
              <w:t>$</w:t>
            </w:r>
            <w:r>
              <w:rPr>
                <w:rFonts w:eastAsia="Calibri"/>
                <w:szCs w:val="20"/>
              </w:rPr>
              <w:t>189,140</w:t>
            </w:r>
          </w:p>
        </w:tc>
        <w:tc>
          <w:tcPr>
            <w:tcW w:w="919" w:type="pct"/>
          </w:tcPr>
          <w:p w14:paraId="2069574C" w14:textId="77777777" w:rsidR="001F33CC" w:rsidRPr="005C1356" w:rsidRDefault="001F33CC">
            <w:pPr>
              <w:jc w:val="right"/>
              <w:rPr>
                <w:rFonts w:eastAsia="Calibri"/>
                <w:szCs w:val="20"/>
              </w:rPr>
            </w:pPr>
            <w:r w:rsidRPr="005C1356">
              <w:rPr>
                <w:rFonts w:eastAsia="Calibri"/>
                <w:szCs w:val="20"/>
              </w:rPr>
              <w:t>$</w:t>
            </w:r>
            <w:r>
              <w:rPr>
                <w:rFonts w:eastAsia="Calibri"/>
                <w:szCs w:val="20"/>
              </w:rPr>
              <w:t>980</w:t>
            </w:r>
          </w:p>
        </w:tc>
      </w:tr>
      <w:tr w:rsidR="0041736C" w:rsidRPr="005C1356" w14:paraId="7333AE68" w14:textId="77777777" w:rsidTr="0041736C">
        <w:trPr>
          <w:cantSplit/>
        </w:trPr>
        <w:tc>
          <w:tcPr>
            <w:tcW w:w="487" w:type="pct"/>
          </w:tcPr>
          <w:p w14:paraId="2C100F48" w14:textId="77777777" w:rsidR="001F33CC" w:rsidRPr="005C1356" w:rsidRDefault="001F33CC">
            <w:pPr>
              <w:rPr>
                <w:rFonts w:eastAsia="Calibri"/>
                <w:szCs w:val="20"/>
              </w:rPr>
            </w:pPr>
            <w:r w:rsidRPr="005C1356">
              <w:rPr>
                <w:rFonts w:eastAsia="Calibri"/>
                <w:szCs w:val="20"/>
              </w:rPr>
              <w:t>FERC-549C (one-time)</w:t>
            </w:r>
          </w:p>
        </w:tc>
        <w:tc>
          <w:tcPr>
            <w:tcW w:w="810" w:type="pct"/>
          </w:tcPr>
          <w:p w14:paraId="7F26F679" w14:textId="77777777" w:rsidR="001F33CC" w:rsidRPr="005C1356" w:rsidRDefault="001F33CC">
            <w:pPr>
              <w:jc w:val="right"/>
              <w:rPr>
                <w:rFonts w:eastAsia="Calibri"/>
                <w:szCs w:val="20"/>
              </w:rPr>
            </w:pPr>
            <w:r w:rsidRPr="005C1356">
              <w:rPr>
                <w:rFonts w:eastAsia="Calibri"/>
                <w:szCs w:val="20"/>
              </w:rPr>
              <w:t>193</w:t>
            </w:r>
          </w:p>
        </w:tc>
        <w:tc>
          <w:tcPr>
            <w:tcW w:w="681" w:type="pct"/>
          </w:tcPr>
          <w:p w14:paraId="14CA7E70" w14:textId="77777777" w:rsidR="001F33CC" w:rsidRPr="005C1356" w:rsidRDefault="001F33CC">
            <w:pPr>
              <w:jc w:val="right"/>
              <w:rPr>
                <w:rFonts w:eastAsia="Calibri"/>
                <w:szCs w:val="20"/>
              </w:rPr>
            </w:pPr>
            <w:r w:rsidRPr="005C1356">
              <w:rPr>
                <w:rFonts w:eastAsia="Calibri"/>
                <w:szCs w:val="20"/>
              </w:rPr>
              <w:t>1</w:t>
            </w:r>
          </w:p>
        </w:tc>
        <w:tc>
          <w:tcPr>
            <w:tcW w:w="637" w:type="pct"/>
          </w:tcPr>
          <w:p w14:paraId="3761598B" w14:textId="77777777" w:rsidR="001F33CC" w:rsidRPr="005C1356" w:rsidRDefault="001F33CC">
            <w:pPr>
              <w:jc w:val="right"/>
              <w:rPr>
                <w:rFonts w:eastAsia="Calibri"/>
                <w:szCs w:val="20"/>
              </w:rPr>
            </w:pPr>
            <w:r w:rsidRPr="005C1356">
              <w:rPr>
                <w:rFonts w:eastAsia="Calibri"/>
                <w:szCs w:val="20"/>
              </w:rPr>
              <w:t>193</w:t>
            </w:r>
          </w:p>
        </w:tc>
        <w:tc>
          <w:tcPr>
            <w:tcW w:w="583" w:type="pct"/>
          </w:tcPr>
          <w:p w14:paraId="2CB4EE95" w14:textId="77777777" w:rsidR="001F33CC" w:rsidRPr="005C1356" w:rsidRDefault="001F33CC">
            <w:pPr>
              <w:jc w:val="right"/>
              <w:rPr>
                <w:rFonts w:eastAsia="Calibri"/>
                <w:szCs w:val="20"/>
              </w:rPr>
            </w:pPr>
            <w:r w:rsidRPr="005C1356">
              <w:rPr>
                <w:rFonts w:eastAsia="Calibri"/>
                <w:szCs w:val="20"/>
              </w:rPr>
              <w:t>100 hrs.;</w:t>
            </w:r>
          </w:p>
          <w:p w14:paraId="34318FBD" w14:textId="77777777" w:rsidR="001F33CC" w:rsidRPr="005C1356" w:rsidRDefault="001F33CC">
            <w:pPr>
              <w:jc w:val="right"/>
              <w:rPr>
                <w:rFonts w:eastAsia="Calibri"/>
                <w:szCs w:val="20"/>
              </w:rPr>
            </w:pPr>
            <w:r w:rsidRPr="005C1356">
              <w:rPr>
                <w:rFonts w:eastAsia="Calibri"/>
                <w:szCs w:val="20"/>
              </w:rPr>
              <w:t>$</w:t>
            </w:r>
            <w:r>
              <w:rPr>
                <w:rFonts w:eastAsia="Calibri"/>
                <w:szCs w:val="20"/>
              </w:rPr>
              <w:t>9,800</w:t>
            </w:r>
          </w:p>
        </w:tc>
        <w:tc>
          <w:tcPr>
            <w:tcW w:w="883" w:type="pct"/>
          </w:tcPr>
          <w:p w14:paraId="6C6415AE" w14:textId="77777777" w:rsidR="001F33CC" w:rsidRPr="005C1356" w:rsidRDefault="001F33CC">
            <w:pPr>
              <w:jc w:val="right"/>
              <w:rPr>
                <w:rFonts w:eastAsia="Calibri"/>
                <w:szCs w:val="20"/>
              </w:rPr>
            </w:pPr>
            <w:r w:rsidRPr="005C1356">
              <w:rPr>
                <w:rFonts w:eastAsia="Calibri"/>
                <w:szCs w:val="20"/>
              </w:rPr>
              <w:t>19,300 hrs.;</w:t>
            </w:r>
          </w:p>
          <w:p w14:paraId="56A0B41D" w14:textId="77777777" w:rsidR="001F33CC" w:rsidRPr="005C1356" w:rsidRDefault="001F33CC">
            <w:pPr>
              <w:jc w:val="right"/>
              <w:rPr>
                <w:rFonts w:eastAsia="Calibri"/>
                <w:szCs w:val="20"/>
              </w:rPr>
            </w:pPr>
            <w:r w:rsidRPr="005C1356">
              <w:rPr>
                <w:rFonts w:eastAsia="Calibri"/>
                <w:szCs w:val="20"/>
              </w:rPr>
              <w:t>$</w:t>
            </w:r>
            <w:r>
              <w:rPr>
                <w:rFonts w:eastAsia="Calibri"/>
                <w:szCs w:val="20"/>
              </w:rPr>
              <w:t>1,891,400</w:t>
            </w:r>
          </w:p>
        </w:tc>
        <w:tc>
          <w:tcPr>
            <w:tcW w:w="919" w:type="pct"/>
          </w:tcPr>
          <w:p w14:paraId="6E2A98C5" w14:textId="77777777" w:rsidR="001F33CC" w:rsidRPr="005C1356" w:rsidRDefault="001F33CC">
            <w:pPr>
              <w:jc w:val="right"/>
              <w:rPr>
                <w:rFonts w:eastAsia="Calibri"/>
                <w:szCs w:val="20"/>
              </w:rPr>
            </w:pPr>
            <w:r w:rsidRPr="005C1356">
              <w:rPr>
                <w:rFonts w:eastAsia="Calibri"/>
                <w:szCs w:val="20"/>
              </w:rPr>
              <w:t>$</w:t>
            </w:r>
            <w:r>
              <w:rPr>
                <w:rFonts w:eastAsia="Calibri"/>
                <w:szCs w:val="20"/>
              </w:rPr>
              <w:t>9,800</w:t>
            </w:r>
          </w:p>
        </w:tc>
      </w:tr>
      <w:tr w:rsidR="00871C2B" w:rsidRPr="005C1356" w14:paraId="146C03E2" w14:textId="77777777" w:rsidTr="00103A57">
        <w:trPr>
          <w:cantSplit/>
        </w:trPr>
        <w:tc>
          <w:tcPr>
            <w:tcW w:w="487" w:type="pct"/>
          </w:tcPr>
          <w:p w14:paraId="5A2DB991" w14:textId="77777777" w:rsidR="00871C2B" w:rsidRPr="005C1356" w:rsidRDefault="00871C2B">
            <w:pPr>
              <w:rPr>
                <w:rFonts w:eastAsia="Calibri"/>
                <w:szCs w:val="20"/>
              </w:rPr>
            </w:pPr>
          </w:p>
        </w:tc>
        <w:tc>
          <w:tcPr>
            <w:tcW w:w="810" w:type="pct"/>
          </w:tcPr>
          <w:p w14:paraId="2734D01C" w14:textId="1869346E" w:rsidR="00871C2B" w:rsidRPr="00103A57" w:rsidRDefault="00871C2B" w:rsidP="00103A57">
            <w:pPr>
              <w:jc w:val="center"/>
              <w:rPr>
                <w:rFonts w:eastAsia="Calibri"/>
                <w:b/>
                <w:bCs/>
                <w:szCs w:val="20"/>
              </w:rPr>
            </w:pPr>
            <w:r w:rsidRPr="00103A57">
              <w:rPr>
                <w:rFonts w:eastAsia="Calibri"/>
                <w:b/>
                <w:bCs/>
                <w:szCs w:val="20"/>
              </w:rPr>
              <w:t>T</w:t>
            </w:r>
            <w:r w:rsidR="00937929">
              <w:rPr>
                <w:rFonts w:eastAsia="Calibri"/>
                <w:b/>
                <w:bCs/>
                <w:szCs w:val="20"/>
              </w:rPr>
              <w:t>OTAL</w:t>
            </w:r>
          </w:p>
        </w:tc>
        <w:tc>
          <w:tcPr>
            <w:tcW w:w="681" w:type="pct"/>
          </w:tcPr>
          <w:p w14:paraId="3020933F" w14:textId="77777777" w:rsidR="00871C2B" w:rsidRPr="005C1356" w:rsidRDefault="00871C2B">
            <w:pPr>
              <w:jc w:val="right"/>
              <w:rPr>
                <w:rFonts w:eastAsia="Calibri"/>
                <w:szCs w:val="20"/>
              </w:rPr>
            </w:pPr>
          </w:p>
        </w:tc>
        <w:tc>
          <w:tcPr>
            <w:tcW w:w="637" w:type="pct"/>
          </w:tcPr>
          <w:p w14:paraId="6CBD9FE4" w14:textId="21B6BD28" w:rsidR="00871C2B" w:rsidRPr="005C1356" w:rsidRDefault="006F4C93">
            <w:pPr>
              <w:jc w:val="right"/>
              <w:rPr>
                <w:rFonts w:eastAsia="Calibri"/>
                <w:szCs w:val="20"/>
              </w:rPr>
            </w:pPr>
            <w:r>
              <w:rPr>
                <w:rFonts w:eastAsia="Calibri"/>
                <w:szCs w:val="20"/>
              </w:rPr>
              <w:t>386</w:t>
            </w:r>
          </w:p>
        </w:tc>
        <w:tc>
          <w:tcPr>
            <w:tcW w:w="583" w:type="pct"/>
          </w:tcPr>
          <w:p w14:paraId="41ABDD06" w14:textId="77777777" w:rsidR="00871C2B" w:rsidRPr="005C1356" w:rsidRDefault="00871C2B">
            <w:pPr>
              <w:jc w:val="right"/>
              <w:rPr>
                <w:rFonts w:eastAsia="Calibri"/>
                <w:szCs w:val="20"/>
              </w:rPr>
            </w:pPr>
          </w:p>
        </w:tc>
        <w:tc>
          <w:tcPr>
            <w:tcW w:w="883" w:type="pct"/>
          </w:tcPr>
          <w:p w14:paraId="5961427C" w14:textId="77777777" w:rsidR="006F4C93" w:rsidRPr="005C1356" w:rsidRDefault="006F4C93" w:rsidP="006F4C93">
            <w:pPr>
              <w:jc w:val="right"/>
              <w:rPr>
                <w:rFonts w:eastAsia="Calibri"/>
                <w:szCs w:val="20"/>
              </w:rPr>
            </w:pPr>
            <w:r w:rsidRPr="005C1356">
              <w:rPr>
                <w:rFonts w:eastAsia="Calibri"/>
                <w:szCs w:val="20"/>
              </w:rPr>
              <w:t>21,230 hrs.;</w:t>
            </w:r>
          </w:p>
          <w:p w14:paraId="794AF7EF" w14:textId="034073C1" w:rsidR="00871C2B" w:rsidRPr="005C1356" w:rsidRDefault="006F4C93" w:rsidP="006F4C93">
            <w:pPr>
              <w:jc w:val="right"/>
              <w:rPr>
                <w:rFonts w:eastAsia="Calibri"/>
                <w:szCs w:val="20"/>
              </w:rPr>
            </w:pPr>
            <w:r w:rsidRPr="005C1356">
              <w:rPr>
                <w:rFonts w:eastAsia="Calibri"/>
                <w:szCs w:val="20"/>
              </w:rPr>
              <w:t>$</w:t>
            </w:r>
            <w:r>
              <w:rPr>
                <w:rFonts w:eastAsia="Calibri"/>
                <w:szCs w:val="20"/>
              </w:rPr>
              <w:t>2,080,540</w:t>
            </w:r>
          </w:p>
        </w:tc>
        <w:tc>
          <w:tcPr>
            <w:tcW w:w="919" w:type="pct"/>
          </w:tcPr>
          <w:p w14:paraId="4C1673F9" w14:textId="00E4BAD3" w:rsidR="00871C2B" w:rsidRPr="005C1356" w:rsidRDefault="002E4421">
            <w:pPr>
              <w:jc w:val="right"/>
              <w:rPr>
                <w:rFonts w:eastAsia="Calibri"/>
                <w:szCs w:val="20"/>
              </w:rPr>
            </w:pPr>
            <w:r>
              <w:rPr>
                <w:rFonts w:eastAsia="Calibri"/>
                <w:szCs w:val="20"/>
              </w:rPr>
              <w:t>$10,780</w:t>
            </w:r>
          </w:p>
        </w:tc>
      </w:tr>
    </w:tbl>
    <w:p w14:paraId="35EC5821" w14:textId="41ADF628" w:rsidR="001F33CC" w:rsidRPr="005C1356" w:rsidRDefault="001F33CC" w:rsidP="001F33CC">
      <w:pPr>
        <w:pStyle w:val="FERCparanumber"/>
        <w:numPr>
          <w:ilvl w:val="0"/>
          <w:numId w:val="0"/>
        </w:numPr>
      </w:pPr>
      <w:r w:rsidRPr="005C1356">
        <w:t xml:space="preserve">The </w:t>
      </w:r>
      <w:r>
        <w:t xml:space="preserve">total </w:t>
      </w:r>
      <w:r w:rsidRPr="005C1356">
        <w:t xml:space="preserve">one-time burden (for both the FERC-545 and FERC-549C) </w:t>
      </w:r>
      <w:r>
        <w:t>would</w:t>
      </w:r>
      <w:r w:rsidRPr="005C1356">
        <w:t xml:space="preserve"> take place in Year</w:t>
      </w:r>
      <w:r>
        <w:t xml:space="preserve"> </w:t>
      </w:r>
      <w:r w:rsidRPr="005C1356">
        <w:t>1</w:t>
      </w:r>
      <w:r>
        <w:t xml:space="preserve"> as follows:</w:t>
      </w:r>
      <w:r w:rsidRPr="005C1356" w:rsidDel="000B653C">
        <w:t xml:space="preserve"> </w:t>
      </w:r>
    </w:p>
    <w:p w14:paraId="46FDB045" w14:textId="723E003A" w:rsidR="001F33CC" w:rsidRPr="005C1356" w:rsidRDefault="001F33CC" w:rsidP="001F33CC">
      <w:pPr>
        <w:pStyle w:val="FERCparanumber"/>
        <w:numPr>
          <w:ilvl w:val="0"/>
          <w:numId w:val="0"/>
        </w:numPr>
      </w:pPr>
      <w:r w:rsidRPr="005C1356">
        <w:t xml:space="preserve">FERC-545: </w:t>
      </w:r>
      <w:r>
        <w:t xml:space="preserve"> 193 entities x 1 response/entity (1</w:t>
      </w:r>
      <w:r w:rsidRPr="005C1356">
        <w:t>0 hours</w:t>
      </w:r>
      <w:r>
        <w:t>/response</w:t>
      </w:r>
      <w:r w:rsidRPr="005C1356">
        <w:t xml:space="preserve"> </w:t>
      </w:r>
      <w:r>
        <w:t>x $98/hour) = $189,140</w:t>
      </w:r>
      <w:r w:rsidR="000B1B98">
        <w:t>.</w:t>
      </w:r>
    </w:p>
    <w:p w14:paraId="0D602F72" w14:textId="3E523167" w:rsidR="001F33CC" w:rsidRPr="005C1356" w:rsidRDefault="001F33CC" w:rsidP="001F33CC">
      <w:pPr>
        <w:pStyle w:val="FERCparanumber"/>
        <w:numPr>
          <w:ilvl w:val="0"/>
          <w:numId w:val="0"/>
        </w:numPr>
      </w:pPr>
      <w:r w:rsidRPr="005C1356">
        <w:t xml:space="preserve">FERC-549C: </w:t>
      </w:r>
      <w:r>
        <w:t xml:space="preserve"> 193 entities x 1 response/entity (100</w:t>
      </w:r>
      <w:r w:rsidRPr="005C1356">
        <w:t xml:space="preserve"> hours </w:t>
      </w:r>
      <w:r>
        <w:t>x $98/hour) = $</w:t>
      </w:r>
      <w:r>
        <w:rPr>
          <w:rFonts w:eastAsia="Calibri"/>
          <w:szCs w:val="20"/>
        </w:rPr>
        <w:t>1,891,400</w:t>
      </w:r>
      <w:r w:rsidR="000B1B98">
        <w:rPr>
          <w:rFonts w:eastAsia="Calibri"/>
          <w:szCs w:val="20"/>
        </w:rPr>
        <w:t>.</w:t>
      </w:r>
    </w:p>
    <w:p w14:paraId="750DE9D1" w14:textId="5A35001D" w:rsidR="001F33CC" w:rsidRPr="005C1356" w:rsidRDefault="001F33CC" w:rsidP="001F33CC">
      <w:pPr>
        <w:pStyle w:val="FERCparanumber"/>
        <w:numPr>
          <w:ilvl w:val="0"/>
          <w:numId w:val="0"/>
        </w:numPr>
      </w:pPr>
      <w:r w:rsidRPr="005C1356">
        <w:rPr>
          <w:u w:val="single"/>
        </w:rPr>
        <w:t>Title</w:t>
      </w:r>
      <w:r w:rsidRPr="005C1356">
        <w:t xml:space="preserve">: </w:t>
      </w:r>
      <w:r>
        <w:t xml:space="preserve"> </w:t>
      </w:r>
      <w:r w:rsidRPr="005C1356">
        <w:t>FERC-545, Gas Pipeline Rates: Rates Change (Non-Formal);</w:t>
      </w:r>
      <w:r w:rsidR="000B1B98">
        <w:t xml:space="preserve"> </w:t>
      </w:r>
      <w:r w:rsidRPr="005C1356">
        <w:t>FERC-549C, Standards for Business Practices of Interstate Natural Gas Pipelines.</w:t>
      </w:r>
    </w:p>
    <w:p w14:paraId="31CFE778" w14:textId="4F9B99AB" w:rsidR="001F33CC" w:rsidRPr="005C1356" w:rsidRDefault="001F33CC" w:rsidP="001F33CC">
      <w:pPr>
        <w:pStyle w:val="FERCparanumber"/>
        <w:numPr>
          <w:ilvl w:val="0"/>
          <w:numId w:val="0"/>
        </w:numPr>
      </w:pPr>
      <w:r w:rsidRPr="005C1356">
        <w:rPr>
          <w:u w:val="single"/>
        </w:rPr>
        <w:t>Action</w:t>
      </w:r>
      <w:r w:rsidRPr="005C1356">
        <w:t xml:space="preserve">:  </w:t>
      </w:r>
      <w:r w:rsidR="00356B6E">
        <w:t>Revision to existing</w:t>
      </w:r>
      <w:r w:rsidRPr="005C1356">
        <w:t xml:space="preserve"> information collections</w:t>
      </w:r>
      <w:r w:rsidR="000B1B98">
        <w:t>.</w:t>
      </w:r>
    </w:p>
    <w:p w14:paraId="0FEFB9D8" w14:textId="77777777" w:rsidR="001F33CC" w:rsidRPr="005C1356" w:rsidRDefault="001F33CC" w:rsidP="001F33CC">
      <w:pPr>
        <w:pStyle w:val="FERCparanumber"/>
        <w:numPr>
          <w:ilvl w:val="0"/>
          <w:numId w:val="0"/>
        </w:numPr>
      </w:pPr>
      <w:r w:rsidRPr="005C1356">
        <w:rPr>
          <w:u w:val="single"/>
        </w:rPr>
        <w:t>OMB Control Nos.</w:t>
      </w:r>
      <w:r w:rsidRPr="005C1356">
        <w:t xml:space="preserve">:  </w:t>
      </w:r>
      <w:r w:rsidRPr="000023B6">
        <w:t>1902-0154 (FERC-545), 1902-0174 (FERC-549C).</w:t>
      </w:r>
    </w:p>
    <w:p w14:paraId="7AB93F60" w14:textId="77777777" w:rsidR="001F33CC" w:rsidRPr="005C1356" w:rsidRDefault="001F33CC" w:rsidP="001F33CC">
      <w:pPr>
        <w:pStyle w:val="FERCparanumber"/>
        <w:numPr>
          <w:ilvl w:val="0"/>
          <w:numId w:val="0"/>
        </w:numPr>
      </w:pPr>
      <w:r w:rsidRPr="005C1356">
        <w:rPr>
          <w:u w:val="single"/>
        </w:rPr>
        <w:t>Respondents</w:t>
      </w:r>
      <w:r w:rsidRPr="005C1356">
        <w:t>:  Business or other for profit (e.g., Natural Gas Pipelines, applicable to only a few small businesses).</w:t>
      </w:r>
    </w:p>
    <w:p w14:paraId="2FC130A6" w14:textId="23594B2E" w:rsidR="000F5D35" w:rsidRDefault="001F33CC" w:rsidP="001F33CC">
      <w:pPr>
        <w:pStyle w:val="FERCparanumber"/>
        <w:numPr>
          <w:ilvl w:val="0"/>
          <w:numId w:val="0"/>
        </w:numPr>
      </w:pPr>
      <w:r w:rsidRPr="005C1356">
        <w:rPr>
          <w:u w:val="single"/>
        </w:rPr>
        <w:t>Frequency of Responses</w:t>
      </w:r>
      <w:r w:rsidRPr="005C1356">
        <w:t>:  One-time implementation (related to business procedures</w:t>
      </w:r>
      <w:r w:rsidR="00AF6AD9">
        <w:t xml:space="preserve"> and data processing</w:t>
      </w:r>
      <w:r w:rsidRPr="005C1356">
        <w:t>).</w:t>
      </w:r>
    </w:p>
    <w:p w14:paraId="21742400" w14:textId="146E2749" w:rsidR="001F33CC" w:rsidRPr="000F5D35" w:rsidRDefault="001F33CC" w:rsidP="000F5D35">
      <w:pPr>
        <w:pStyle w:val="FERCparanumber"/>
        <w:numPr>
          <w:ilvl w:val="0"/>
          <w:numId w:val="0"/>
        </w:numPr>
        <w:rPr>
          <w:u w:val="single"/>
        </w:rPr>
      </w:pPr>
      <w:r w:rsidRPr="000F5D35">
        <w:rPr>
          <w:u w:val="single"/>
        </w:rPr>
        <w:t>Necessity of Information</w:t>
      </w:r>
      <w:r>
        <w:t xml:space="preserve">:  In response to NAESB’s standard development activities, the </w:t>
      </w:r>
      <w:r w:rsidR="005708A4">
        <w:t>final rule</w:t>
      </w:r>
      <w:r w:rsidR="00DC6D79">
        <w:t xml:space="preserve"> revises three sets of standards</w:t>
      </w:r>
      <w:r w:rsidRPr="00352A6A">
        <w:t xml:space="preserve"> to the standards previously </w:t>
      </w:r>
      <w:r>
        <w:t>incorporated by reference</w:t>
      </w:r>
      <w:r w:rsidRPr="00352A6A">
        <w:t xml:space="preserve"> by the Commission.  </w:t>
      </w:r>
      <w:r>
        <w:t xml:space="preserve">First, </w:t>
      </w:r>
      <w:r w:rsidR="00E55B78" w:rsidRPr="008826C2">
        <w:t>a new</w:t>
      </w:r>
      <w:r w:rsidR="00E55B78" w:rsidRPr="00352A6A">
        <w:t xml:space="preserve"> standard in the WGQ Additional Standards manual</w:t>
      </w:r>
      <w:r w:rsidR="00E55B78" w:rsidRPr="001349E4">
        <w:t>, WGQ Standard No. 0.3.30,</w:t>
      </w:r>
      <w:r w:rsidR="00E55B78" w:rsidRPr="00352A6A">
        <w:t xml:space="preserve"> facilitate</w:t>
      </w:r>
      <w:r w:rsidR="00E55B78">
        <w:t>s</w:t>
      </w:r>
      <w:r w:rsidR="00E55B78" w:rsidRPr="00352A6A">
        <w:t xml:space="preserve"> the posting of applicable scheduled quantity information</w:t>
      </w:r>
      <w:r w:rsidR="00E55B78" w:rsidRPr="001349E4">
        <w:t xml:space="preserve"> </w:t>
      </w:r>
      <w:r w:rsidR="00E55B78" w:rsidRPr="00352A6A">
        <w:t>for directly connected power plants</w:t>
      </w:r>
      <w:r w:rsidR="00E55B78">
        <w:t>,</w:t>
      </w:r>
      <w:r w:rsidR="00E55B78" w:rsidRPr="00352A6A">
        <w:t xml:space="preserve"> as part of the </w:t>
      </w:r>
      <w:r w:rsidR="000707BA">
        <w:t xml:space="preserve">new </w:t>
      </w:r>
      <w:r w:rsidR="00E55B78" w:rsidRPr="00352A6A">
        <w:t xml:space="preserve">Gas Electric Coordination </w:t>
      </w:r>
      <w:r w:rsidR="00CF335D">
        <w:t xml:space="preserve">posting </w:t>
      </w:r>
      <w:r w:rsidR="00E55B78" w:rsidRPr="00352A6A">
        <w:t>category</w:t>
      </w:r>
      <w:r w:rsidR="00E55B78">
        <w:t>.  T</w:t>
      </w:r>
      <w:r w:rsidR="00E55B78" w:rsidRPr="00352A6A">
        <w:t>ypes of data that could be provided</w:t>
      </w:r>
      <w:r w:rsidR="00E55B78">
        <w:t xml:space="preserve"> include</w:t>
      </w:r>
      <w:r w:rsidR="005553C3">
        <w:t xml:space="preserve"> </w:t>
      </w:r>
      <w:r w:rsidR="00E55B78" w:rsidRPr="00352A6A">
        <w:t>Cycle Indicator, Effective Gas Day, Location, Location Name, Location County, Location State Abbreviation, Measurement Bases, Posting Date, Posting Time, RTO/ISO, and Total Scheduled Quantity.</w:t>
      </w:r>
      <w:r w:rsidR="00291A7D">
        <w:t xml:space="preserve">  Second, </w:t>
      </w:r>
      <w:r>
        <w:t xml:space="preserve">a revised standard in the WGQ </w:t>
      </w:r>
      <w:r w:rsidRPr="008826C2">
        <w:t xml:space="preserve">Quadrant Electronic Delivery Mechanism Related Standards </w:t>
      </w:r>
      <w:r>
        <w:t>manual, WGQ Standard No. 4.3.23,</w:t>
      </w:r>
      <w:r w:rsidRPr="00352A6A">
        <w:t xml:space="preserve"> </w:t>
      </w:r>
      <w:r>
        <w:t xml:space="preserve">establishes a new information posting category - Gas Electric Coordination, for use by a transportation service provider, to help </w:t>
      </w:r>
      <w:r w:rsidRPr="00EA1751">
        <w:t>streamline the process for</w:t>
      </w:r>
      <w:r>
        <w:t xml:space="preserve"> RTOs/</w:t>
      </w:r>
      <w:r w:rsidRPr="00EA1751">
        <w:t xml:space="preserve">ISOs and other parties </w:t>
      </w:r>
      <w:r>
        <w:t xml:space="preserve">accessing critical </w:t>
      </w:r>
      <w:r w:rsidRPr="00EA1751">
        <w:t xml:space="preserve">data during extreme </w:t>
      </w:r>
      <w:r>
        <w:t xml:space="preserve">cold </w:t>
      </w:r>
      <w:r w:rsidRPr="00EA1751">
        <w:t>weather or emergency events.</w:t>
      </w:r>
      <w:r w:rsidR="005A5857">
        <w:t xml:space="preserve">  </w:t>
      </w:r>
      <w:r>
        <w:t xml:space="preserve">Third, </w:t>
      </w:r>
      <w:r w:rsidRPr="00406B4C">
        <w:t>a new standard in the WGQ Capacity Release</w:t>
      </w:r>
      <w:r>
        <w:t xml:space="preserve"> Related</w:t>
      </w:r>
      <w:r w:rsidRPr="00406B4C">
        <w:t xml:space="preserve"> Standards manual, </w:t>
      </w:r>
      <w:r>
        <w:t xml:space="preserve">WGQ Standard </w:t>
      </w:r>
      <w:r w:rsidR="000B1B98">
        <w:t xml:space="preserve">     </w:t>
      </w:r>
      <w:r>
        <w:t>No. 5.3.74, support</w:t>
      </w:r>
      <w:r w:rsidR="000928DD">
        <w:t>s</w:t>
      </w:r>
      <w:r w:rsidRPr="00406B4C">
        <w:t xml:space="preserve"> the inclusion of the geographic information of impacted areas, locations, or pipeline facilities by a transportation service provider when issuing a critical notice.</w:t>
      </w:r>
      <w:r>
        <w:t xml:space="preserve">  </w:t>
      </w:r>
      <w:r w:rsidR="00AF6AD9">
        <w:t>Upon completion of the implementation of the</w:t>
      </w:r>
      <w:r>
        <w:t xml:space="preserve"> above standards</w:t>
      </w:r>
      <w:r w:rsidR="00AF6AD9">
        <w:t xml:space="preserve">, </w:t>
      </w:r>
      <w:r w:rsidRPr="001D1903">
        <w:t xml:space="preserve">the </w:t>
      </w:r>
      <w:r w:rsidR="000B5C74">
        <w:t>Commission staff</w:t>
      </w:r>
      <w:r w:rsidRPr="001D1903">
        <w:t xml:space="preserve"> will use the data for general industry oversight.</w:t>
      </w:r>
    </w:p>
    <w:p w14:paraId="7F95E9B7" w14:textId="455B618D" w:rsidR="000F5D35" w:rsidRDefault="001F33CC" w:rsidP="001F33CC">
      <w:pPr>
        <w:pStyle w:val="FERCparanumber"/>
        <w:numPr>
          <w:ilvl w:val="0"/>
          <w:numId w:val="0"/>
        </w:numPr>
      </w:pPr>
      <w:r>
        <w:rPr>
          <w:u w:val="single"/>
        </w:rPr>
        <w:t>Internal Review:</w:t>
      </w:r>
      <w:r>
        <w:t xml:space="preserve">  We have reviewed the requirements pertaining to business practices of interstate natural gas pipelines and</w:t>
      </w:r>
      <w:r w:rsidR="003817EB">
        <w:t xml:space="preserve"> have</w:t>
      </w:r>
      <w:r>
        <w:t xml:space="preserve"> </w:t>
      </w:r>
      <w:r w:rsidR="003817EB">
        <w:t>determined</w:t>
      </w:r>
      <w:r>
        <w:t xml:space="preserve"> that the revisions are necessary to </w:t>
      </w:r>
      <w:r w:rsidR="00C40FBF">
        <w:t xml:space="preserve">streamline the process for accessing publicly available gas-electric coordination data during extreme cold weather or emergency events and </w:t>
      </w:r>
      <w:r w:rsidR="00C40FBF" w:rsidRPr="00232BCC">
        <w:rPr>
          <w:snapToGrid w:val="0"/>
          <w:color w:val="000000"/>
        </w:rPr>
        <w:t>improve communication among natural gas and electricity market participants to enhance situational awareness</w:t>
      </w:r>
      <w:r w:rsidR="00C40FBF" w:rsidRPr="00232BCC" w:rsidDel="00B75D41">
        <w:rPr>
          <w:snapToGrid w:val="0"/>
          <w:color w:val="000000"/>
        </w:rPr>
        <w:t xml:space="preserve"> </w:t>
      </w:r>
      <w:r w:rsidR="00C40FBF" w:rsidRPr="00232BCC">
        <w:rPr>
          <w:snapToGrid w:val="0"/>
          <w:color w:val="000000"/>
        </w:rPr>
        <w:t>during extreme cold weather events</w:t>
      </w:r>
      <w:r w:rsidR="002E0B1B">
        <w:rPr>
          <w:snapToGrid w:val="0"/>
          <w:color w:val="000000"/>
        </w:rPr>
        <w:t xml:space="preserve">.  </w:t>
      </w:r>
      <w:r w:rsidR="003817EB">
        <w:t xml:space="preserve">We agree with CRF that </w:t>
      </w:r>
      <w:r w:rsidR="00461B12">
        <w:t xml:space="preserve">the </w:t>
      </w:r>
      <w:r w:rsidR="00705F69">
        <w:t xml:space="preserve">revisions </w:t>
      </w:r>
      <w:r w:rsidR="005B27FA">
        <w:t>may provide</w:t>
      </w:r>
      <w:r w:rsidR="003817EB">
        <w:t xml:space="preserve"> reliability benefits</w:t>
      </w:r>
      <w:r w:rsidR="00032706" w:rsidRPr="00FD5E9C">
        <w:t>, including avoiding prolonged outages, generator failures, and cascading system disruptions</w:t>
      </w:r>
      <w:r w:rsidR="0076500F">
        <w:t>.</w:t>
      </w:r>
      <w:r w:rsidR="00D24CB9">
        <w:t xml:space="preserve">  Further,</w:t>
      </w:r>
      <w:r w:rsidR="00FF0611">
        <w:t xml:space="preserve"> the revisions may</w:t>
      </w:r>
      <w:r w:rsidR="00032706" w:rsidRPr="005A3081">
        <w:t xml:space="preserve"> </w:t>
      </w:r>
      <w:r w:rsidR="003817EB" w:rsidRPr="005A3081">
        <w:t xml:space="preserve">deliver significant value to consumers and the broader economy, far outweighing the limited implementation burdens identified in the </w:t>
      </w:r>
      <w:r w:rsidR="003817EB">
        <w:t xml:space="preserve">NOPR.  </w:t>
      </w:r>
      <w:r>
        <w:t xml:space="preserve">We </w:t>
      </w:r>
      <w:r w:rsidR="003817EB">
        <w:t xml:space="preserve">have </w:t>
      </w:r>
      <w:r>
        <w:t>determined through our internal review that there is specific, objective support for the burden estimates associated with the information requirements.</w:t>
      </w:r>
    </w:p>
    <w:p w14:paraId="353409E4" w14:textId="6BD5F905" w:rsidR="001F33CC" w:rsidRDefault="001F33CC" w:rsidP="001F33CC">
      <w:pPr>
        <w:pStyle w:val="FERCparanumber"/>
      </w:pPr>
      <w:r>
        <w:t>Interested persons may obtain information on the reporting requirements by contacting the following:  Federal Energy Regulatory Commission</w:t>
      </w:r>
      <w:r w:rsidRPr="00932257">
        <w:t>, 888 First Street, NE, Washington, DC</w:t>
      </w:r>
      <w:r>
        <w:t xml:space="preserve"> </w:t>
      </w:r>
      <w:r w:rsidR="00A73340">
        <w:t xml:space="preserve"> </w:t>
      </w:r>
      <w:r w:rsidRPr="00932257">
        <w:t>20426</w:t>
      </w:r>
      <w:r w:rsidR="00AA7700">
        <w:t xml:space="preserve"> </w:t>
      </w:r>
      <w:r w:rsidR="00AA7700" w:rsidRPr="00AA7700">
        <w:t xml:space="preserve">[Attention:  Kayla Williams, Office of the Executive Director, </w:t>
      </w:r>
      <w:r w:rsidR="000B1B98">
        <w:t xml:space="preserve"> </w:t>
      </w:r>
      <w:r w:rsidR="00AA7700" w:rsidRPr="00AA7700">
        <w:t>e-mail:  DataClearance@ferc.gov, phone:</w:t>
      </w:r>
      <w:r w:rsidR="000B1B98">
        <w:t xml:space="preserve"> </w:t>
      </w:r>
      <w:r w:rsidR="00AA7700" w:rsidRPr="00AA7700">
        <w:t xml:space="preserve"> (202) 502-8663]</w:t>
      </w:r>
      <w:r w:rsidR="000B1B98">
        <w:t>.</w:t>
      </w:r>
    </w:p>
    <w:p w14:paraId="286C45C6" w14:textId="0ABF2A4F" w:rsidR="001F33CC" w:rsidRPr="00A47B31" w:rsidRDefault="00103174" w:rsidP="001F33CC">
      <w:pPr>
        <w:pStyle w:val="FERCparanumber"/>
      </w:pPr>
      <w:r w:rsidRPr="00103174">
        <w:rPr>
          <w:bCs/>
        </w:rPr>
        <w:t>Comments concerning the information collections in this rule and the associated burden estimates should be sent to the Commission and to the Office of Management and Budget, Office of Information and Regulatory Affairs</w:t>
      </w:r>
      <w:r w:rsidR="00AA7700">
        <w:rPr>
          <w:bCs/>
        </w:rPr>
        <w:t xml:space="preserve">, </w:t>
      </w:r>
      <w:r w:rsidR="00AA7700" w:rsidRPr="00AA7700">
        <w:rPr>
          <w:bCs/>
        </w:rPr>
        <w:t xml:space="preserve">725 17th Street NW, Washington, DC  20503 </w:t>
      </w:r>
      <w:r w:rsidRPr="00103174">
        <w:rPr>
          <w:bCs/>
        </w:rPr>
        <w:t xml:space="preserve">[Attention:  Desk Officer for the Federal Energy Regulatory Commission].  For security reasons, comments to OMB should be sent by e-mail to: </w:t>
      </w:r>
      <w:r w:rsidR="000B1B98">
        <w:rPr>
          <w:bCs/>
        </w:rPr>
        <w:t xml:space="preserve"> </w:t>
      </w:r>
      <w:r w:rsidRPr="00103174">
        <w:rPr>
          <w:bCs/>
        </w:rPr>
        <w:t>oira_submission@omb.eop.gov.  Please reference Docket No. RM</w:t>
      </w:r>
      <w:r>
        <w:rPr>
          <w:bCs/>
        </w:rPr>
        <w:t>96</w:t>
      </w:r>
      <w:r w:rsidRPr="00103174">
        <w:rPr>
          <w:bCs/>
        </w:rPr>
        <w:t>-</w:t>
      </w:r>
      <w:r>
        <w:rPr>
          <w:bCs/>
        </w:rPr>
        <w:t>1</w:t>
      </w:r>
      <w:r w:rsidRPr="00103174">
        <w:rPr>
          <w:bCs/>
        </w:rPr>
        <w:t>-0</w:t>
      </w:r>
      <w:r>
        <w:rPr>
          <w:bCs/>
        </w:rPr>
        <w:t>44</w:t>
      </w:r>
      <w:r w:rsidRPr="00103174">
        <w:rPr>
          <w:bCs/>
        </w:rPr>
        <w:t xml:space="preserve"> </w:t>
      </w:r>
      <w:r>
        <w:rPr>
          <w:bCs/>
        </w:rPr>
        <w:t xml:space="preserve">and related OMB Control No(s) </w:t>
      </w:r>
      <w:r w:rsidRPr="00103174">
        <w:rPr>
          <w:bCs/>
        </w:rPr>
        <w:t>(FERC-</w:t>
      </w:r>
      <w:r>
        <w:rPr>
          <w:bCs/>
        </w:rPr>
        <w:t>545</w:t>
      </w:r>
      <w:r w:rsidRPr="00103174">
        <w:rPr>
          <w:bCs/>
        </w:rPr>
        <w:t>)</w:t>
      </w:r>
      <w:r>
        <w:rPr>
          <w:bCs/>
        </w:rPr>
        <w:t xml:space="preserve"> or </w:t>
      </w:r>
      <w:r w:rsidRPr="00103174">
        <w:rPr>
          <w:bCs/>
        </w:rPr>
        <w:t>(FERC-</w:t>
      </w:r>
      <w:r>
        <w:rPr>
          <w:bCs/>
        </w:rPr>
        <w:t>549C</w:t>
      </w:r>
      <w:r w:rsidRPr="00103174">
        <w:rPr>
          <w:bCs/>
        </w:rPr>
        <w:t xml:space="preserve">) in </w:t>
      </w:r>
      <w:r w:rsidR="00AA7700">
        <w:rPr>
          <w:bCs/>
        </w:rPr>
        <w:t>any</w:t>
      </w:r>
      <w:r w:rsidRPr="00103174">
        <w:rPr>
          <w:bCs/>
        </w:rPr>
        <w:t xml:space="preserve"> submission</w:t>
      </w:r>
      <w:r>
        <w:rPr>
          <w:bCs/>
        </w:rPr>
        <w:t>.</w:t>
      </w:r>
      <w:r w:rsidR="001F33CC">
        <w:t xml:space="preserve">  </w:t>
      </w:r>
      <w:r w:rsidR="001F33CC" w:rsidRPr="00A47B31">
        <w:t xml:space="preserve">A copy of the comments </w:t>
      </w:r>
      <w:r w:rsidR="001F33CC">
        <w:t>on information collection</w:t>
      </w:r>
      <w:r w:rsidR="001F33CC" w:rsidRPr="00A47B31">
        <w:t xml:space="preserve"> should also be sent to the Commission, in Docket No. </w:t>
      </w:r>
      <w:r w:rsidR="001F33CC">
        <w:t xml:space="preserve">RM96-1-044 </w:t>
      </w:r>
      <w:r w:rsidR="001F33CC" w:rsidRPr="00A47B31">
        <w:t>by any of the following methods:</w:t>
      </w:r>
    </w:p>
    <w:p w14:paraId="5CBD7D84" w14:textId="62C6C4FB" w:rsidR="001F33CC" w:rsidRDefault="001F33CC" w:rsidP="001F33CC">
      <w:pPr>
        <w:pStyle w:val="FERCparanumber"/>
        <w:numPr>
          <w:ilvl w:val="0"/>
          <w:numId w:val="25"/>
        </w:numPr>
      </w:pPr>
      <w:r w:rsidRPr="00A47B31">
        <w:t xml:space="preserve">eFiling at Commission’s Web Site: </w:t>
      </w:r>
      <w:r w:rsidR="000B1B98">
        <w:t xml:space="preserve"> </w:t>
      </w:r>
      <w:r>
        <w:t>https://</w:t>
      </w:r>
      <w:r w:rsidRPr="00ED0C28">
        <w:t>www.ferc.gov/docs-filing/efiling.asp</w:t>
      </w:r>
      <w:r>
        <w:t>;</w:t>
      </w:r>
    </w:p>
    <w:p w14:paraId="6C8520D2" w14:textId="21F45A45" w:rsidR="001F33CC" w:rsidRDefault="001F33CC" w:rsidP="001F33CC">
      <w:pPr>
        <w:pStyle w:val="FERCparanumber"/>
        <w:numPr>
          <w:ilvl w:val="0"/>
          <w:numId w:val="25"/>
        </w:numPr>
      </w:pPr>
      <w:r w:rsidRPr="00A47B31">
        <w:t xml:space="preserve">U.S. Postal Service Mail: </w:t>
      </w:r>
      <w:r>
        <w:t xml:space="preserve"> </w:t>
      </w:r>
      <w:r w:rsidRPr="00A47B31">
        <w:t>Persons unable to file electronically may mail similar pleadings to the Federal Energy Regulatory Commission, 888 First Street, NE, Washington, DC</w:t>
      </w:r>
      <w:r w:rsidR="00A73340">
        <w:t xml:space="preserve"> </w:t>
      </w:r>
      <w:r w:rsidRPr="00A47B31">
        <w:t xml:space="preserve"> 20426</w:t>
      </w:r>
      <w:r>
        <w:t>; or</w:t>
      </w:r>
    </w:p>
    <w:p w14:paraId="4A48F965" w14:textId="3637DE7C" w:rsidR="001F33CC" w:rsidRPr="00B61165" w:rsidRDefault="001F33CC" w:rsidP="001F33CC">
      <w:pPr>
        <w:pStyle w:val="FERCparanumber"/>
        <w:numPr>
          <w:ilvl w:val="0"/>
          <w:numId w:val="25"/>
        </w:numPr>
      </w:pPr>
      <w:r>
        <w:t>D</w:t>
      </w:r>
      <w:r w:rsidRPr="00A47B31">
        <w:t xml:space="preserve">elivery of filings other than by eFiling or the U.S. Postal Service should be delivered to </w:t>
      </w:r>
      <w:r>
        <w:t xml:space="preserve">the </w:t>
      </w:r>
      <w:r w:rsidRPr="00BE3BAB">
        <w:t>Federal Energy Regulatory Commission,</w:t>
      </w:r>
      <w:r w:rsidRPr="00A47B31">
        <w:t xml:space="preserve"> 12225 Wilkins Avenue, Rockville, </w:t>
      </w:r>
      <w:r>
        <w:t>MD</w:t>
      </w:r>
      <w:r w:rsidR="00A73340">
        <w:t xml:space="preserve"> </w:t>
      </w:r>
      <w:r w:rsidRPr="00A47B31">
        <w:t xml:space="preserve"> 20852.</w:t>
      </w:r>
    </w:p>
    <w:p w14:paraId="6C94811D" w14:textId="77777777" w:rsidR="001F33CC" w:rsidRPr="001F33CC" w:rsidRDefault="001F33CC" w:rsidP="00224836">
      <w:pPr>
        <w:pStyle w:val="Heading1"/>
      </w:pPr>
      <w:bookmarkStart w:id="34" w:name="_bmk16"/>
      <w:r w:rsidRPr="001F33CC">
        <w:t>E</w:t>
      </w:r>
      <w:bookmarkEnd w:id="34"/>
      <w:r w:rsidRPr="001F33CC">
        <w:t>nvironmental Analysis</w:t>
      </w:r>
    </w:p>
    <w:p w14:paraId="61D4F3C0" w14:textId="77777777" w:rsidR="000B1B98" w:rsidRDefault="001F33CC" w:rsidP="001F33CC">
      <w:pPr>
        <w:pStyle w:val="FERCparanumber"/>
      </w:pPr>
      <w:r w:rsidRPr="00B61165">
        <w:t xml:space="preserve">The Commission is required to prepare an Environmental Assessment or an Environmental Impact Statement for any action that may have a significant adverse effect </w:t>
      </w:r>
    </w:p>
    <w:p w14:paraId="182A252E" w14:textId="25FE9967" w:rsidR="001F33CC" w:rsidRPr="00B61165" w:rsidRDefault="001F33CC" w:rsidP="000B1B98">
      <w:pPr>
        <w:pStyle w:val="FERCparanumber"/>
        <w:numPr>
          <w:ilvl w:val="0"/>
          <w:numId w:val="0"/>
        </w:numPr>
      </w:pPr>
      <w:r w:rsidRPr="00B61165">
        <w:t>on the human environment.</w:t>
      </w:r>
      <w:r w:rsidRPr="009231E5">
        <w:rPr>
          <w:rStyle w:val="FootnoteReference"/>
        </w:rPr>
        <w:footnoteReference w:id="69"/>
      </w:r>
      <w:r w:rsidRPr="00B61165">
        <w:t xml:space="preserve"> </w:t>
      </w:r>
      <w:r>
        <w:t xml:space="preserve"> </w:t>
      </w:r>
      <w:r w:rsidRPr="00BA2C10">
        <w:t>The actions that we</w:t>
      </w:r>
      <w:r w:rsidR="0044089C">
        <w:t xml:space="preserve"> </w:t>
      </w:r>
      <w:r w:rsidRPr="00BA2C10">
        <w:t xml:space="preserve">take here fall within categorical exclusions in the Commission’s regulations for rules that are clarifying, corrective, </w:t>
      </w:r>
      <w:r w:rsidR="000B1B98">
        <w:t xml:space="preserve">        </w:t>
      </w:r>
      <w:r w:rsidRPr="00BA2C10">
        <w:t>or procedural, for information gathering, analysis, and dissemination, and for rules regarding sales, exchange, and transportation of natural gas that require no construction of facilities.</w:t>
      </w:r>
      <w:r w:rsidRPr="00BA2C10">
        <w:rPr>
          <w:b/>
          <w:vertAlign w:val="superscript"/>
        </w:rPr>
        <w:footnoteReference w:id="70"/>
      </w:r>
      <w:r w:rsidRPr="00BA2C10">
        <w:t xml:space="preserve">  Therefore, an environmental review is unnecessary and has not been prepared as part of this </w:t>
      </w:r>
      <w:r w:rsidR="003A3A58">
        <w:t>final rule</w:t>
      </w:r>
      <w:r w:rsidRPr="00BA2C10">
        <w:t>.</w:t>
      </w:r>
    </w:p>
    <w:p w14:paraId="23E12211" w14:textId="77777777" w:rsidR="001F33CC" w:rsidRPr="00D4523C" w:rsidRDefault="001F33CC" w:rsidP="00224836">
      <w:pPr>
        <w:pStyle w:val="Heading1"/>
      </w:pPr>
      <w:bookmarkStart w:id="35" w:name="_bmk17"/>
      <w:r w:rsidRPr="00D4523C">
        <w:t>R</w:t>
      </w:r>
      <w:bookmarkEnd w:id="35"/>
      <w:r w:rsidRPr="00D4523C">
        <w:t>egulatory Flexibility Act</w:t>
      </w:r>
    </w:p>
    <w:p w14:paraId="0EE49D2D" w14:textId="334FD604" w:rsidR="001F33CC" w:rsidRDefault="001F33CC" w:rsidP="001F33CC">
      <w:pPr>
        <w:pStyle w:val="FERCparanumber"/>
      </w:pPr>
      <w:r w:rsidRPr="00B61165">
        <w:t>The Regulatory Fle</w:t>
      </w:r>
      <w:r w:rsidRPr="00B61165">
        <w:rPr>
          <w:rStyle w:val="FERCparanumberChar"/>
        </w:rPr>
        <w:t>x</w:t>
      </w:r>
      <w:r w:rsidRPr="00B61165">
        <w:t>ibility Act of 1980 (RFA)</w:t>
      </w:r>
      <w:r w:rsidRPr="00C923CC">
        <w:rPr>
          <w:rStyle w:val="FootnoteReference"/>
        </w:rPr>
        <w:footnoteReference w:id="71"/>
      </w:r>
      <w:r w:rsidRPr="00B61165">
        <w:t xml:space="preserve"> generally requires a description and analysis of rules that will have significant economic impact on a substantial number of small entities.</w:t>
      </w:r>
      <w:r>
        <w:t xml:space="preserve">  </w:t>
      </w:r>
      <w:r w:rsidRPr="00BA2C10">
        <w:t>The Commission is not required to make such an analysis if proposed regulations would not have such an effect.</w:t>
      </w:r>
      <w:r w:rsidR="003817EB">
        <w:t xml:space="preserve"> </w:t>
      </w:r>
      <w:r w:rsidR="00A5071B">
        <w:t xml:space="preserve"> In the NOPR, the Commission</w:t>
      </w:r>
      <w:r w:rsidR="00182787">
        <w:t xml:space="preserve"> </w:t>
      </w:r>
      <w:r w:rsidR="00182787" w:rsidRPr="00182787">
        <w:t>included an initial regulatory flexibility analysis that assessed the rule</w:t>
      </w:r>
      <w:r w:rsidR="00B07CAB">
        <w:t>’</w:t>
      </w:r>
      <w:r w:rsidR="00182787" w:rsidRPr="00182787">
        <w:t>s potential impact on small businesses.</w:t>
      </w:r>
      <w:r w:rsidR="00A5071B">
        <w:t xml:space="preserve"> </w:t>
      </w:r>
      <w:r w:rsidR="00182787">
        <w:t xml:space="preserve"> The Commission </w:t>
      </w:r>
      <w:r w:rsidR="00A5071B">
        <w:t xml:space="preserve">determined that the proposed requirements would not have a significant economic impact on a substantial number of small entities. </w:t>
      </w:r>
      <w:r w:rsidR="00CE282D">
        <w:t xml:space="preserve"> </w:t>
      </w:r>
      <w:r w:rsidR="00A5071B">
        <w:t xml:space="preserve">Therefore, within this </w:t>
      </w:r>
      <w:r w:rsidR="003A3A58">
        <w:t>final rule</w:t>
      </w:r>
      <w:r w:rsidR="00A5071B">
        <w:t xml:space="preserve"> </w:t>
      </w:r>
      <w:r w:rsidR="003817EB">
        <w:t xml:space="preserve">we </w:t>
      </w:r>
      <w:r w:rsidR="00A5071B">
        <w:t>continue to determine this to be true.</w:t>
      </w:r>
    </w:p>
    <w:p w14:paraId="736E8742" w14:textId="2FF92E9C" w:rsidR="001F33CC" w:rsidRDefault="001F33CC" w:rsidP="001F33CC">
      <w:pPr>
        <w:pStyle w:val="FERCparanumber"/>
      </w:pPr>
      <w:r w:rsidRPr="001E39E3">
        <w:t xml:space="preserve">Approximately </w:t>
      </w:r>
      <w:r w:rsidRPr="00271804">
        <w:t>193</w:t>
      </w:r>
      <w:r>
        <w:t xml:space="preserve"> interstate natural gas pipelines, both large and small, are respondents subject to the requirements </w:t>
      </w:r>
      <w:r w:rsidR="00F503EB">
        <w:t>in this final rule</w:t>
      </w:r>
      <w:r>
        <w:t xml:space="preserve">.  </w:t>
      </w:r>
      <w:r w:rsidRPr="00241B37">
        <w:t>Most of the natural gas pipelines regulated by the Commission do not fall within the RFA’s definition of a small entity,</w:t>
      </w:r>
      <w:r w:rsidRPr="00241B37">
        <w:rPr>
          <w:b/>
          <w:vertAlign w:val="superscript"/>
        </w:rPr>
        <w:footnoteReference w:id="72"/>
      </w:r>
      <w:r w:rsidRPr="00241B37">
        <w:t xml:space="preserve"> which is currently defined for natural gas pipelines as a company that, in combination with its affiliates, has </w:t>
      </w:r>
      <w:r w:rsidRPr="00B05C4F">
        <w:t>total annual receipts of $41.5 million or less.</w:t>
      </w:r>
      <w:r w:rsidRPr="00B05C4F">
        <w:rPr>
          <w:b/>
          <w:vertAlign w:val="superscript"/>
        </w:rPr>
        <w:footnoteReference w:id="73"/>
      </w:r>
      <w:r w:rsidRPr="00B05C4F">
        <w:t xml:space="preserve">  </w:t>
      </w:r>
      <w:r w:rsidR="000B1B98">
        <w:t xml:space="preserve">       </w:t>
      </w:r>
      <w:r w:rsidRPr="00B05C4F">
        <w:t>For the year 202</w:t>
      </w:r>
      <w:r>
        <w:t>2</w:t>
      </w:r>
      <w:r w:rsidRPr="00B05C4F">
        <w:t xml:space="preserve">, </w:t>
      </w:r>
      <w:r w:rsidRPr="00A6426D">
        <w:t xml:space="preserve">only </w:t>
      </w:r>
      <w:r w:rsidRPr="00271804">
        <w:t>14</w:t>
      </w:r>
      <w:r w:rsidRPr="00A6426D">
        <w:t xml:space="preserve"> companies</w:t>
      </w:r>
      <w:r w:rsidRPr="00B05C4F">
        <w:t xml:space="preserve"> not affiliated with larger companies had annual revenues </w:t>
      </w:r>
      <w:bookmarkStart w:id="36" w:name="_Hlk55571677"/>
      <w:r w:rsidRPr="00B05C4F">
        <w:t xml:space="preserve">in combination with </w:t>
      </w:r>
      <w:r>
        <w:t>their</w:t>
      </w:r>
      <w:r w:rsidRPr="00B05C4F">
        <w:t xml:space="preserve"> affiliates </w:t>
      </w:r>
      <w:bookmarkEnd w:id="36"/>
      <w:r w:rsidRPr="00B05C4F">
        <w:t>of $41.5 million or less</w:t>
      </w:r>
      <w:r>
        <w:t xml:space="preserve"> and therefore could be considered a small entity under the RFA.  This represents about seven percent of the total universe of potential respondents that may have a significant burden imposed on them.  </w:t>
      </w:r>
      <w:r w:rsidRPr="00494D59">
        <w:t xml:space="preserve">We estimate that the one-time implementation cost of the </w:t>
      </w:r>
      <w:r w:rsidR="00205C04">
        <w:t>requirements in this final rule</w:t>
      </w:r>
      <w:r w:rsidRPr="00494D59">
        <w:t xml:space="preserve"> is $</w:t>
      </w:r>
      <w:r>
        <w:rPr>
          <w:rFonts w:eastAsia="Calibri"/>
          <w:szCs w:val="20"/>
        </w:rPr>
        <w:t xml:space="preserve">2,080,540 </w:t>
      </w:r>
      <w:r w:rsidRPr="00494D59">
        <w:t>(or $</w:t>
      </w:r>
      <w:r>
        <w:t xml:space="preserve">10,780 </w:t>
      </w:r>
      <w:r w:rsidRPr="00494D59">
        <w:t>per entity, regardless of entity size).</w:t>
      </w:r>
      <w:r w:rsidRPr="00494D59">
        <w:rPr>
          <w:b/>
          <w:vertAlign w:val="superscript"/>
        </w:rPr>
        <w:footnoteReference w:id="74"/>
      </w:r>
      <w:r w:rsidRPr="00494D59">
        <w:t xml:space="preserve">  We do not consider the estimated $</w:t>
      </w:r>
      <w:r>
        <w:t xml:space="preserve">10,780 </w:t>
      </w:r>
      <w:r w:rsidRPr="00494D59">
        <w:t>impact</w:t>
      </w:r>
      <w:r w:rsidRPr="00911F8B">
        <w:t xml:space="preserve"> per entity to be significant.  </w:t>
      </w:r>
      <w:r>
        <w:t>Moreover, these requirements are designed to benefit all customers, including small businesses that must comply with them.  Further, as noted above,</w:t>
      </w:r>
      <w:r w:rsidDel="00674C01">
        <w:t xml:space="preserve"> </w:t>
      </w:r>
      <w:r>
        <w:t xml:space="preserve">incorporation by reference of consensus standards helps ensure the reasonableness of the standards by requiring that the standards draw support from a broad spectrum of industry participants representing all segments of the industry.  </w:t>
      </w:r>
      <w:r w:rsidRPr="00932257">
        <w:t>Because of that representation and the fact that industry conducts business under these standards, the Commission</w:t>
      </w:r>
      <w:r>
        <w:t xml:space="preserve"> has found value in</w:t>
      </w:r>
      <w:r w:rsidRPr="00932257">
        <w:t xml:space="preserve"> </w:t>
      </w:r>
      <w:r>
        <w:t>incorporating</w:t>
      </w:r>
      <w:r w:rsidRPr="00932257">
        <w:t xml:space="preserve"> standards that have the widest possible support.</w:t>
      </w:r>
    </w:p>
    <w:p w14:paraId="2BE88C65" w14:textId="1E0A977B" w:rsidR="001F33CC" w:rsidRPr="00A972FF" w:rsidRDefault="001F33CC" w:rsidP="001F33CC">
      <w:pPr>
        <w:pStyle w:val="FERCparanumber"/>
      </w:pPr>
      <w:r>
        <w:t>Accordingly, pursuant to section 605(b) of the RFA,</w:t>
      </w:r>
      <w:r w:rsidRPr="00932257">
        <w:rPr>
          <w:rStyle w:val="FootnoteReference"/>
        </w:rPr>
        <w:footnoteReference w:id="75"/>
      </w:r>
      <w:r>
        <w:t xml:space="preserve"> the Commission certifies that the regulations proposed herein should not have a significant economic impact on a substantial number of small entities.</w:t>
      </w:r>
    </w:p>
    <w:p w14:paraId="6EA1ABFA" w14:textId="77777777" w:rsidR="00A05583" w:rsidRPr="00395600" w:rsidRDefault="00A05583" w:rsidP="00224836">
      <w:pPr>
        <w:pStyle w:val="Heading1"/>
      </w:pPr>
      <w:bookmarkStart w:id="37" w:name="_bmk18"/>
      <w:r w:rsidRPr="00395600">
        <w:t>D</w:t>
      </w:r>
      <w:bookmarkEnd w:id="37"/>
      <w:r w:rsidRPr="00395600">
        <w:t xml:space="preserve">ocument </w:t>
      </w:r>
      <w:r w:rsidRPr="00550FF9">
        <w:t>Availability</w:t>
      </w:r>
    </w:p>
    <w:p w14:paraId="4B4F7AF9" w14:textId="0B648301" w:rsidR="00A05583" w:rsidRDefault="00A05583" w:rsidP="00A05583">
      <w:pPr>
        <w:pStyle w:val="FERCparanumber"/>
      </w:pPr>
      <w:r w:rsidRPr="00B70256">
        <w:t>In addition to publishing the full text of this document in the Federal Register, the Commission provides all interested persons an opportunity to view and/or print the contents of this document via the Internet through the Commission</w:t>
      </w:r>
      <w:r w:rsidR="001E5B5C">
        <w:t>’</w:t>
      </w:r>
      <w:r w:rsidRPr="00B70256">
        <w:t>s Home Page</w:t>
      </w:r>
      <w:r w:rsidR="00103A57">
        <w:t xml:space="preserve"> </w:t>
      </w:r>
      <w:r w:rsidRPr="00B70256">
        <w:t>(</w:t>
      </w:r>
      <w:r w:rsidR="00003915" w:rsidRPr="00003915">
        <w:t>http://www.ferc.gov</w:t>
      </w:r>
      <w:r w:rsidRPr="00B70256">
        <w:t>).</w:t>
      </w:r>
    </w:p>
    <w:p w14:paraId="432D84B0" w14:textId="5ECF948B" w:rsidR="00A05583" w:rsidRPr="00395600" w:rsidRDefault="00A05583" w:rsidP="00A05583">
      <w:pPr>
        <w:pStyle w:val="FERCparanumber"/>
      </w:pPr>
      <w:r>
        <w:rPr>
          <w:color w:val="000000"/>
        </w:rPr>
        <w:t xml:space="preserve">From </w:t>
      </w:r>
      <w:r w:rsidRPr="00B70256">
        <w:rPr>
          <w:color w:val="000000"/>
        </w:rPr>
        <w:t>the Commission’s</w:t>
      </w:r>
      <w:r>
        <w:rPr>
          <w:color w:val="000000"/>
        </w:rPr>
        <w:t xml:space="preserve"> Home Page on the Internet, this information is available on eLibrary. </w:t>
      </w:r>
      <w:r w:rsidR="003817EB">
        <w:rPr>
          <w:color w:val="000000"/>
        </w:rPr>
        <w:t xml:space="preserve"> </w:t>
      </w:r>
      <w:r>
        <w:rPr>
          <w:color w:val="000000"/>
        </w:rPr>
        <w:t xml:space="preserve">The full text of this document is available on eLibrary in PDF and Microsoft Word format for viewing, printing, and/or downloading. </w:t>
      </w:r>
      <w:r w:rsidR="00310E57">
        <w:rPr>
          <w:color w:val="000000"/>
        </w:rPr>
        <w:t xml:space="preserve"> </w:t>
      </w:r>
      <w:r>
        <w:rPr>
          <w:color w:val="000000"/>
        </w:rPr>
        <w:t>To access this document in eLibrary, type the docket number excluding the last three digits of this document in the docket number field.</w:t>
      </w:r>
    </w:p>
    <w:p w14:paraId="444832CC" w14:textId="51E0B3B8" w:rsidR="00A05583" w:rsidRDefault="00A05583" w:rsidP="00A05583">
      <w:pPr>
        <w:pStyle w:val="FERCparanumber"/>
      </w:pPr>
      <w:r>
        <w:t xml:space="preserve">User assistance is available for eLibrary and </w:t>
      </w:r>
      <w:r w:rsidRPr="00B70256">
        <w:t>the Commission’s</w:t>
      </w:r>
      <w:r>
        <w:t xml:space="preserve"> website </w:t>
      </w:r>
      <w:r w:rsidR="00C83BA3">
        <w:t xml:space="preserve">         </w:t>
      </w:r>
      <w:r>
        <w:t xml:space="preserve">during normal business hours from FERC Online Support at 202-502-6652 (toll free </w:t>
      </w:r>
      <w:r w:rsidR="00C83BA3">
        <w:t xml:space="preserve">       </w:t>
      </w:r>
      <w:r>
        <w:t xml:space="preserve">at 1-866-208-3676) or email </w:t>
      </w:r>
      <w:r w:rsidR="00A73340">
        <w:t xml:space="preserve">at </w:t>
      </w:r>
      <w:r w:rsidR="00A73340" w:rsidRPr="004D56C3">
        <w:t>ferconlinesupport@ferc.gov</w:t>
      </w:r>
      <w:r w:rsidR="00A73340">
        <w:t>,</w:t>
      </w:r>
      <w:r>
        <w:t xml:space="preserve"> or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(202) 502-8371, TTY (202)502-8659. </w:t>
      </w:r>
      <w:r w:rsidR="00310E57">
        <w:t xml:space="preserve"> </w:t>
      </w:r>
      <w:r>
        <w:t xml:space="preserve">E-mail the </w:t>
      </w:r>
      <w:r>
        <w:rPr>
          <w:bdr w:val="none" w:sz="0" w:space="0" w:color="auto" w:frame="1"/>
          <w:shd w:val="clear" w:color="auto" w:fill="FFFFFF"/>
        </w:rPr>
        <w:t>Public</w:t>
      </w:r>
      <w:r>
        <w:t xml:space="preserve"> </w:t>
      </w:r>
      <w:r>
        <w:rPr>
          <w:bdr w:val="none" w:sz="0" w:space="0" w:color="auto" w:frame="1"/>
          <w:shd w:val="clear" w:color="auto" w:fill="FFFFFF"/>
        </w:rPr>
        <w:t>Reference</w:t>
      </w:r>
      <w:r>
        <w:t xml:space="preserve"> </w:t>
      </w:r>
      <w:r>
        <w:rPr>
          <w:bdr w:val="none" w:sz="0" w:space="0" w:color="auto" w:frame="1"/>
          <w:shd w:val="clear" w:color="auto" w:fill="FFFFFF"/>
        </w:rPr>
        <w:t>Room</w:t>
      </w:r>
      <w:r>
        <w:t xml:space="preserve"> at </w:t>
      </w:r>
      <w:r w:rsidR="00A73340" w:rsidRPr="004D56C3">
        <w:t>public.referenceroom@ferc.gov</w:t>
      </w:r>
      <w:r w:rsidR="00A73340">
        <w:t>.</w:t>
      </w:r>
    </w:p>
    <w:p w14:paraId="38DFB56D" w14:textId="77777777" w:rsidR="000361B0" w:rsidRDefault="000361B0" w:rsidP="00224836">
      <w:pPr>
        <w:pStyle w:val="Heading1"/>
      </w:pPr>
      <w:bookmarkStart w:id="38" w:name="_bmk19"/>
      <w:r w:rsidRPr="002323B4">
        <w:t>R</w:t>
      </w:r>
      <w:bookmarkEnd w:id="38"/>
      <w:r w:rsidRPr="002323B4">
        <w:t>egulatory Planning and Review</w:t>
      </w:r>
    </w:p>
    <w:p w14:paraId="6BD199BB" w14:textId="676B97BD" w:rsidR="000361B0" w:rsidRPr="00395600" w:rsidRDefault="000361B0" w:rsidP="00103A57">
      <w:pPr>
        <w:pStyle w:val="FERCparanumber"/>
      </w:pPr>
      <w:r w:rsidRPr="002323B4">
        <w:t xml:space="preserve">Executive Orders 12866 and 13563 direct agencies to assess the costs and benefits of available regulatory alternatives and, if regulation is necessary, to select regulatory approaches that maximize net benefits (including potential economic, environmental, public health and safety effects, distributive impacts, and equity). </w:t>
      </w:r>
      <w:r w:rsidR="00132AC9">
        <w:t xml:space="preserve"> </w:t>
      </w:r>
      <w:r w:rsidRPr="002323B4">
        <w:t>Executive Order 13563 emphasizes the importance of quantifying both costs and benefits, of reducing costs,</w:t>
      </w:r>
      <w:r w:rsidR="00C83BA3">
        <w:t xml:space="preserve">     </w:t>
      </w:r>
      <w:r w:rsidRPr="002323B4">
        <w:t xml:space="preserve"> of harmonizing rules, and of promoting flexibility.  The Office of Information and Regulatory Affairs (OIRA) has determined this regulatory action is not a “significant regulatory action,” under section 3(f) of Executive Order 12866, as amended.  Accordingly, OIRA has not reviewed this regulatory action for compliance with the analytical requirements of Executive Order 12866.</w:t>
      </w:r>
    </w:p>
    <w:p w14:paraId="20D1944D" w14:textId="77777777" w:rsidR="00A05583" w:rsidRPr="00395600" w:rsidRDefault="00A05583" w:rsidP="00224836">
      <w:pPr>
        <w:pStyle w:val="Heading1"/>
      </w:pPr>
      <w:bookmarkStart w:id="39" w:name="_bmk20"/>
      <w:r w:rsidRPr="00395600">
        <w:t>E</w:t>
      </w:r>
      <w:bookmarkEnd w:id="39"/>
      <w:r w:rsidRPr="00395600">
        <w:t>ffective Date and Congressional Notification</w:t>
      </w:r>
    </w:p>
    <w:p w14:paraId="23331FCC" w14:textId="3453D72D" w:rsidR="00A05583" w:rsidRPr="00395600" w:rsidRDefault="00A05583" w:rsidP="00A05583">
      <w:pPr>
        <w:pStyle w:val="FERCparanumber"/>
      </w:pPr>
      <w:r w:rsidRPr="00395600">
        <w:t>These regulations are effective</w:t>
      </w:r>
      <w:r w:rsidR="00C83BA3">
        <w:t xml:space="preserve"> </w:t>
      </w:r>
      <w:r w:rsidR="00B77350" w:rsidRPr="00B77350">
        <w:rPr>
          <w:b/>
          <w:bCs/>
        </w:rPr>
        <w:t>[INSERT DATE 60 DAYS AFTER DATE OF PUBLICATION IN THE FEDERAL REGISTER]</w:t>
      </w:r>
      <w:r w:rsidRPr="00395600">
        <w:t xml:space="preserve">.  The Commission has determined, with the concurrence of the Administrator of the Office of Information and Regulatory Affairs of OMB, that this rule </w:t>
      </w:r>
      <w:r w:rsidR="00310E57">
        <w:t>is not</w:t>
      </w:r>
      <w:r w:rsidR="00310E57" w:rsidRPr="00395600">
        <w:t xml:space="preserve"> </w:t>
      </w:r>
      <w:r w:rsidRPr="00395600">
        <w:t>a “major rule” as defined in section 351 of the</w:t>
      </w:r>
      <w:r w:rsidR="00C83BA3">
        <w:t xml:space="preserve">  </w:t>
      </w:r>
      <w:r w:rsidRPr="00395600">
        <w:t xml:space="preserve"> Small Business Regulatory Enforcement Fairness Act of 1996.</w:t>
      </w:r>
    </w:p>
    <w:p w14:paraId="5C0D8427" w14:textId="77777777" w:rsidR="00C83BA3" w:rsidRDefault="00C83BA3">
      <w:pPr>
        <w:rPr>
          <w:b/>
          <w:bCs/>
          <w:u w:val="single"/>
        </w:rPr>
      </w:pPr>
    </w:p>
    <w:p w14:paraId="7614D838" w14:textId="77777777" w:rsidR="00C83BA3" w:rsidRDefault="00C83BA3">
      <w:pPr>
        <w:rPr>
          <w:b/>
          <w:bCs/>
          <w:u w:val="single"/>
        </w:rPr>
      </w:pPr>
    </w:p>
    <w:p w14:paraId="61E7E958" w14:textId="77777777" w:rsidR="00C83BA3" w:rsidRDefault="00C83BA3">
      <w:pPr>
        <w:rPr>
          <w:b/>
          <w:bCs/>
          <w:u w:val="single"/>
        </w:rPr>
      </w:pPr>
    </w:p>
    <w:p w14:paraId="40E94C27" w14:textId="77777777" w:rsidR="00C83BA3" w:rsidRDefault="00C83BA3">
      <w:pPr>
        <w:rPr>
          <w:b/>
          <w:bCs/>
          <w:u w:val="single"/>
        </w:rPr>
      </w:pPr>
    </w:p>
    <w:p w14:paraId="1E75A0F2" w14:textId="77777777" w:rsidR="00C83BA3" w:rsidRDefault="00C83BA3">
      <w:pPr>
        <w:rPr>
          <w:b/>
          <w:bCs/>
          <w:u w:val="single"/>
        </w:rPr>
      </w:pPr>
    </w:p>
    <w:p w14:paraId="6462EDF8" w14:textId="77777777" w:rsidR="00C83BA3" w:rsidRDefault="00C83BA3">
      <w:pPr>
        <w:rPr>
          <w:b/>
          <w:bCs/>
          <w:u w:val="single"/>
        </w:rPr>
      </w:pPr>
    </w:p>
    <w:p w14:paraId="19894AEF" w14:textId="77777777" w:rsidR="00C83BA3" w:rsidRDefault="00C83BA3">
      <w:pPr>
        <w:rPr>
          <w:b/>
          <w:bCs/>
          <w:u w:val="single"/>
        </w:rPr>
      </w:pPr>
    </w:p>
    <w:p w14:paraId="504FAC07" w14:textId="77777777" w:rsidR="00C83BA3" w:rsidRDefault="00C83BA3">
      <w:pPr>
        <w:rPr>
          <w:b/>
          <w:bCs/>
          <w:u w:val="single"/>
        </w:rPr>
      </w:pPr>
    </w:p>
    <w:p w14:paraId="3612218A" w14:textId="77777777" w:rsidR="00C83BA3" w:rsidRDefault="00C83BA3">
      <w:pPr>
        <w:rPr>
          <w:b/>
          <w:bCs/>
          <w:u w:val="single"/>
        </w:rPr>
      </w:pPr>
    </w:p>
    <w:p w14:paraId="7B579612" w14:textId="2C4D0C72" w:rsidR="00A05583" w:rsidRPr="00395600" w:rsidRDefault="00F67B01">
      <w:r w:rsidRPr="00F67B01">
        <w:rPr>
          <w:b/>
          <w:bCs/>
          <w:u w:val="single"/>
        </w:rPr>
        <w:t>List of Subjects in 18 CFR Part 284</w:t>
      </w:r>
    </w:p>
    <w:p w14:paraId="2008D297" w14:textId="77777777" w:rsidR="00C759D6" w:rsidRDefault="00C759D6"/>
    <w:p w14:paraId="2372B66F" w14:textId="103A44EB" w:rsidR="00C759D6" w:rsidRDefault="00C759D6" w:rsidP="00345CEE">
      <w:pPr>
        <w:spacing w:line="480" w:lineRule="auto"/>
        <w:ind w:firstLine="720"/>
      </w:pPr>
      <w:r w:rsidRPr="00A44412">
        <w:t>C</w:t>
      </w:r>
      <w:r w:rsidRPr="00E71EDB">
        <w:t xml:space="preserve">ontinental </w:t>
      </w:r>
      <w:r>
        <w:t>s</w:t>
      </w:r>
      <w:r w:rsidRPr="00E71EDB">
        <w:t>helf</w:t>
      </w:r>
      <w:r>
        <w:t xml:space="preserve">, </w:t>
      </w:r>
      <w:r w:rsidRPr="00E71EDB">
        <w:t>Incorporation by reference</w:t>
      </w:r>
      <w:r>
        <w:t xml:space="preserve">, </w:t>
      </w:r>
      <w:r w:rsidRPr="00E71EDB">
        <w:t>Natural gas</w:t>
      </w:r>
      <w:r>
        <w:t xml:space="preserve">, </w:t>
      </w:r>
      <w:r w:rsidRPr="00E71EDB">
        <w:t>Reporting and recordkeeping requirements</w:t>
      </w:r>
      <w:r>
        <w:t>.</w:t>
      </w:r>
    </w:p>
    <w:p w14:paraId="7E236D5B" w14:textId="64092F32" w:rsidR="00A05583" w:rsidRPr="00395600" w:rsidRDefault="00A05583">
      <w:r w:rsidRPr="00395600">
        <w:t>By the Commission.</w:t>
      </w:r>
    </w:p>
    <w:p w14:paraId="30273B70" w14:textId="77777777" w:rsidR="00A05583" w:rsidRPr="00395600" w:rsidRDefault="00A05583"/>
    <w:p w14:paraId="6C20096F" w14:textId="3ED77CB5" w:rsidR="00A05583" w:rsidRDefault="00C83BA3" w:rsidP="00C83BA3">
      <w:pPr>
        <w:widowControl/>
      </w:pPr>
      <w:r w:rsidRPr="00C83BA3">
        <w:t>( S E A L )</w:t>
      </w:r>
      <w:r w:rsidR="00A05583" w:rsidRPr="00395600">
        <w:tab/>
      </w:r>
      <w:r w:rsidR="00A05583" w:rsidRPr="00395600">
        <w:tab/>
      </w:r>
      <w:r w:rsidR="00A05583" w:rsidRPr="00395600">
        <w:tab/>
      </w:r>
      <w:r w:rsidR="00A05583" w:rsidRPr="00395600">
        <w:tab/>
      </w:r>
      <w:r w:rsidR="00A05583" w:rsidRPr="00395600">
        <w:tab/>
      </w:r>
      <w:r w:rsidR="00A05583" w:rsidRPr="00395600">
        <w:tab/>
      </w:r>
    </w:p>
    <w:p w14:paraId="56226F02" w14:textId="77777777" w:rsidR="00C83BA3" w:rsidRDefault="00C83BA3" w:rsidP="00C83BA3">
      <w:pPr>
        <w:widowControl/>
      </w:pPr>
    </w:p>
    <w:p w14:paraId="3F810D3F" w14:textId="77777777" w:rsidR="00C83BA3" w:rsidRDefault="00C83BA3" w:rsidP="00C83BA3">
      <w:pPr>
        <w:widowControl/>
      </w:pPr>
    </w:p>
    <w:p w14:paraId="48CB53F8" w14:textId="77777777" w:rsidR="004A3EFF" w:rsidRDefault="004A3EFF"/>
    <w:p w14:paraId="1BA46E62" w14:textId="6439C3FF" w:rsidR="004A3EFF" w:rsidRPr="004A3EFF" w:rsidRDefault="004A3EFF" w:rsidP="004A3EFF">
      <w:pPr>
        <w:widowControl/>
        <w:ind w:firstLine="2606"/>
        <w:jc w:val="center"/>
      </w:pPr>
      <w:r w:rsidRPr="004A3EFF">
        <w:t>Debbie-Anne A. Reese,</w:t>
      </w:r>
    </w:p>
    <w:p w14:paraId="33945CF1" w14:textId="1720F5DD" w:rsidR="004A3EFF" w:rsidRPr="004A3EFF" w:rsidRDefault="004A3EFF" w:rsidP="004A3EFF">
      <w:pPr>
        <w:widowControl/>
        <w:ind w:firstLine="2606"/>
        <w:jc w:val="center"/>
      </w:pPr>
      <w:r w:rsidRPr="004A3EFF">
        <w:t>Secretary.</w:t>
      </w:r>
    </w:p>
    <w:p w14:paraId="6B98E944" w14:textId="6684EC29" w:rsidR="004A3EFF" w:rsidRDefault="004A3EFF">
      <w:pPr>
        <w:widowControl/>
        <w:spacing w:after="160" w:line="259" w:lineRule="auto"/>
      </w:pPr>
      <w:r>
        <w:br w:type="page"/>
      </w:r>
    </w:p>
    <w:p w14:paraId="18F74ED5" w14:textId="710C206E" w:rsidR="00A05583" w:rsidRDefault="00A05583">
      <w:pPr>
        <w:spacing w:line="480" w:lineRule="auto"/>
      </w:pPr>
      <w:r w:rsidRPr="00395600">
        <w:tab/>
        <w:t>In consideration of the foregoing, the Commission amend</w:t>
      </w:r>
      <w:r w:rsidR="00EE49D0">
        <w:t>s</w:t>
      </w:r>
      <w:r w:rsidRPr="00395600">
        <w:t xml:space="preserve"> </w:t>
      </w:r>
      <w:r w:rsidR="00EE49D0">
        <w:t xml:space="preserve">18 CFR part 284 </w:t>
      </w:r>
      <w:r w:rsidR="00103174" w:rsidRPr="00103174">
        <w:t>as follows:</w:t>
      </w:r>
    </w:p>
    <w:p w14:paraId="1B0ACA1D" w14:textId="77777777" w:rsidR="00C8034D" w:rsidRPr="00D4523C" w:rsidRDefault="00C8034D" w:rsidP="00C8034D">
      <w:pPr>
        <w:rPr>
          <w:b/>
        </w:rPr>
      </w:pPr>
      <w:r w:rsidRPr="00D4523C">
        <w:rPr>
          <w:b/>
        </w:rPr>
        <w:t>PART 284 -- CERTAIN SALES AND TRANSPORTATION OF NATURAL GAS UNDER THE NATURAL GAS POLICY ACT OF 1978 AND RELATED AUTHORITIES</w:t>
      </w:r>
    </w:p>
    <w:p w14:paraId="07F87C2D" w14:textId="77777777" w:rsidR="00C8034D" w:rsidRPr="00D4523C" w:rsidRDefault="00C8034D" w:rsidP="00C8034D"/>
    <w:p w14:paraId="62C08251" w14:textId="77777777" w:rsidR="00C8034D" w:rsidRPr="00D4523C" w:rsidRDefault="00C8034D" w:rsidP="00C8034D">
      <w:pPr>
        <w:rPr>
          <w:bCs/>
        </w:rPr>
      </w:pPr>
      <w:r w:rsidRPr="00D4523C">
        <w:rPr>
          <w:bCs/>
        </w:rPr>
        <w:t>1.</w:t>
      </w:r>
      <w:r w:rsidRPr="00D4523C">
        <w:rPr>
          <w:bCs/>
        </w:rPr>
        <w:tab/>
        <w:t>The authority citation for part 284 continues to read as follows:</w:t>
      </w:r>
    </w:p>
    <w:p w14:paraId="0E545191" w14:textId="77777777" w:rsidR="00C8034D" w:rsidRPr="00D4523C" w:rsidRDefault="00C8034D" w:rsidP="00C8034D">
      <w:pPr>
        <w:rPr>
          <w:b/>
          <w:bCs/>
        </w:rPr>
      </w:pPr>
    </w:p>
    <w:p w14:paraId="53C9EFFB" w14:textId="77777777" w:rsidR="00C8034D" w:rsidRPr="00D4523C" w:rsidRDefault="00C8034D" w:rsidP="00C8034D">
      <w:pPr>
        <w:rPr>
          <w:bCs/>
        </w:rPr>
      </w:pPr>
      <w:r w:rsidRPr="00D4523C">
        <w:rPr>
          <w:b/>
          <w:bCs/>
        </w:rPr>
        <w:t>Authority</w:t>
      </w:r>
      <w:r w:rsidRPr="00D4523C">
        <w:rPr>
          <w:bCs/>
        </w:rPr>
        <w:t xml:space="preserve">:  15 U.S.C. 717-717z, 3301-3432; 42 U.S.C. 7101-7352; 43 U.S.C. </w:t>
      </w:r>
    </w:p>
    <w:p w14:paraId="050854E4" w14:textId="77777777" w:rsidR="00C8034D" w:rsidRPr="00D4523C" w:rsidRDefault="00C8034D" w:rsidP="00C8034D">
      <w:pPr>
        <w:rPr>
          <w:bCs/>
        </w:rPr>
      </w:pPr>
    </w:p>
    <w:p w14:paraId="2BAD671A" w14:textId="77777777" w:rsidR="00C8034D" w:rsidRPr="00D4523C" w:rsidRDefault="00C8034D" w:rsidP="00C8034D">
      <w:pPr>
        <w:rPr>
          <w:bCs/>
        </w:rPr>
      </w:pPr>
      <w:r w:rsidRPr="00D4523C">
        <w:rPr>
          <w:bCs/>
        </w:rPr>
        <w:t>1331-1356.</w:t>
      </w:r>
    </w:p>
    <w:p w14:paraId="365913BB" w14:textId="77777777" w:rsidR="00C8034D" w:rsidRPr="00D4523C" w:rsidRDefault="00C8034D" w:rsidP="00C8034D">
      <w:pPr>
        <w:rPr>
          <w:bCs/>
        </w:rPr>
      </w:pPr>
    </w:p>
    <w:p w14:paraId="6109255E" w14:textId="77777777" w:rsidR="00130C81" w:rsidRDefault="00C8034D" w:rsidP="00C8034D">
      <w:pPr>
        <w:spacing w:after="260"/>
        <w:rPr>
          <w:bCs/>
        </w:rPr>
      </w:pPr>
      <w:r w:rsidRPr="00D4523C">
        <w:rPr>
          <w:bCs/>
        </w:rPr>
        <w:t>2.</w:t>
      </w:r>
      <w:r w:rsidRPr="00D4523C">
        <w:rPr>
          <w:bCs/>
        </w:rPr>
        <w:tab/>
      </w:r>
      <w:r w:rsidR="00B16ADD">
        <w:rPr>
          <w:bCs/>
        </w:rPr>
        <w:t xml:space="preserve">In </w:t>
      </w:r>
      <w:r w:rsidRPr="00561955">
        <w:rPr>
          <w:bCs/>
        </w:rPr>
        <w:t>§ 284.12</w:t>
      </w:r>
      <w:r w:rsidR="00130C81">
        <w:rPr>
          <w:bCs/>
        </w:rPr>
        <w:t>:</w:t>
      </w:r>
    </w:p>
    <w:p w14:paraId="60BFDF28" w14:textId="0452368B" w:rsidR="00130C81" w:rsidRDefault="00130C81" w:rsidP="00C8034D">
      <w:pPr>
        <w:spacing w:after="260"/>
        <w:rPr>
          <w:bCs/>
        </w:rPr>
      </w:pPr>
      <w:r>
        <w:rPr>
          <w:bCs/>
        </w:rPr>
        <w:t>a. R</w:t>
      </w:r>
      <w:r w:rsidR="00F615C8">
        <w:rPr>
          <w:bCs/>
        </w:rPr>
        <w:t xml:space="preserve">evise </w:t>
      </w:r>
      <w:r w:rsidR="00C8034D" w:rsidRPr="00561955">
        <w:rPr>
          <w:bCs/>
        </w:rPr>
        <w:t xml:space="preserve">paragraphs (a)(1)(i) </w:t>
      </w:r>
      <w:r w:rsidR="009228B0">
        <w:rPr>
          <w:bCs/>
        </w:rPr>
        <w:t xml:space="preserve">through </w:t>
      </w:r>
      <w:r w:rsidRPr="00130C81">
        <w:rPr>
          <w:bCs/>
        </w:rPr>
        <w:t>(vii)</w:t>
      </w:r>
      <w:r>
        <w:rPr>
          <w:bCs/>
        </w:rPr>
        <w:t xml:space="preserve">; </w:t>
      </w:r>
      <w:r w:rsidR="00C8034D" w:rsidRPr="00561955">
        <w:rPr>
          <w:bCs/>
        </w:rPr>
        <w:t>and</w:t>
      </w:r>
      <w:r w:rsidR="00C8034D" w:rsidRPr="00561955" w:rsidDel="003E639D">
        <w:rPr>
          <w:bCs/>
        </w:rPr>
        <w:t xml:space="preserve"> </w:t>
      </w:r>
    </w:p>
    <w:p w14:paraId="59A5F93A" w14:textId="5C9069B6" w:rsidR="00C8034D" w:rsidRDefault="00130C81" w:rsidP="00C8034D">
      <w:pPr>
        <w:spacing w:after="260"/>
        <w:rPr>
          <w:bCs/>
        </w:rPr>
      </w:pPr>
      <w:r>
        <w:rPr>
          <w:bCs/>
        </w:rPr>
        <w:t xml:space="preserve">b. Remove </w:t>
      </w:r>
      <w:r w:rsidR="00C8034D" w:rsidRPr="00561955">
        <w:rPr>
          <w:bCs/>
        </w:rPr>
        <w:t>paragraph (a)(1)(viii).</w:t>
      </w:r>
    </w:p>
    <w:p w14:paraId="142004CF" w14:textId="5B611258" w:rsidR="00130C81" w:rsidRPr="00D4523C" w:rsidRDefault="00130C81" w:rsidP="00C8034D">
      <w:pPr>
        <w:spacing w:after="260"/>
      </w:pPr>
      <w:r>
        <w:rPr>
          <w:bCs/>
        </w:rPr>
        <w:t>The revisions read as follows:</w:t>
      </w:r>
    </w:p>
    <w:p w14:paraId="4F570BE6" w14:textId="77777777" w:rsidR="00C8034D" w:rsidRPr="00D4523C" w:rsidRDefault="00C8034D" w:rsidP="00C8034D">
      <w:pPr>
        <w:rPr>
          <w:bCs/>
        </w:rPr>
      </w:pPr>
      <w:r w:rsidRPr="00D4523C">
        <w:rPr>
          <w:b/>
          <w:bCs/>
        </w:rPr>
        <w:t>§</w:t>
      </w:r>
      <w:r>
        <w:rPr>
          <w:b/>
          <w:bCs/>
        </w:rPr>
        <w:t> </w:t>
      </w:r>
      <w:r w:rsidRPr="00D4523C">
        <w:rPr>
          <w:b/>
          <w:bCs/>
        </w:rPr>
        <w:t>284.12</w:t>
      </w:r>
      <w:r>
        <w:rPr>
          <w:b/>
          <w:bCs/>
        </w:rPr>
        <w:t xml:space="preserve"> </w:t>
      </w:r>
      <w:r w:rsidRPr="00D4523C">
        <w:rPr>
          <w:b/>
          <w:bCs/>
        </w:rPr>
        <w:t>Standards for pipeline business operations and communications</w:t>
      </w:r>
      <w:r w:rsidRPr="00D4523C">
        <w:rPr>
          <w:bCs/>
        </w:rPr>
        <w:t>.</w:t>
      </w:r>
    </w:p>
    <w:p w14:paraId="59704A9F" w14:textId="77777777" w:rsidR="00C8034D" w:rsidRPr="00D4523C" w:rsidRDefault="00C8034D" w:rsidP="00C8034D"/>
    <w:p w14:paraId="43EBAE52" w14:textId="55135825" w:rsidR="00C8034D" w:rsidRPr="00D4523C" w:rsidRDefault="00C8034D" w:rsidP="00C8034D">
      <w:pPr>
        <w:rPr>
          <w:bCs/>
        </w:rPr>
      </w:pPr>
      <w:r w:rsidRPr="00D4523C">
        <w:rPr>
          <w:bCs/>
        </w:rPr>
        <w:t>(a) ***</w:t>
      </w:r>
    </w:p>
    <w:p w14:paraId="5FC9B9FF" w14:textId="77777777" w:rsidR="001303CA" w:rsidRPr="00752187" w:rsidRDefault="001303CA" w:rsidP="00C8034D"/>
    <w:p w14:paraId="3739DDCB" w14:textId="37D1ACB8" w:rsidR="00E717CF" w:rsidRPr="00D4523C" w:rsidRDefault="00C8034D" w:rsidP="00C8034D">
      <w:pPr>
        <w:rPr>
          <w:bCs/>
        </w:rPr>
      </w:pPr>
      <w:r w:rsidRPr="00D4523C">
        <w:rPr>
          <w:bCs/>
        </w:rPr>
        <w:t>(1) ***</w:t>
      </w:r>
    </w:p>
    <w:p w14:paraId="0E1DCCBF" w14:textId="77777777" w:rsidR="00C8034D" w:rsidRPr="00D4523C" w:rsidRDefault="00C8034D" w:rsidP="00C8034D">
      <w:pPr>
        <w:rPr>
          <w:bCs/>
        </w:rPr>
      </w:pPr>
    </w:p>
    <w:p w14:paraId="64582637" w14:textId="44704881" w:rsidR="00C8034D" w:rsidRPr="00D50C37" w:rsidRDefault="00C8034D" w:rsidP="00C8034D">
      <w:r w:rsidRPr="00D50C37">
        <w:t>(i)</w:t>
      </w:r>
      <w:r w:rsidR="003A0989">
        <w:t xml:space="preserve"> </w:t>
      </w:r>
      <w:r w:rsidRPr="00D50C37">
        <w:t>WGQ Additional Standards</w:t>
      </w:r>
      <w:r w:rsidR="00756E74">
        <w:t>,</w:t>
      </w:r>
      <w:r w:rsidRPr="00D50C37">
        <w:t xml:space="preserve"> Version 4.0, September 29, 2023, </w:t>
      </w:r>
      <w:r w:rsidR="00756E74">
        <w:t>(including</w:t>
      </w:r>
      <w:r w:rsidR="0058396D" w:rsidRPr="0058396D">
        <w:t xml:space="preserve"> </w:t>
      </w:r>
      <w:bookmarkStart w:id="40" w:name="_Hlk230155184"/>
      <w:r w:rsidR="0058396D" w:rsidRPr="0058396D">
        <w:t>Addition of WGQ</w:t>
      </w:r>
      <w:r w:rsidR="00756E74">
        <w:t xml:space="preserve"> </w:t>
      </w:r>
      <w:bookmarkEnd w:id="40"/>
      <w:r w:rsidRPr="00D50C37">
        <w:t>Standard No. 0.3.30, November 25, 2024</w:t>
      </w:r>
      <w:r w:rsidR="00756E74">
        <w:t>)</w:t>
      </w:r>
      <w:r w:rsidR="003A0989">
        <w:t>.</w:t>
      </w:r>
      <w:r w:rsidRPr="00D50C37">
        <w:t xml:space="preserve"> </w:t>
      </w:r>
    </w:p>
    <w:p w14:paraId="24BEED9D" w14:textId="77777777" w:rsidR="00C8034D" w:rsidRPr="00D50C37" w:rsidRDefault="00C8034D" w:rsidP="00C8034D">
      <w:pPr>
        <w:ind w:left="720"/>
      </w:pPr>
    </w:p>
    <w:p w14:paraId="4BAE6D83" w14:textId="021BCD33" w:rsidR="00C8034D" w:rsidRPr="00D50C37" w:rsidRDefault="00C8034D" w:rsidP="00752187">
      <w:pPr>
        <w:spacing w:after="260"/>
      </w:pPr>
      <w:r w:rsidRPr="00D50C37">
        <w:t xml:space="preserve">(ii) </w:t>
      </w:r>
      <w:r w:rsidR="00CF446F" w:rsidRPr="00CF446F">
        <w:t>WGQ Nominations Related Standards, Version 4.0, September 29, 2023</w:t>
      </w:r>
      <w:r w:rsidR="00C83BA3">
        <w:t>.</w:t>
      </w:r>
    </w:p>
    <w:p w14:paraId="4C8A5DCA" w14:textId="7F9BC409" w:rsidR="00C8034D" w:rsidRPr="00D50C37" w:rsidRDefault="00C8034D" w:rsidP="00C8034D">
      <w:r w:rsidRPr="00D50C37">
        <w:t xml:space="preserve">(iii) </w:t>
      </w:r>
      <w:r w:rsidR="00CF446F" w:rsidRPr="00CF446F">
        <w:t>WGQ Flowing Gas Related Standards, Version 4.0, September 29, 2023</w:t>
      </w:r>
      <w:r w:rsidR="00C83BA3">
        <w:t>.</w:t>
      </w:r>
    </w:p>
    <w:p w14:paraId="0935B7ED" w14:textId="77777777" w:rsidR="003A0989" w:rsidRPr="00D50C37" w:rsidRDefault="003A0989" w:rsidP="00C8034D"/>
    <w:p w14:paraId="1BBA29F8" w14:textId="19F76616" w:rsidR="00C8034D" w:rsidRDefault="00C8034D" w:rsidP="00C8034D">
      <w:r w:rsidRPr="00D50C37">
        <w:t>(iv)</w:t>
      </w:r>
      <w:r w:rsidR="003A0989">
        <w:t xml:space="preserve"> </w:t>
      </w:r>
      <w:r w:rsidRPr="00D50C37">
        <w:t>WGQ Invoicing Related Standards</w:t>
      </w:r>
      <w:r w:rsidR="003A0989">
        <w:t>,</w:t>
      </w:r>
      <w:r w:rsidRPr="00D50C37">
        <w:t xml:space="preserve"> Version 4.0, </w:t>
      </w:r>
      <w:bookmarkStart w:id="41" w:name="_Hlk191053297"/>
      <w:r w:rsidRPr="00D50C37">
        <w:t>September 29, 2023</w:t>
      </w:r>
      <w:bookmarkEnd w:id="41"/>
      <w:r w:rsidRPr="00D50C37">
        <w:t xml:space="preserve">, </w:t>
      </w:r>
      <w:r w:rsidR="003A0989">
        <w:t xml:space="preserve">(including </w:t>
      </w:r>
      <w:r w:rsidRPr="00D50C37">
        <w:t>Minor Correction MC24002 applied May 17, 2024</w:t>
      </w:r>
      <w:r w:rsidR="003A0989">
        <w:t>).</w:t>
      </w:r>
    </w:p>
    <w:p w14:paraId="7FA2EB93" w14:textId="77777777" w:rsidR="00C83BA3" w:rsidRPr="00D50C37" w:rsidRDefault="00C83BA3" w:rsidP="00C8034D"/>
    <w:p w14:paraId="4FE8D561" w14:textId="150599C1" w:rsidR="00C8034D" w:rsidRPr="00D50C37" w:rsidRDefault="00C8034D" w:rsidP="00C8034D">
      <w:r w:rsidRPr="00D50C37">
        <w:t>(v)</w:t>
      </w:r>
      <w:r w:rsidR="003A0989">
        <w:t xml:space="preserve"> </w:t>
      </w:r>
      <w:r w:rsidRPr="00D50C37">
        <w:t>WGQ Quadrant Electronic Delivery Mechanism Related Standards</w:t>
      </w:r>
      <w:r w:rsidR="0058396D">
        <w:t>,</w:t>
      </w:r>
      <w:r w:rsidRPr="00D50C37">
        <w:t xml:space="preserve"> Version 4.0, September 29, 2023, </w:t>
      </w:r>
      <w:r w:rsidR="0058396D">
        <w:t xml:space="preserve">(including Revision to </w:t>
      </w:r>
      <w:r w:rsidRPr="00D50C37">
        <w:t>Standard No. 4.3.23, November 25, 2024</w:t>
      </w:r>
      <w:r w:rsidR="0058396D">
        <w:t>)</w:t>
      </w:r>
      <w:r w:rsidR="002D40AC">
        <w:t>.</w:t>
      </w:r>
      <w:r w:rsidRPr="00D50C37">
        <w:t xml:space="preserve"> </w:t>
      </w:r>
    </w:p>
    <w:p w14:paraId="324EC341" w14:textId="77777777" w:rsidR="00C8034D" w:rsidRPr="00D50C37" w:rsidRDefault="00C8034D" w:rsidP="00C8034D"/>
    <w:p w14:paraId="7DD1E09C" w14:textId="28345DD7" w:rsidR="00F91A5D" w:rsidRPr="00D50C37" w:rsidRDefault="00F91A5D" w:rsidP="0061089C">
      <w:pPr>
        <w:spacing w:after="260"/>
      </w:pPr>
      <w:r w:rsidRPr="00D50C37">
        <w:t>(vi)</w:t>
      </w:r>
      <w:r w:rsidR="00C83BA3">
        <w:t xml:space="preserve"> </w:t>
      </w:r>
      <w:r w:rsidRPr="00D50C37">
        <w:t>WGQ Capacity Release Related Standards</w:t>
      </w:r>
      <w:r>
        <w:t>,</w:t>
      </w:r>
      <w:r w:rsidRPr="00D50C37">
        <w:t xml:space="preserve"> Version 4.0, September 29, 2023, </w:t>
      </w:r>
      <w:r>
        <w:t>(including Addition of WGQ</w:t>
      </w:r>
      <w:r w:rsidRPr="00D50C37">
        <w:t xml:space="preserve"> </w:t>
      </w:r>
      <w:r w:rsidRPr="00D50C37">
        <w:rPr>
          <w:lang w:val="en"/>
        </w:rPr>
        <w:t xml:space="preserve">Standard No. 5.3.74, </w:t>
      </w:r>
      <w:r w:rsidRPr="00D50C37">
        <w:t>November 25, 2024</w:t>
      </w:r>
      <w:r>
        <w:t>).</w:t>
      </w:r>
      <w:r w:rsidRPr="00D50C37">
        <w:t xml:space="preserve">; and </w:t>
      </w:r>
    </w:p>
    <w:p w14:paraId="2D4C47F5" w14:textId="0BAE1548" w:rsidR="00F91A5D" w:rsidRPr="00AD0AAA" w:rsidRDefault="00F91A5D" w:rsidP="0061089C">
      <w:pPr>
        <w:rPr>
          <w:bCs/>
        </w:rPr>
      </w:pPr>
      <w:r w:rsidRPr="00D50C37">
        <w:t>(vii) WGQ Cybersecurity Related Standards</w:t>
      </w:r>
      <w:r>
        <w:t>,</w:t>
      </w:r>
      <w:r w:rsidRPr="00D50C37">
        <w:t xml:space="preserve"> Version 4.0, September 29, 2023.</w:t>
      </w:r>
    </w:p>
    <w:p w14:paraId="431B3DC3" w14:textId="77777777" w:rsidR="00C8034D" w:rsidRPr="00D4523C" w:rsidRDefault="00C8034D" w:rsidP="00C8034D">
      <w:pPr>
        <w:rPr>
          <w:bCs/>
        </w:rPr>
      </w:pPr>
    </w:p>
    <w:p w14:paraId="4AA2C14F" w14:textId="4617A13D" w:rsidR="00FF32A1" w:rsidRPr="0003382F" w:rsidRDefault="00C8034D" w:rsidP="00103A57">
      <w:pPr>
        <w:pStyle w:val="FootnoteText"/>
        <w:ind w:firstLine="0"/>
      </w:pPr>
      <w:r w:rsidRPr="00D4523C">
        <w:rPr>
          <w:bCs/>
        </w:rPr>
        <w:t>*</w:t>
      </w:r>
      <w:r>
        <w:rPr>
          <w:bCs/>
        </w:rPr>
        <w:t xml:space="preserve">    </w:t>
      </w:r>
      <w:r w:rsidRPr="00D4523C">
        <w:rPr>
          <w:bCs/>
        </w:rPr>
        <w:t>*</w:t>
      </w:r>
      <w:r>
        <w:rPr>
          <w:bCs/>
        </w:rPr>
        <w:t xml:space="preserve">    </w:t>
      </w:r>
      <w:r w:rsidRPr="00D4523C">
        <w:rPr>
          <w:bCs/>
        </w:rPr>
        <w:t>*</w:t>
      </w:r>
      <w:r>
        <w:rPr>
          <w:bCs/>
        </w:rPr>
        <w:t xml:space="preserve">   </w:t>
      </w:r>
      <w:r w:rsidRPr="00D4523C">
        <w:rPr>
          <w:bCs/>
        </w:rPr>
        <w:t>*</w:t>
      </w:r>
      <w:r>
        <w:rPr>
          <w:bCs/>
        </w:rPr>
        <w:t xml:space="preserve">   </w:t>
      </w:r>
      <w:r w:rsidRPr="00D4523C">
        <w:rPr>
          <w:bCs/>
        </w:rPr>
        <w:t>*</w:t>
      </w:r>
    </w:p>
    <w:sectPr w:rsidR="00FF32A1" w:rsidRPr="0003382F" w:rsidSect="00A05583">
      <w:headerReference w:type="even" r:id="rId16"/>
      <w:headerReference w:type="default" r:id="rId17"/>
      <w:head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D56A6" w14:textId="77777777" w:rsidR="00E330FA" w:rsidRDefault="00E330FA" w:rsidP="0048020B">
      <w:r>
        <w:separator/>
      </w:r>
    </w:p>
  </w:endnote>
  <w:endnote w:type="continuationSeparator" w:id="0">
    <w:p w14:paraId="64E1A2BF" w14:textId="77777777" w:rsidR="00E330FA" w:rsidRDefault="00E330FA" w:rsidP="0048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36CF" w14:textId="77777777" w:rsidR="00E330FA" w:rsidRDefault="00E330FA" w:rsidP="0048020B">
      <w:r>
        <w:separator/>
      </w:r>
    </w:p>
  </w:footnote>
  <w:footnote w:type="continuationSeparator" w:id="0">
    <w:p w14:paraId="4B5D06DD" w14:textId="77777777" w:rsidR="00E330FA" w:rsidRDefault="00E330FA" w:rsidP="0048020B">
      <w:r>
        <w:continuationSeparator/>
      </w:r>
    </w:p>
  </w:footnote>
  <w:footnote w:type="continuationNotice" w:id="1">
    <w:p w14:paraId="246504C2" w14:textId="77777777" w:rsidR="00E330FA" w:rsidRPr="00BB69A5" w:rsidRDefault="00E330FA" w:rsidP="00BB69A5">
      <w:pPr>
        <w:spacing w:line="20" w:lineRule="exact"/>
        <w:rPr>
          <w:sz w:val="2"/>
        </w:rPr>
      </w:pPr>
    </w:p>
  </w:footnote>
  <w:footnote w:id="2">
    <w:p w14:paraId="50026AC8" w14:textId="53A63824" w:rsidR="005B543F" w:rsidRDefault="005B543F" w:rsidP="004D0750">
      <w:pPr>
        <w:pStyle w:val="FootnoteText"/>
      </w:pPr>
      <w:r>
        <w:rPr>
          <w:rStyle w:val="FootnoteReference"/>
        </w:rPr>
        <w:footnoteRef/>
      </w:r>
      <w:r>
        <w:t xml:space="preserve"> </w:t>
      </w:r>
      <w:r w:rsidR="004D0750" w:rsidRPr="002E7054">
        <w:rPr>
          <w:i/>
          <w:iCs/>
        </w:rPr>
        <w:t>Standards for Bus. Pracs. of Interstate Nat. Gas Pipelines</w:t>
      </w:r>
      <w:r w:rsidR="004D0750" w:rsidRPr="00E82117">
        <w:t>, Order No. 587-AA, 89 FR 97518 (Dec. 9, 2024), 189 FERC ¶ 61,135 (2024</w:t>
      </w:r>
      <w:r w:rsidR="004D0750">
        <w:t xml:space="preserve">). </w:t>
      </w:r>
      <w:r w:rsidR="004D0750" w:rsidRPr="0087278C">
        <w:t xml:space="preserve"> </w:t>
      </w:r>
      <w:r w:rsidR="004D0750" w:rsidRPr="00E82117">
        <w:t xml:space="preserve">The </w:t>
      </w:r>
      <w:r w:rsidR="004D0750" w:rsidRPr="0087278C">
        <w:t xml:space="preserve">WGQ Invoicing Related Standards </w:t>
      </w:r>
      <w:r w:rsidR="004D0750" w:rsidRPr="00E82117">
        <w:t>contain</w:t>
      </w:r>
      <w:r w:rsidR="00D42D05">
        <w:t>s</w:t>
      </w:r>
      <w:r w:rsidR="004D0750" w:rsidRPr="00E82117">
        <w:t xml:space="preserve"> no substantive changes from those adopted in Order No. 587-AA.</w:t>
      </w:r>
    </w:p>
  </w:footnote>
  <w:footnote w:id="3">
    <w:p w14:paraId="5152ECE3" w14:textId="24868BF8" w:rsidR="007E495A" w:rsidRPr="00865876" w:rsidRDefault="00EC059E" w:rsidP="00C60D47">
      <w:pPr>
        <w:pStyle w:val="FootnoteText"/>
        <w:rPr>
          <w:iCs/>
        </w:rPr>
      </w:pPr>
      <w:r>
        <w:rPr>
          <w:rStyle w:val="FootnoteReference"/>
        </w:rPr>
        <w:footnoteRef/>
      </w:r>
      <w:r>
        <w:t xml:space="preserve"> </w:t>
      </w:r>
      <w:r w:rsidR="003A3DFD">
        <w:t xml:space="preserve">Consistent with </w:t>
      </w:r>
      <w:r w:rsidR="0043164B" w:rsidRPr="0043164B">
        <w:t>Interstate Natural Gas Association of America</w:t>
      </w:r>
      <w:r w:rsidR="00796B35">
        <w:t>’s</w:t>
      </w:r>
      <w:r w:rsidR="0043164B" w:rsidRPr="0043164B">
        <w:t xml:space="preserve"> (INGAA)</w:t>
      </w:r>
      <w:r w:rsidR="00796B35">
        <w:t xml:space="preserve"> </w:t>
      </w:r>
      <w:r w:rsidR="00A41411" w:rsidRPr="00F26DEA">
        <w:t xml:space="preserve">comment </w:t>
      </w:r>
      <w:r w:rsidR="003A3DFD" w:rsidRPr="00F26DEA">
        <w:t>that the</w:t>
      </w:r>
      <w:r w:rsidR="003A3DFD">
        <w:t xml:space="preserve"> Commission provide pipelines with flexibility to implement the proposed rule earlier</w:t>
      </w:r>
      <w:r w:rsidR="00A44B54">
        <w:t xml:space="preserve"> in the winter heating period</w:t>
      </w:r>
      <w:r w:rsidR="003A3DFD">
        <w:t xml:space="preserve">, if practical, </w:t>
      </w:r>
      <w:r w:rsidR="003A3DFD">
        <w:rPr>
          <w:iCs/>
        </w:rPr>
        <w:t xml:space="preserve">interstate natural gas pipelines </w:t>
      </w:r>
      <w:r w:rsidR="003306DC">
        <w:rPr>
          <w:iCs/>
        </w:rPr>
        <w:t>voluntaril</w:t>
      </w:r>
      <w:r w:rsidR="00556FC6">
        <w:rPr>
          <w:iCs/>
        </w:rPr>
        <w:t xml:space="preserve">y may implement these </w:t>
      </w:r>
      <w:r w:rsidR="0069564E">
        <w:rPr>
          <w:iCs/>
        </w:rPr>
        <w:t xml:space="preserve">NAESB </w:t>
      </w:r>
      <w:r w:rsidR="00556FC6">
        <w:rPr>
          <w:iCs/>
        </w:rPr>
        <w:t xml:space="preserve">standards </w:t>
      </w:r>
      <w:r w:rsidR="0055411F">
        <w:rPr>
          <w:iCs/>
        </w:rPr>
        <w:t xml:space="preserve">at an </w:t>
      </w:r>
      <w:r w:rsidR="00556FC6">
        <w:rPr>
          <w:iCs/>
        </w:rPr>
        <w:t>earlier</w:t>
      </w:r>
      <w:r w:rsidR="008836AE">
        <w:rPr>
          <w:iCs/>
        </w:rPr>
        <w:t xml:space="preserve"> date</w:t>
      </w:r>
      <w:r w:rsidR="001C2C69">
        <w:rPr>
          <w:iCs/>
        </w:rPr>
        <w:t>.</w:t>
      </w:r>
      <w:r w:rsidR="00556FC6">
        <w:rPr>
          <w:iCs/>
        </w:rPr>
        <w:t xml:space="preserve"> </w:t>
      </w:r>
      <w:r w:rsidR="00865876">
        <w:rPr>
          <w:iCs/>
        </w:rPr>
        <w:t xml:space="preserve"> </w:t>
      </w:r>
      <w:r w:rsidR="00865876">
        <w:rPr>
          <w:i/>
        </w:rPr>
        <w:t xml:space="preserve">See infra </w:t>
      </w:r>
      <w:r w:rsidR="00865876">
        <w:rPr>
          <w:iCs/>
        </w:rPr>
        <w:t>PP 24-25.</w:t>
      </w:r>
    </w:p>
  </w:footnote>
  <w:footnote w:id="4">
    <w:p w14:paraId="7CB4E8CB" w14:textId="08DC7CDA" w:rsidR="00B04F8B" w:rsidRPr="002C77C5" w:rsidRDefault="00B04F8B" w:rsidP="00B04F8B">
      <w:pPr>
        <w:pStyle w:val="FootnoteText"/>
        <w:rPr>
          <w:lang w:val="de-DE"/>
        </w:rPr>
      </w:pPr>
      <w:r w:rsidRPr="009A3DEC">
        <w:rPr>
          <w:rStyle w:val="FootnoteReference"/>
        </w:rPr>
        <w:footnoteRef/>
      </w:r>
      <w:r w:rsidRPr="009A3DEC">
        <w:t xml:space="preserve"> </w:t>
      </w:r>
      <w:r w:rsidRPr="00223EC6">
        <w:t xml:space="preserve">As explained below, NAESB has adopted </w:t>
      </w:r>
      <w:r w:rsidRPr="00223EC6">
        <w:rPr>
          <w:snapToGrid w:val="0"/>
        </w:rPr>
        <w:t>two new standards and revisions to one existing standard in res</w:t>
      </w:r>
      <w:r w:rsidRPr="00223EC6">
        <w:rPr>
          <w:snapToGrid w:val="0"/>
          <w:color w:val="000000"/>
        </w:rPr>
        <w:t>ponse to Recommendation 5 of the report that the staffs of the Commission, North American Electric Reliability Corporation (NERC), and Regional Entities issued November 7, 2023</w:t>
      </w:r>
      <w:r w:rsidR="00666914">
        <w:rPr>
          <w:rStyle w:val="FootnoteTextChar"/>
        </w:rPr>
        <w:t xml:space="preserve">. </w:t>
      </w:r>
      <w:r w:rsidRPr="00223EC6">
        <w:rPr>
          <w:rStyle w:val="FootnoteTextChar"/>
        </w:rPr>
        <w:t xml:space="preserve"> FERC et al., </w:t>
      </w:r>
      <w:r w:rsidRPr="00223EC6">
        <w:rPr>
          <w:rStyle w:val="FootnoteTextChar"/>
          <w:i/>
          <w:iCs/>
        </w:rPr>
        <w:t xml:space="preserve">FERC, </w:t>
      </w:r>
      <w:r w:rsidRPr="00FD5E9C">
        <w:rPr>
          <w:rStyle w:val="FootnoteTextChar"/>
          <w:i/>
          <w:iCs/>
        </w:rPr>
        <w:t>NERC &amp; Reg’l Entity</w:t>
      </w:r>
      <w:r w:rsidRPr="0091626C">
        <w:rPr>
          <w:rStyle w:val="FootnoteTextChar"/>
          <w:i/>
          <w:iCs/>
        </w:rPr>
        <w:t xml:space="preserve"> </w:t>
      </w:r>
      <w:r w:rsidRPr="004C0E20">
        <w:rPr>
          <w:rStyle w:val="FootnoteTextChar"/>
          <w:i/>
          <w:iCs/>
        </w:rPr>
        <w:t>Staff Rep.:</w:t>
      </w:r>
      <w:r w:rsidR="00CC0929">
        <w:rPr>
          <w:rStyle w:val="FootnoteTextChar"/>
          <w:i/>
          <w:iCs/>
        </w:rPr>
        <w:t xml:space="preserve"> </w:t>
      </w:r>
      <w:r w:rsidRPr="004C0E20">
        <w:rPr>
          <w:rStyle w:val="FootnoteTextChar"/>
          <w:i/>
          <w:iCs/>
        </w:rPr>
        <w:t xml:space="preserve"> Inquiry into Bulk-Power Sys. Operations During Dec. 2022 Winter Storm Elliott</w:t>
      </w:r>
      <w:r w:rsidRPr="00223EC6">
        <w:rPr>
          <w:rStyle w:val="FootnoteTextChar"/>
        </w:rPr>
        <w:t xml:space="preserve">, </w:t>
      </w:r>
      <w:r w:rsidR="00CC0929">
        <w:rPr>
          <w:rStyle w:val="FootnoteTextChar"/>
        </w:rPr>
        <w:t xml:space="preserve">  </w:t>
      </w:r>
      <w:r w:rsidRPr="00223EC6">
        <w:rPr>
          <w:rStyle w:val="FootnoteTextChar"/>
        </w:rPr>
        <w:t>Docket No. AD23-8-000, at 143 (Nov. 7, 2023) (Recommendation 5), https://elibrary.ferc.gov/eLibrary/filedownload?fileid=00F8FAAC-A049-C84B-8784-8BB5FEC00000 (as updated Feb. 28</w:t>
      </w:r>
      <w:r w:rsidR="005664C4">
        <w:rPr>
          <w:rStyle w:val="FootnoteTextChar"/>
        </w:rPr>
        <w:t>,</w:t>
      </w:r>
      <w:r w:rsidRPr="00223EC6">
        <w:rPr>
          <w:rStyle w:val="FootnoteTextChar"/>
        </w:rPr>
        <w:t xml:space="preserve"> </w:t>
      </w:r>
      <w:r w:rsidRPr="00223EC6">
        <w:rPr>
          <w:rStyle w:val="FootnoteTextChar"/>
          <w:lang w:val="de-DE"/>
        </w:rPr>
        <w:t>2024</w:t>
      </w:r>
      <w:r w:rsidR="00CC0929">
        <w:rPr>
          <w:rStyle w:val="FootnoteTextChar"/>
          <w:lang w:val="de-DE"/>
        </w:rPr>
        <w:t>)</w:t>
      </w:r>
      <w:r w:rsidRPr="00223EC6">
        <w:rPr>
          <w:rStyle w:val="FootnoteTextChar"/>
          <w:lang w:val="de-DE"/>
        </w:rPr>
        <w:t xml:space="preserve">, </w:t>
      </w:r>
      <w:hyperlink r:id="rId1" w:history="1">
        <w:r w:rsidRPr="00223EC6">
          <w:rPr>
            <w:rStyle w:val="FootnoteTextChar"/>
            <w:lang w:val="de-DE"/>
          </w:rPr>
          <w:t>https://elibrary.ferc.gov/eLibrary/filedownload?fileid=BB92A244-97DD-C8A7-96AC-8D897D600000</w:t>
        </w:r>
      </w:hyperlink>
      <w:r w:rsidRPr="00223EC6">
        <w:rPr>
          <w:rStyle w:val="FootnoteTextChar"/>
          <w:lang w:val="de-DE"/>
        </w:rPr>
        <w:t>) [hereinafter Winter Storm Elliot</w:t>
      </w:r>
      <w:r w:rsidR="001472AD">
        <w:rPr>
          <w:rStyle w:val="FootnoteTextChar"/>
          <w:lang w:val="de-DE"/>
        </w:rPr>
        <w:t>t</w:t>
      </w:r>
      <w:r w:rsidRPr="00223EC6">
        <w:rPr>
          <w:rStyle w:val="FootnoteTextChar"/>
          <w:lang w:val="de-DE"/>
        </w:rPr>
        <w:t xml:space="preserve"> Report].</w:t>
      </w:r>
      <w:r w:rsidRPr="002C77C5">
        <w:rPr>
          <w:rStyle w:val="FootnoteTextChar"/>
          <w:lang w:val="de-DE"/>
        </w:rPr>
        <w:t xml:space="preserve"> </w:t>
      </w:r>
      <w:r w:rsidRPr="002C77C5">
        <w:rPr>
          <w:snapToGrid w:val="0"/>
          <w:color w:val="000000"/>
          <w:lang w:val="de-DE"/>
        </w:rPr>
        <w:t xml:space="preserve"> </w:t>
      </w:r>
    </w:p>
  </w:footnote>
  <w:footnote w:id="5">
    <w:p w14:paraId="2C6B1A17" w14:textId="1EBD9CF7" w:rsidR="0046704E" w:rsidRDefault="0046704E" w:rsidP="0046704E">
      <w:pPr>
        <w:pStyle w:val="FootnoteText"/>
      </w:pPr>
      <w:r w:rsidRPr="00932257">
        <w:rPr>
          <w:rStyle w:val="FootnoteReference"/>
        </w:rPr>
        <w:footnoteRef/>
      </w:r>
      <w:r>
        <w:t xml:space="preserve"> </w:t>
      </w:r>
      <w:r w:rsidRPr="00110725">
        <w:t xml:space="preserve">This series of orders began with the Commission’s issuance of </w:t>
      </w:r>
      <w:r>
        <w:t xml:space="preserve">Order No. 587, </w:t>
      </w:r>
      <w:bookmarkStart w:id="4" w:name="_Hlk191054374"/>
      <w:r w:rsidRPr="00110725">
        <w:rPr>
          <w:i/>
        </w:rPr>
        <w:t xml:space="preserve">Standards for </w:t>
      </w:r>
      <w:r>
        <w:rPr>
          <w:i/>
        </w:rPr>
        <w:t>Bus.</w:t>
      </w:r>
      <w:r w:rsidRPr="00110725">
        <w:rPr>
          <w:i/>
        </w:rPr>
        <w:t xml:space="preserve"> </w:t>
      </w:r>
      <w:r>
        <w:rPr>
          <w:i/>
        </w:rPr>
        <w:t>Prac</w:t>
      </w:r>
      <w:r w:rsidRPr="00110725">
        <w:rPr>
          <w:i/>
        </w:rPr>
        <w:t>s</w:t>
      </w:r>
      <w:r>
        <w:rPr>
          <w:i/>
        </w:rPr>
        <w:t>.</w:t>
      </w:r>
      <w:r w:rsidRPr="00110725">
        <w:rPr>
          <w:i/>
        </w:rPr>
        <w:t xml:space="preserve"> of Interstate </w:t>
      </w:r>
      <w:r>
        <w:rPr>
          <w:i/>
        </w:rPr>
        <w:t>Nat.</w:t>
      </w:r>
      <w:r w:rsidRPr="00110725">
        <w:rPr>
          <w:i/>
        </w:rPr>
        <w:t xml:space="preserve"> Gas Pipe</w:t>
      </w:r>
      <w:r>
        <w:rPr>
          <w:i/>
        </w:rPr>
        <w:t>lines</w:t>
      </w:r>
      <w:r w:rsidRPr="0002352D">
        <w:t>,</w:t>
      </w:r>
      <w:r w:rsidRPr="00110725">
        <w:t xml:space="preserve"> </w:t>
      </w:r>
      <w:bookmarkEnd w:id="4"/>
      <w:r w:rsidRPr="00680C2B">
        <w:t>61 FR 39053</w:t>
      </w:r>
      <w:r>
        <w:t xml:space="preserve"> (July 26, 1996), </w:t>
      </w:r>
      <w:r w:rsidRPr="00BA1F44">
        <w:t>FERC Stats. &amp; Regs. ¶</w:t>
      </w:r>
      <w:r>
        <w:t> </w:t>
      </w:r>
      <w:r w:rsidRPr="00BA1F44">
        <w:t>31,038</w:t>
      </w:r>
      <w:r w:rsidRPr="0000262C">
        <w:t xml:space="preserve"> (1996)</w:t>
      </w:r>
      <w:r>
        <w:t xml:space="preserve"> (cross-referenced at </w:t>
      </w:r>
      <w:r w:rsidRPr="00680C2B">
        <w:t>76 FERC ¶</w:t>
      </w:r>
      <w:r>
        <w:t> </w:t>
      </w:r>
      <w:r w:rsidRPr="00680C2B">
        <w:t>61,042</w:t>
      </w:r>
      <w:r>
        <w:t>)</w:t>
      </w:r>
      <w:r w:rsidRPr="0000262C">
        <w:t>.</w:t>
      </w:r>
    </w:p>
  </w:footnote>
  <w:footnote w:id="6">
    <w:p w14:paraId="23D4A2B3" w14:textId="6C3058D5" w:rsidR="0046704E" w:rsidRDefault="0046704E" w:rsidP="0046704E">
      <w:pPr>
        <w:pStyle w:val="FootnoteText"/>
      </w:pPr>
      <w:r>
        <w:rPr>
          <w:rStyle w:val="FootnoteReference"/>
        </w:rPr>
        <w:footnoteRef/>
      </w:r>
      <w:r>
        <w:t xml:space="preserve"> Letter from then-</w:t>
      </w:r>
      <w:r w:rsidRPr="00110A83">
        <w:t xml:space="preserve">Chairman Richard Glick of the </w:t>
      </w:r>
      <w:r>
        <w:t xml:space="preserve">Federal Energy Regulatory </w:t>
      </w:r>
      <w:r w:rsidRPr="00110A83">
        <w:t xml:space="preserve">Commission and Jim Robb, President and CEO of </w:t>
      </w:r>
      <w:r w:rsidR="007D12D9">
        <w:t>NERC</w:t>
      </w:r>
      <w:r w:rsidRPr="00110A83">
        <w:t xml:space="preserve"> </w:t>
      </w:r>
      <w:r>
        <w:t xml:space="preserve">to Michael Desselle, </w:t>
      </w:r>
      <w:r w:rsidR="001B7278">
        <w:t xml:space="preserve">   </w:t>
      </w:r>
      <w:r>
        <w:t>Chairman of NAESB, and Jonathan Booe, Executive Vice President and</w:t>
      </w:r>
      <w:r w:rsidR="001B7278">
        <w:t xml:space="preserve">                    </w:t>
      </w:r>
      <w:r>
        <w:t xml:space="preserve"> Chief Operating Officer (July 25, 2022) (on file at NAESB), </w:t>
      </w:r>
      <w:r w:rsidRPr="005064EA">
        <w:t>https://naesb.org/pdf4/FERC_NERC_Letter_072922_to_NAESB.pdf</w:t>
      </w:r>
      <w:r>
        <w:t xml:space="preserve">.  </w:t>
      </w:r>
      <w:r w:rsidRPr="005064EA">
        <w:rPr>
          <w:i/>
          <w:iCs/>
        </w:rPr>
        <w:t>See</w:t>
      </w:r>
      <w:r>
        <w:rPr>
          <w:i/>
          <w:iCs/>
        </w:rPr>
        <w:t xml:space="preserve"> also</w:t>
      </w:r>
      <w:r w:rsidR="001B7278">
        <w:rPr>
          <w:i/>
          <w:iCs/>
        </w:rPr>
        <w:t xml:space="preserve">     </w:t>
      </w:r>
      <w:r w:rsidRPr="005064EA">
        <w:t xml:space="preserve"> FERC, NERC, and Regional Entity Staff Report, </w:t>
      </w:r>
      <w:r w:rsidRPr="005064EA">
        <w:rPr>
          <w:i/>
          <w:iCs/>
        </w:rPr>
        <w:t>The February 2021 Cold Weather Outage in Texas and the South Central United States</w:t>
      </w:r>
      <w:r w:rsidRPr="005064EA">
        <w:t xml:space="preserve"> (</w:t>
      </w:r>
      <w:r>
        <w:t xml:space="preserve">Nov. </w:t>
      </w:r>
      <w:r w:rsidRPr="005064EA">
        <w:t>2021)</w:t>
      </w:r>
      <w:r>
        <w:t xml:space="preserve"> (</w:t>
      </w:r>
      <w:r w:rsidRPr="002259A1">
        <w:t>Recommendation 7</w:t>
      </w:r>
      <w:r>
        <w:t>)</w:t>
      </w:r>
      <w:r w:rsidRPr="005064EA">
        <w:t>, https://www.ferc.gov/media/february-2021-cold-weather-outages-texas-and-south-central-united-states-ferc-nerc-and.</w:t>
      </w:r>
    </w:p>
  </w:footnote>
  <w:footnote w:id="7">
    <w:p w14:paraId="7E768848" w14:textId="77C01758" w:rsidR="00FB6F67" w:rsidRDefault="00FB6F67">
      <w:pPr>
        <w:pStyle w:val="FootnoteText"/>
      </w:pPr>
      <w:r>
        <w:rPr>
          <w:rStyle w:val="FootnoteReference"/>
        </w:rPr>
        <w:footnoteRef/>
      </w:r>
      <w:r>
        <w:t xml:space="preserve"> </w:t>
      </w:r>
      <w:r w:rsidR="00A4438A">
        <w:rPr>
          <w:i/>
          <w:iCs/>
        </w:rPr>
        <w:t xml:space="preserve">See </w:t>
      </w:r>
      <w:r w:rsidR="00E31622">
        <w:t>NAESB</w:t>
      </w:r>
      <w:r w:rsidR="00A4438A">
        <w:t>,</w:t>
      </w:r>
      <w:r w:rsidR="00C4454D">
        <w:t xml:space="preserve"> </w:t>
      </w:r>
      <w:r w:rsidR="00F14A89">
        <w:rPr>
          <w:i/>
          <w:iCs/>
        </w:rPr>
        <w:t>Gas Electric Harmonization Forum Report</w:t>
      </w:r>
      <w:r w:rsidR="006A1EBA">
        <w:rPr>
          <w:i/>
          <w:iCs/>
        </w:rPr>
        <w:t xml:space="preserve"> </w:t>
      </w:r>
      <w:r w:rsidR="006A1EBA">
        <w:t>(</w:t>
      </w:r>
      <w:r w:rsidR="00B1292C">
        <w:t>Jul</w:t>
      </w:r>
      <w:r w:rsidR="00CC0929">
        <w:t>y</w:t>
      </w:r>
      <w:r w:rsidR="00B1292C">
        <w:t xml:space="preserve"> </w:t>
      </w:r>
      <w:r w:rsidR="006A1EBA">
        <w:t>2023),</w:t>
      </w:r>
      <w:r w:rsidR="00E31622">
        <w:t xml:space="preserve"> </w:t>
      </w:r>
      <w:r w:rsidR="00D11EE9" w:rsidRPr="00D11EE9">
        <w:t>http</w:t>
      </w:r>
      <w:r w:rsidR="00445C55">
        <w:t>s</w:t>
      </w:r>
      <w:r w:rsidR="00D11EE9" w:rsidRPr="00D11EE9">
        <w:t>://www.naesb.org/pdf4/</w:t>
      </w:r>
      <w:r w:rsidR="003E7DB6">
        <w:t>geh_final_report_0728</w:t>
      </w:r>
      <w:r w:rsidR="00E31622">
        <w:t>23.pdf.</w:t>
      </w:r>
    </w:p>
  </w:footnote>
  <w:footnote w:id="8">
    <w:p w14:paraId="1D99A8CF" w14:textId="23A2ACE6" w:rsidR="0096089A" w:rsidRDefault="0096089A" w:rsidP="0096089A">
      <w:pPr>
        <w:pStyle w:val="FootnoteText"/>
      </w:pPr>
      <w:r>
        <w:rPr>
          <w:rStyle w:val="FootnoteReference"/>
        </w:rPr>
        <w:footnoteRef/>
      </w:r>
      <w:r>
        <w:t xml:space="preserve"> </w:t>
      </w:r>
      <w:r w:rsidRPr="0099726C">
        <w:rPr>
          <w:snapToGrid w:val="0"/>
          <w:color w:val="000000"/>
        </w:rPr>
        <w:t>Winter Storm Elliott Report</w:t>
      </w:r>
      <w:r>
        <w:rPr>
          <w:snapToGrid w:val="0"/>
          <w:color w:val="000000"/>
        </w:rPr>
        <w:t xml:space="preserve">, </w:t>
      </w:r>
      <w:r>
        <w:rPr>
          <w:i/>
          <w:iCs/>
          <w:snapToGrid w:val="0"/>
          <w:color w:val="000000"/>
        </w:rPr>
        <w:t xml:space="preserve">supra </w:t>
      </w:r>
      <w:r>
        <w:rPr>
          <w:snapToGrid w:val="0"/>
          <w:color w:val="000000"/>
        </w:rPr>
        <w:t>n</w:t>
      </w:r>
      <w:r w:rsidR="00FD7F49">
        <w:rPr>
          <w:snapToGrid w:val="0"/>
          <w:color w:val="000000"/>
        </w:rPr>
        <w:t xml:space="preserve">ote </w:t>
      </w:r>
      <w:r w:rsidR="002C08DF">
        <w:rPr>
          <w:snapToGrid w:val="0"/>
          <w:color w:val="000000"/>
        </w:rPr>
        <w:t>2</w:t>
      </w:r>
      <w:r w:rsidR="00631E53">
        <w:rPr>
          <w:snapToGrid w:val="0"/>
          <w:color w:val="000000"/>
        </w:rPr>
        <w:t>.</w:t>
      </w:r>
    </w:p>
  </w:footnote>
  <w:footnote w:id="9">
    <w:p w14:paraId="52A4FE42" w14:textId="32CFB857" w:rsidR="0046704E" w:rsidRPr="00F3506C" w:rsidRDefault="0046704E" w:rsidP="0046704E">
      <w:pPr>
        <w:pStyle w:val="FootnoteText"/>
      </w:pPr>
      <w:r>
        <w:rPr>
          <w:rStyle w:val="FootnoteReference"/>
        </w:rPr>
        <w:footnoteRef/>
      </w:r>
      <w:r>
        <w:t xml:space="preserve"> </w:t>
      </w:r>
      <w:r>
        <w:rPr>
          <w:i/>
          <w:iCs/>
        </w:rPr>
        <w:t>Id.</w:t>
      </w:r>
      <w:r>
        <w:t xml:space="preserve"> at 143.</w:t>
      </w:r>
    </w:p>
  </w:footnote>
  <w:footnote w:id="10">
    <w:p w14:paraId="1EBB082A" w14:textId="0BCDE20B" w:rsidR="0046704E" w:rsidRDefault="0046704E" w:rsidP="0046704E">
      <w:pPr>
        <w:pStyle w:val="FootnoteText"/>
      </w:pPr>
      <w:r>
        <w:rPr>
          <w:rStyle w:val="FootnoteReference"/>
        </w:rPr>
        <w:footnoteRef/>
      </w:r>
      <w:r>
        <w:t xml:space="preserve"> </w:t>
      </w:r>
      <w:r w:rsidR="00A37943">
        <w:t>NAESB</w:t>
      </w:r>
      <w:r>
        <w:t xml:space="preserve"> </w:t>
      </w:r>
      <w:r w:rsidR="002341E1">
        <w:t xml:space="preserve">WGQ </w:t>
      </w:r>
      <w:r w:rsidR="00164536">
        <w:t xml:space="preserve">Business </w:t>
      </w:r>
      <w:r w:rsidR="006370FF">
        <w:t xml:space="preserve">Practice </w:t>
      </w:r>
      <w:r w:rsidR="002341E1">
        <w:t>Standards</w:t>
      </w:r>
      <w:r w:rsidR="002341E1" w:rsidRPr="003C29E4">
        <w:t xml:space="preserve"> </w:t>
      </w:r>
      <w:r w:rsidR="008573D1">
        <w:t xml:space="preserve">Version 4.0 </w:t>
      </w:r>
      <w:r w:rsidR="002341E1" w:rsidRPr="003C29E4">
        <w:t>Report, Docket</w:t>
      </w:r>
      <w:r w:rsidR="002341E1">
        <w:t xml:space="preserve"> </w:t>
      </w:r>
      <w:r w:rsidR="001B7278">
        <w:t xml:space="preserve">          </w:t>
      </w:r>
      <w:r w:rsidR="002341E1" w:rsidRPr="003C29E4">
        <w:t>No. RM96-1</w:t>
      </w:r>
      <w:r w:rsidR="002341E1">
        <w:t>-0</w:t>
      </w:r>
      <w:r w:rsidR="007A1FD4">
        <w:t>00</w:t>
      </w:r>
      <w:r w:rsidR="00C82A39">
        <w:t>, at 2-3</w:t>
      </w:r>
      <w:r w:rsidR="002341E1" w:rsidRPr="003C29E4">
        <w:t xml:space="preserve"> (</w:t>
      </w:r>
      <w:r w:rsidR="002341E1" w:rsidRPr="005064EA">
        <w:t xml:space="preserve">Dec. </w:t>
      </w:r>
      <w:r w:rsidR="002341E1">
        <w:t>3</w:t>
      </w:r>
      <w:r w:rsidR="002341E1" w:rsidRPr="005064EA">
        <w:t>,</w:t>
      </w:r>
      <w:r w:rsidR="002341E1" w:rsidRPr="003C29E4">
        <w:t xml:space="preserve"> 202</w:t>
      </w:r>
      <w:r w:rsidR="002341E1">
        <w:t>4</w:t>
      </w:r>
      <w:r w:rsidR="002341E1" w:rsidRPr="003C29E4">
        <w:t>)</w:t>
      </w:r>
      <w:r w:rsidR="002341E1">
        <w:t xml:space="preserve"> (</w:t>
      </w:r>
      <w:r>
        <w:t xml:space="preserve">Informational </w:t>
      </w:r>
      <w:r w:rsidR="00D1307F">
        <w:t>Report</w:t>
      </w:r>
      <w:r w:rsidR="002341E1">
        <w:t>)</w:t>
      </w:r>
      <w:r w:rsidR="00C82A39">
        <w:t>.</w:t>
      </w:r>
    </w:p>
  </w:footnote>
  <w:footnote w:id="11">
    <w:p w14:paraId="0834F31A" w14:textId="31BCDFCC" w:rsidR="0046704E" w:rsidRPr="0024453D" w:rsidRDefault="0046704E" w:rsidP="0046704E">
      <w:pPr>
        <w:pStyle w:val="FootnoteText"/>
      </w:pPr>
      <w:r>
        <w:rPr>
          <w:rStyle w:val="FootnoteReference"/>
        </w:rPr>
        <w:footnoteRef/>
      </w:r>
      <w:r>
        <w:t xml:space="preserve"> </w:t>
      </w:r>
      <w:r w:rsidR="00CC0929" w:rsidRPr="00E426A2">
        <w:t>18 CFR 284.12</w:t>
      </w:r>
      <w:r w:rsidR="00CC0929">
        <w:t xml:space="preserve"> (a)(1)(v), </w:t>
      </w:r>
      <w:r w:rsidR="00CC0929" w:rsidRPr="00E426A2">
        <w:t>(b)(3)(i)(A)</w:t>
      </w:r>
      <w:r w:rsidR="00CC0929">
        <w:t xml:space="preserve">.  </w:t>
      </w:r>
      <w:r w:rsidR="00CC0929">
        <w:rPr>
          <w:i/>
          <w:iCs/>
        </w:rPr>
        <w:t>See</w:t>
      </w:r>
      <w:r w:rsidR="00CC0929">
        <w:t xml:space="preserve"> </w:t>
      </w:r>
      <w:r w:rsidR="00CC0929" w:rsidRPr="00B27FCE">
        <w:rPr>
          <w:i/>
        </w:rPr>
        <w:t>Standards for Bus. Pracs. of Interstate Nat. Gas Pipelines</w:t>
      </w:r>
      <w:r w:rsidR="00CC0929">
        <w:t xml:space="preserve">, Order No. 587-G, </w:t>
      </w:r>
      <w:r w:rsidR="00CC0929" w:rsidRPr="003D0789">
        <w:t>63 FR 20072 (Apr</w:t>
      </w:r>
      <w:r w:rsidR="00C242C1">
        <w:t>.</w:t>
      </w:r>
      <w:r w:rsidR="00CC0929" w:rsidRPr="003D0789">
        <w:t xml:space="preserve"> 23, 1998)</w:t>
      </w:r>
      <w:r w:rsidR="00CC0929">
        <w:t xml:space="preserve">, </w:t>
      </w:r>
      <w:r w:rsidR="001B7278">
        <w:t xml:space="preserve">        </w:t>
      </w:r>
      <w:r w:rsidR="00CC0929">
        <w:t xml:space="preserve">FERC Stats. &amp; Regs. ¶ </w:t>
      </w:r>
      <w:r w:rsidR="00CC0929" w:rsidRPr="00733E4B">
        <w:t>31,062</w:t>
      </w:r>
      <w:r w:rsidR="00CC0929">
        <w:t>, at text accompanying note 58 (1998) (cross-referenced</w:t>
      </w:r>
      <w:r w:rsidR="001B7278">
        <w:t xml:space="preserve">   </w:t>
      </w:r>
      <w:r w:rsidR="00CC0929">
        <w:t xml:space="preserve"> at 83 FERC ¶ 61,029).</w:t>
      </w:r>
    </w:p>
  </w:footnote>
  <w:footnote w:id="12">
    <w:p w14:paraId="2379AC32" w14:textId="1D251BB3" w:rsidR="00774E7A" w:rsidRDefault="00774E7A">
      <w:pPr>
        <w:pStyle w:val="FootnoteText"/>
      </w:pPr>
      <w:r>
        <w:rPr>
          <w:rStyle w:val="FootnoteReference"/>
        </w:rPr>
        <w:footnoteRef/>
      </w:r>
      <w:r>
        <w:t xml:space="preserve"> </w:t>
      </w:r>
      <w:r w:rsidR="00CC0929" w:rsidRPr="00103A57">
        <w:rPr>
          <w:i/>
          <w:iCs/>
        </w:rPr>
        <w:t>Standards for Bus</w:t>
      </w:r>
      <w:r w:rsidR="00CC0929">
        <w:rPr>
          <w:i/>
          <w:iCs/>
        </w:rPr>
        <w:t>.</w:t>
      </w:r>
      <w:r w:rsidR="00CC0929" w:rsidRPr="00103A57">
        <w:rPr>
          <w:i/>
          <w:iCs/>
        </w:rPr>
        <w:t xml:space="preserve"> Pracs</w:t>
      </w:r>
      <w:r w:rsidR="00CC0929">
        <w:rPr>
          <w:i/>
          <w:iCs/>
        </w:rPr>
        <w:t>.</w:t>
      </w:r>
      <w:r w:rsidR="00CC0929" w:rsidRPr="00103A57">
        <w:rPr>
          <w:i/>
          <w:iCs/>
        </w:rPr>
        <w:t xml:space="preserve"> of Interstate Nat</w:t>
      </w:r>
      <w:r w:rsidR="00167610">
        <w:rPr>
          <w:i/>
          <w:iCs/>
        </w:rPr>
        <w:t>.</w:t>
      </w:r>
      <w:r w:rsidR="00CC0929" w:rsidRPr="00103A57">
        <w:rPr>
          <w:i/>
          <w:iCs/>
        </w:rPr>
        <w:t xml:space="preserve"> Gas Pipelines</w:t>
      </w:r>
      <w:r w:rsidR="00CC0929" w:rsidRPr="00103A57">
        <w:t>,</w:t>
      </w:r>
      <w:r w:rsidR="00CC0929">
        <w:t xml:space="preserve"> </w:t>
      </w:r>
      <w:r w:rsidR="00CC0929" w:rsidRPr="003D788E">
        <w:t>193 FERC ¶ 61,041</w:t>
      </w:r>
      <w:r w:rsidR="00CC0929">
        <w:t xml:space="preserve"> (2025).</w:t>
      </w:r>
    </w:p>
  </w:footnote>
  <w:footnote w:id="13">
    <w:p w14:paraId="69453C1F" w14:textId="77777777" w:rsidR="00AA14B9" w:rsidRDefault="00AA14B9" w:rsidP="00AA14B9">
      <w:pPr>
        <w:pStyle w:val="FootnoteText"/>
      </w:pPr>
      <w:r>
        <w:rPr>
          <w:rStyle w:val="FootnoteReference"/>
        </w:rPr>
        <w:footnoteRef/>
      </w:r>
      <w:r>
        <w:t xml:space="preserve"> National Grid USA; Consolidated Edison Company of New York, Inc. and Orange and Rockland Utilities, Inc.; Old Dominion Electric Cooperative; and Washington Gas Light Company (collectively, the Utility Coalition).</w:t>
      </w:r>
    </w:p>
  </w:footnote>
  <w:footnote w:id="14">
    <w:p w14:paraId="2D8AC034" w14:textId="5D6CBB32" w:rsidR="00AA14B9" w:rsidRDefault="00AA14B9" w:rsidP="00AA14B9">
      <w:pPr>
        <w:pStyle w:val="FootnoteText"/>
      </w:pPr>
      <w:r>
        <w:rPr>
          <w:rStyle w:val="FootnoteReference"/>
        </w:rPr>
        <w:footnoteRef/>
      </w:r>
      <w:r>
        <w:t xml:space="preserve"> T</w:t>
      </w:r>
      <w:r w:rsidRPr="00937958">
        <w:t>he following independent system operators</w:t>
      </w:r>
      <w:r>
        <w:t xml:space="preserve"> (ISO)</w:t>
      </w:r>
      <w:r w:rsidRPr="00937958">
        <w:t xml:space="preserve"> and regional transmission organizations</w:t>
      </w:r>
      <w:r>
        <w:t xml:space="preserve"> (RTO) of the </w:t>
      </w:r>
      <w:r w:rsidRPr="00937958">
        <w:t>ISO/RTO Council</w:t>
      </w:r>
      <w:r>
        <w:t xml:space="preserve"> are participating in these comments</w:t>
      </w:r>
      <w:r w:rsidRPr="00937958">
        <w:t xml:space="preserve">: </w:t>
      </w:r>
      <w:r w:rsidRPr="00F65F5F">
        <w:t xml:space="preserve">California Independent </w:t>
      </w:r>
      <w:r>
        <w:t>S</w:t>
      </w:r>
      <w:r w:rsidRPr="00F65F5F">
        <w:t xml:space="preserve">ystem </w:t>
      </w:r>
      <w:r>
        <w:t>O</w:t>
      </w:r>
      <w:r w:rsidRPr="00F65F5F">
        <w:t>perator Corporation; Electric Reliability Council of Texas, Inc.; ISO New England Inc.; Midcontinent Independent System Operator, Inc.</w:t>
      </w:r>
      <w:r w:rsidRPr="00955DD8">
        <w:t xml:space="preserve">; New York Independent System Operator, Inc; PJM </w:t>
      </w:r>
      <w:r>
        <w:t>I</w:t>
      </w:r>
      <w:r w:rsidRPr="00955DD8">
        <w:t>nterconnection, L.L</w:t>
      </w:r>
      <w:r>
        <w:t>.</w:t>
      </w:r>
      <w:r w:rsidRPr="00955DD8">
        <w:t xml:space="preserve">C.; </w:t>
      </w:r>
      <w:r>
        <w:t>a</w:t>
      </w:r>
      <w:r w:rsidRPr="00955DD8">
        <w:t>nd Southwest Power Pool, Inc.</w:t>
      </w:r>
    </w:p>
  </w:footnote>
  <w:footnote w:id="15">
    <w:p w14:paraId="1C4994E2" w14:textId="2033B066" w:rsidR="0094494A" w:rsidRPr="00B73BC1" w:rsidRDefault="0094494A">
      <w:pPr>
        <w:pStyle w:val="FootnoteText"/>
      </w:pPr>
      <w:r>
        <w:rPr>
          <w:rStyle w:val="FootnoteReference"/>
        </w:rPr>
        <w:footnoteRef/>
      </w:r>
      <w:r>
        <w:t xml:space="preserve"> </w:t>
      </w:r>
      <w:r w:rsidR="00347CCD" w:rsidRPr="00347CCD">
        <w:t>Additional Areas for Gas-Electric Coordination</w:t>
      </w:r>
      <w:r w:rsidR="00347CCD" w:rsidRPr="00347CCD" w:rsidDel="00347CCD">
        <w:t xml:space="preserve"> </w:t>
      </w:r>
      <w:r w:rsidR="00695884">
        <w:t xml:space="preserve">will be addressed </w:t>
      </w:r>
      <w:r w:rsidR="00E016E7">
        <w:t>in section V</w:t>
      </w:r>
      <w:r w:rsidR="00003915">
        <w:t>I</w:t>
      </w:r>
      <w:r w:rsidR="005F1B7D">
        <w:t xml:space="preserve"> of this</w:t>
      </w:r>
      <w:r w:rsidR="008D37E6">
        <w:t xml:space="preserve"> </w:t>
      </w:r>
      <w:r w:rsidR="00347CCD">
        <w:t>final rule</w:t>
      </w:r>
      <w:r w:rsidR="008D37E6">
        <w:t xml:space="preserve">.  </w:t>
      </w:r>
      <w:r w:rsidR="008D37E6">
        <w:rPr>
          <w:i/>
          <w:iCs/>
        </w:rPr>
        <w:t xml:space="preserve">See </w:t>
      </w:r>
      <w:r w:rsidR="00B73BC1">
        <w:rPr>
          <w:i/>
          <w:iCs/>
        </w:rPr>
        <w:t xml:space="preserve">infra </w:t>
      </w:r>
      <w:r w:rsidR="00B73BC1">
        <w:t>P</w:t>
      </w:r>
      <w:r w:rsidR="009338E4">
        <w:t>P</w:t>
      </w:r>
      <w:r w:rsidR="00B73BC1">
        <w:t xml:space="preserve"> </w:t>
      </w:r>
      <w:r w:rsidR="00347CCD" w:rsidRPr="00003915">
        <w:t>3</w:t>
      </w:r>
      <w:r w:rsidR="009338E4">
        <w:t>1-3</w:t>
      </w:r>
      <w:r w:rsidR="00A00BB5">
        <w:t>4</w:t>
      </w:r>
      <w:r w:rsidR="00B73BC1">
        <w:t>.</w:t>
      </w:r>
    </w:p>
  </w:footnote>
  <w:footnote w:id="16">
    <w:p w14:paraId="1BC09E59" w14:textId="2F5647FA" w:rsidR="007D66E8" w:rsidRDefault="007D66E8" w:rsidP="007D66E8">
      <w:pPr>
        <w:pStyle w:val="FootnoteText"/>
      </w:pPr>
      <w:r>
        <w:rPr>
          <w:rStyle w:val="FootnoteReference"/>
        </w:rPr>
        <w:footnoteRef/>
      </w:r>
      <w:r>
        <w:t xml:space="preserve"> AGA Comments at 6.</w:t>
      </w:r>
    </w:p>
  </w:footnote>
  <w:footnote w:id="17">
    <w:p w14:paraId="47878995" w14:textId="345FD9E3" w:rsidR="007D66E8" w:rsidRDefault="007D66E8" w:rsidP="007D66E8">
      <w:pPr>
        <w:pStyle w:val="FootnoteText"/>
      </w:pPr>
      <w:r>
        <w:rPr>
          <w:rStyle w:val="FootnoteReference"/>
        </w:rPr>
        <w:footnoteRef/>
      </w:r>
      <w:r>
        <w:t xml:space="preserve"> AGPA Comments </w:t>
      </w:r>
      <w:r w:rsidR="005664C4">
        <w:t xml:space="preserve">at </w:t>
      </w:r>
      <w:r>
        <w:t>5.</w:t>
      </w:r>
    </w:p>
  </w:footnote>
  <w:footnote w:id="18">
    <w:p w14:paraId="35B5FD62" w14:textId="7E91EF3A" w:rsidR="007D66E8" w:rsidRDefault="007D66E8" w:rsidP="007D66E8">
      <w:pPr>
        <w:pStyle w:val="FootnoteText"/>
      </w:pPr>
      <w:r>
        <w:rPr>
          <w:rStyle w:val="FootnoteReference"/>
        </w:rPr>
        <w:footnoteRef/>
      </w:r>
      <w:r>
        <w:t xml:space="preserve"> Utility Coalition Comments at </w:t>
      </w:r>
      <w:r w:rsidR="00A00809">
        <w:t>5-</w:t>
      </w:r>
      <w:r>
        <w:t>6.</w:t>
      </w:r>
    </w:p>
  </w:footnote>
  <w:footnote w:id="19">
    <w:p w14:paraId="6F3FCF43" w14:textId="67087941" w:rsidR="003225DF" w:rsidRDefault="003225DF" w:rsidP="003225DF">
      <w:pPr>
        <w:pStyle w:val="FootnoteText"/>
      </w:pPr>
      <w:r>
        <w:rPr>
          <w:rStyle w:val="FootnoteReference"/>
        </w:rPr>
        <w:footnoteRef/>
      </w:r>
      <w:r>
        <w:t xml:space="preserve"> ISO/RTO </w:t>
      </w:r>
      <w:r w:rsidR="00FB0BC1">
        <w:t xml:space="preserve">Council </w:t>
      </w:r>
      <w:r>
        <w:t>Comments at 2-3.</w:t>
      </w:r>
    </w:p>
  </w:footnote>
  <w:footnote w:id="20">
    <w:p w14:paraId="5554E865" w14:textId="3C3C145F" w:rsidR="007D66E8" w:rsidRDefault="007D66E8" w:rsidP="007D66E8">
      <w:pPr>
        <w:pStyle w:val="FootnoteText"/>
      </w:pPr>
      <w:r>
        <w:rPr>
          <w:rStyle w:val="FootnoteReference"/>
        </w:rPr>
        <w:footnoteRef/>
      </w:r>
      <w:r>
        <w:t xml:space="preserve"> NERC Comments at 5-6.  NERC outlines its comprehensive work plan addressing four key risk areas: </w:t>
      </w:r>
      <w:r w:rsidR="00CC0929">
        <w:t xml:space="preserve"> </w:t>
      </w:r>
      <w:r>
        <w:t xml:space="preserve">(a) natural gas supply and transportation risks </w:t>
      </w:r>
      <w:r w:rsidR="001B7278">
        <w:t xml:space="preserve">        </w:t>
      </w:r>
      <w:r>
        <w:t>(freeze-offs, pipeline constraints, facility outages); (b) market harmonization</w:t>
      </w:r>
      <w:r w:rsidR="001B7278">
        <w:t xml:space="preserve">   </w:t>
      </w:r>
      <w:r>
        <w:t xml:space="preserve"> (scheduling mismatches, unit commitment timing issues); (c) resource adequacy (generation performance during peak demand periods); and (d) generator winterization and extreme weather preparedness.</w:t>
      </w:r>
    </w:p>
  </w:footnote>
  <w:footnote w:id="21">
    <w:p w14:paraId="356446A1" w14:textId="67E666C9" w:rsidR="007D66E8" w:rsidRDefault="007D66E8" w:rsidP="007D66E8">
      <w:pPr>
        <w:pStyle w:val="FootnoteText"/>
      </w:pPr>
      <w:r>
        <w:rPr>
          <w:rStyle w:val="FootnoteReference"/>
        </w:rPr>
        <w:footnoteRef/>
      </w:r>
      <w:r>
        <w:t xml:space="preserve"> INGAA Comments at 3.</w:t>
      </w:r>
    </w:p>
  </w:footnote>
  <w:footnote w:id="22">
    <w:p w14:paraId="15F01EE6" w14:textId="0D022AE7" w:rsidR="00B31D53" w:rsidRDefault="00B31D53">
      <w:pPr>
        <w:pStyle w:val="FootnoteText"/>
      </w:pPr>
      <w:r>
        <w:rPr>
          <w:rStyle w:val="FootnoteReference"/>
        </w:rPr>
        <w:footnoteRef/>
      </w:r>
      <w:r>
        <w:t xml:space="preserve"> CRF Comments at 2.</w:t>
      </w:r>
    </w:p>
  </w:footnote>
  <w:footnote w:id="23">
    <w:p w14:paraId="0BA59045" w14:textId="1BCF0DC7" w:rsidR="00EB0E24" w:rsidRPr="005F6062" w:rsidRDefault="00EB0E24">
      <w:pPr>
        <w:pStyle w:val="FootnoteText"/>
      </w:pPr>
      <w:r>
        <w:rPr>
          <w:rStyle w:val="FootnoteReference"/>
        </w:rPr>
        <w:footnoteRef/>
      </w:r>
      <w:r>
        <w:t xml:space="preserve"> </w:t>
      </w:r>
      <w:r w:rsidR="005F6062">
        <w:rPr>
          <w:i/>
          <w:iCs/>
        </w:rPr>
        <w:t>Id</w:t>
      </w:r>
      <w:r w:rsidR="005F6062">
        <w:t>. at 4-5; AGA Comments at 6.</w:t>
      </w:r>
    </w:p>
  </w:footnote>
  <w:footnote w:id="24">
    <w:p w14:paraId="62F66375" w14:textId="77777777" w:rsidR="007D66E8" w:rsidRDefault="007D66E8" w:rsidP="007D66E8">
      <w:pPr>
        <w:pStyle w:val="FootnoteText"/>
      </w:pPr>
      <w:r>
        <w:rPr>
          <w:rStyle w:val="FootnoteReference"/>
        </w:rPr>
        <w:footnoteRef/>
      </w:r>
      <w:r>
        <w:t xml:space="preserve"> AGA Comments at 6.</w:t>
      </w:r>
    </w:p>
  </w:footnote>
  <w:footnote w:id="25">
    <w:p w14:paraId="7522985D" w14:textId="47B9F480" w:rsidR="007D66E8" w:rsidRDefault="007D66E8" w:rsidP="007D66E8">
      <w:pPr>
        <w:pStyle w:val="FootnoteText"/>
      </w:pPr>
      <w:r>
        <w:rPr>
          <w:rStyle w:val="FootnoteReference"/>
        </w:rPr>
        <w:footnoteRef/>
      </w:r>
      <w:r>
        <w:t xml:space="preserve"> </w:t>
      </w:r>
      <w:r w:rsidR="000F6422">
        <w:t>NERC Comments</w:t>
      </w:r>
      <w:r w:rsidR="00766DEC">
        <w:t xml:space="preserve"> </w:t>
      </w:r>
      <w:r w:rsidR="00A46642">
        <w:t>at</w:t>
      </w:r>
      <w:r>
        <w:t xml:space="preserve"> 10-11.</w:t>
      </w:r>
    </w:p>
  </w:footnote>
  <w:footnote w:id="26">
    <w:p w14:paraId="4B3C1DB9" w14:textId="72F194AC" w:rsidR="007D66E8" w:rsidRDefault="007D66E8" w:rsidP="007D66E8">
      <w:pPr>
        <w:pStyle w:val="FootnoteText"/>
      </w:pPr>
      <w:r>
        <w:rPr>
          <w:rStyle w:val="FootnoteReference"/>
        </w:rPr>
        <w:footnoteRef/>
      </w:r>
      <w:r>
        <w:t xml:space="preserve"> </w:t>
      </w:r>
      <w:r w:rsidR="002B649C">
        <w:rPr>
          <w:i/>
          <w:iCs/>
        </w:rPr>
        <w:t>Id.</w:t>
      </w:r>
      <w:r w:rsidR="002B649C">
        <w:t xml:space="preserve"> at</w:t>
      </w:r>
      <w:r>
        <w:t xml:space="preserve"> 12.</w:t>
      </w:r>
    </w:p>
  </w:footnote>
  <w:footnote w:id="27">
    <w:p w14:paraId="58A16D23" w14:textId="38E17E19" w:rsidR="00C54BFE" w:rsidRDefault="00C54BFE" w:rsidP="00AD3384">
      <w:pPr>
        <w:pStyle w:val="FootnoteText"/>
      </w:pPr>
      <w:r>
        <w:rPr>
          <w:rStyle w:val="FootnoteReference"/>
        </w:rPr>
        <w:footnoteRef/>
      </w:r>
      <w:r>
        <w:t xml:space="preserve"> </w:t>
      </w:r>
      <w:r w:rsidR="00756380" w:rsidRPr="00756380">
        <w:t>One individual</w:t>
      </w:r>
      <w:r w:rsidR="00FD1ED9">
        <w:t>, James Hunter Poole</w:t>
      </w:r>
      <w:r w:rsidR="00491D75">
        <w:t>,</w:t>
      </w:r>
      <w:r w:rsidR="00756380" w:rsidRPr="00756380">
        <w:t xml:space="preserve"> </w:t>
      </w:r>
      <w:r w:rsidR="00AD3384" w:rsidRPr="00AD3384">
        <w:t>filed comments opposing the NOPR proposal, arguing that the paperwork and compliance burdens were understated and raising general concerns about regulatory burdens.  However, this commenter did not address or find fault with any specific proposed NAESB standards modification.</w:t>
      </w:r>
    </w:p>
  </w:footnote>
  <w:footnote w:id="28">
    <w:p w14:paraId="1A665CC2" w14:textId="49104DEA" w:rsidR="0066496F" w:rsidRDefault="0066496F">
      <w:pPr>
        <w:pStyle w:val="FootnoteText"/>
      </w:pPr>
      <w:r>
        <w:rPr>
          <w:rStyle w:val="FootnoteReference"/>
        </w:rPr>
        <w:footnoteRef/>
      </w:r>
      <w:r>
        <w:t xml:space="preserve"> </w:t>
      </w:r>
      <w:r w:rsidR="006863FB">
        <w:t>As explained above, we are</w:t>
      </w:r>
      <w:r w:rsidR="00380350" w:rsidRPr="00504B6D">
        <w:t xml:space="preserve"> incorporating by reference </w:t>
      </w:r>
      <w:r w:rsidR="006557D6">
        <w:t>an</w:t>
      </w:r>
      <w:r w:rsidR="00380350" w:rsidRPr="00504B6D">
        <w:t xml:space="preserve"> </w:t>
      </w:r>
      <w:r w:rsidR="006557D6">
        <w:t xml:space="preserve">updated </w:t>
      </w:r>
      <w:r w:rsidR="00380350" w:rsidRPr="00504B6D">
        <w:t>WGQ Invoicing Related Standard</w:t>
      </w:r>
      <w:r w:rsidR="00DC247C">
        <w:t xml:space="preserve"> </w:t>
      </w:r>
      <w:r w:rsidR="00DC247C" w:rsidRPr="00DC247C">
        <w:t>that includes the Minor Correction in Order No. 587-AA</w:t>
      </w:r>
      <w:r w:rsidR="00DC247C">
        <w:t xml:space="preserve">.  </w:t>
      </w:r>
      <w:r w:rsidR="001E12B7">
        <w:t>T</w:t>
      </w:r>
      <w:r w:rsidR="00DC247C">
        <w:t xml:space="preserve">his </w:t>
      </w:r>
      <w:r w:rsidR="00A927BC">
        <w:t>m</w:t>
      </w:r>
      <w:r w:rsidR="003E612B">
        <w:t>anual</w:t>
      </w:r>
      <w:r w:rsidR="006557D6">
        <w:t xml:space="preserve"> contains no </w:t>
      </w:r>
      <w:r w:rsidR="00A927BC">
        <w:t>modifications to the standards</w:t>
      </w:r>
      <w:r w:rsidR="001E12B7">
        <w:t xml:space="preserve">, unlike the other three </w:t>
      </w:r>
      <w:r w:rsidR="00A927BC">
        <w:t>m</w:t>
      </w:r>
      <w:r w:rsidR="001E12B7">
        <w:t>anuals listed in the table.</w:t>
      </w:r>
    </w:p>
  </w:footnote>
  <w:footnote w:id="29">
    <w:p w14:paraId="0DD00F65" w14:textId="23B62B61" w:rsidR="005A457F" w:rsidRDefault="005A457F">
      <w:pPr>
        <w:pStyle w:val="FootnoteText"/>
      </w:pPr>
      <w:r>
        <w:rPr>
          <w:rStyle w:val="FootnoteReference"/>
        </w:rPr>
        <w:footnoteRef/>
      </w:r>
      <w:r>
        <w:t xml:space="preserve"> Order No. 587, </w:t>
      </w:r>
      <w:r w:rsidRPr="00680C2B">
        <w:t>76 FERC ¶</w:t>
      </w:r>
      <w:r>
        <w:t> </w:t>
      </w:r>
      <w:r w:rsidRPr="00680C2B">
        <w:t>61,042</w:t>
      </w:r>
      <w:r w:rsidR="00EB6A89">
        <w:t xml:space="preserve"> at </w:t>
      </w:r>
      <w:r w:rsidR="00B52056">
        <w:t>12-</w:t>
      </w:r>
      <w:r w:rsidR="00800B41">
        <w:t>13</w:t>
      </w:r>
      <w:r w:rsidR="00B52056">
        <w:t>.</w:t>
      </w:r>
    </w:p>
  </w:footnote>
  <w:footnote w:id="30">
    <w:p w14:paraId="3ECBDE24" w14:textId="77777777" w:rsidR="00DC7AFC" w:rsidRDefault="00DC7AFC" w:rsidP="00DC7AFC">
      <w:pPr>
        <w:pStyle w:val="FootnoteText"/>
      </w:pPr>
      <w:r w:rsidRPr="000149D9">
        <w:rPr>
          <w:rStyle w:val="FootnoteReference"/>
        </w:rPr>
        <w:footnoteRef/>
      </w:r>
      <w:r>
        <w:t xml:space="preserve"> Pub. L. No. 104-113, § 12(d), 110 Stat. 775 (1996).</w:t>
      </w:r>
    </w:p>
  </w:footnote>
  <w:footnote w:id="31">
    <w:p w14:paraId="1F29F3B6" w14:textId="4617FFE2" w:rsidR="00093A8B" w:rsidRDefault="00093A8B" w:rsidP="00093A8B">
      <w:pPr>
        <w:pStyle w:val="FootnoteText"/>
      </w:pPr>
      <w:r>
        <w:rPr>
          <w:rStyle w:val="FootnoteReference"/>
        </w:rPr>
        <w:footnoteRef/>
      </w:r>
      <w:r>
        <w:t xml:space="preserve"> </w:t>
      </w:r>
      <w:r w:rsidRPr="00093A8B">
        <w:t>According to existing NAESB standard provisions, Cycle would include each</w:t>
      </w:r>
      <w:r w:rsidR="001B7278">
        <w:t xml:space="preserve"> </w:t>
      </w:r>
      <w:r w:rsidRPr="00093A8B">
        <w:t xml:space="preserve"> of the five standard daily nominations cycles (Timely, Evening, Intraday 1, Intraday 2, and Intraday 3) or additional transportation service provider defined cycles during which shippers may submit nomination requests for natural gas transportation throughout the gas day</w:t>
      </w:r>
      <w:r>
        <w:t>.</w:t>
      </w:r>
    </w:p>
  </w:footnote>
  <w:footnote w:id="32">
    <w:p w14:paraId="024F838E" w14:textId="063D35B2" w:rsidR="00376E6D" w:rsidRDefault="007F78F0" w:rsidP="00376E6D">
      <w:pPr>
        <w:pStyle w:val="FootnoteText"/>
      </w:pPr>
      <w:r>
        <w:rPr>
          <w:rStyle w:val="FootnoteReference"/>
        </w:rPr>
        <w:footnoteRef/>
      </w:r>
      <w:r>
        <w:t xml:space="preserve"> </w:t>
      </w:r>
      <w:r w:rsidR="00376E6D">
        <w:t>T</w:t>
      </w:r>
      <w:r w:rsidR="00376E6D" w:rsidRPr="00376E6D">
        <w:t>he</w:t>
      </w:r>
      <w:r w:rsidR="00376E6D" w:rsidRPr="00376E6D" w:rsidDel="008E53FE">
        <w:t xml:space="preserve"> Effective Gas Day (Eff Gas Day)</w:t>
      </w:r>
      <w:r w:rsidR="00376E6D">
        <w:t xml:space="preserve"> </w:t>
      </w:r>
      <w:r w:rsidR="00376E6D" w:rsidRPr="00376E6D">
        <w:t>is the Gas Day for which the information is applicable, beginning at 9AM Central Clock Time and ending 9AM Central Clock Time the next day.</w:t>
      </w:r>
    </w:p>
  </w:footnote>
  <w:footnote w:id="33">
    <w:p w14:paraId="1CDF80E1" w14:textId="6C67B5F8" w:rsidR="00160593" w:rsidRDefault="00160593" w:rsidP="00160593">
      <w:pPr>
        <w:pStyle w:val="FootnoteText"/>
      </w:pPr>
      <w:r>
        <w:rPr>
          <w:rStyle w:val="FootnoteReference"/>
        </w:rPr>
        <w:footnoteRef/>
      </w:r>
      <w:r>
        <w:t xml:space="preserve"> T</w:t>
      </w:r>
      <w:r w:rsidRPr="00160593">
        <w:t>he Effective Time (Eff Time)</w:t>
      </w:r>
      <w:r w:rsidR="008D15BC">
        <w:t xml:space="preserve"> is </w:t>
      </w:r>
      <w:r w:rsidRPr="00160593">
        <w:t>the time for which the posted information is applicable, which may be subsequent to the posting.</w:t>
      </w:r>
    </w:p>
  </w:footnote>
  <w:footnote w:id="34">
    <w:p w14:paraId="3F2B1CBF" w14:textId="0E9BC67D" w:rsidR="002A68FD" w:rsidRDefault="002A68FD" w:rsidP="002A68FD">
      <w:pPr>
        <w:pStyle w:val="FootnoteText"/>
      </w:pPr>
      <w:r>
        <w:rPr>
          <w:rStyle w:val="FootnoteReference"/>
        </w:rPr>
        <w:footnoteRef/>
      </w:r>
      <w:r>
        <w:t xml:space="preserve"> </w:t>
      </w:r>
      <w:r w:rsidR="0015095B">
        <w:t>The a</w:t>
      </w:r>
      <w:r w:rsidRPr="002A68FD">
        <w:t>pplicable generators’ locations</w:t>
      </w:r>
      <w:r w:rsidRPr="002A68FD" w:rsidDel="008E53FE">
        <w:t xml:space="preserve"> (Loc)</w:t>
      </w:r>
      <w:r w:rsidR="00F56219">
        <w:t xml:space="preserve"> </w:t>
      </w:r>
      <w:r w:rsidRPr="002A68FD">
        <w:t>may be the transportation service providers’ assigned identifier where transactions may take place,</w:t>
      </w:r>
      <w:r w:rsidRPr="002A68FD" w:rsidDel="008E53FE">
        <w:t xml:space="preserve"> Location Name </w:t>
      </w:r>
      <w:r w:rsidR="001B7278">
        <w:t xml:space="preserve">      </w:t>
      </w:r>
      <w:r w:rsidRPr="002A68FD" w:rsidDel="008E53FE">
        <w:t>(Loc Name), Location County (Loc Cnty), Location State Abbreviation (Loc St Abbrev)</w:t>
      </w:r>
      <w:r w:rsidRPr="002A68FD">
        <w:t>.</w:t>
      </w:r>
    </w:p>
  </w:footnote>
  <w:footnote w:id="35">
    <w:p w14:paraId="2808E08A" w14:textId="717C6A7E" w:rsidR="00F56219" w:rsidRDefault="00F56219" w:rsidP="00F56219">
      <w:pPr>
        <w:pStyle w:val="FootnoteText"/>
      </w:pPr>
      <w:r>
        <w:rPr>
          <w:rStyle w:val="FootnoteReference"/>
        </w:rPr>
        <w:footnoteRef/>
      </w:r>
      <w:r>
        <w:t xml:space="preserve"> </w:t>
      </w:r>
      <w:r w:rsidRPr="00F56219">
        <w:t>The standard</w:t>
      </w:r>
      <w:r w:rsidR="00463C80">
        <w:t xml:space="preserve"> </w:t>
      </w:r>
      <w:r w:rsidRPr="00F56219">
        <w:t xml:space="preserve">includes the </w:t>
      </w:r>
      <w:r w:rsidRPr="00F56219" w:rsidDel="008E53FE">
        <w:t>Measurement Bas</w:t>
      </w:r>
      <w:r w:rsidRPr="00F56219">
        <w:t>i</w:t>
      </w:r>
      <w:r w:rsidRPr="00F56219" w:rsidDel="008E53FE">
        <w:t xml:space="preserve">s (Meas Basis), </w:t>
      </w:r>
      <w:r w:rsidRPr="00F56219">
        <w:t xml:space="preserve">such </w:t>
      </w:r>
      <w:r w:rsidR="00463C80">
        <w:t xml:space="preserve">as </w:t>
      </w:r>
      <w:r w:rsidRPr="00F56219">
        <w:t>Million British Thermal Units.</w:t>
      </w:r>
    </w:p>
  </w:footnote>
  <w:footnote w:id="36">
    <w:p w14:paraId="44825649" w14:textId="54D751B6" w:rsidR="008D6C56" w:rsidRDefault="00DE5FB6" w:rsidP="008D6C56">
      <w:pPr>
        <w:pStyle w:val="FootnoteText"/>
      </w:pPr>
      <w:r>
        <w:rPr>
          <w:rStyle w:val="FootnoteReference"/>
        </w:rPr>
        <w:footnoteRef/>
      </w:r>
      <w:r>
        <w:t xml:space="preserve"> </w:t>
      </w:r>
      <w:r w:rsidRPr="00F56219">
        <w:t>The</w:t>
      </w:r>
      <w:r w:rsidR="008D6C56">
        <w:t xml:space="preserve"> </w:t>
      </w:r>
      <w:r w:rsidR="008D6C56" w:rsidRPr="008D6C56" w:rsidDel="008E53FE">
        <w:t>Posting Date (Post Date)</w:t>
      </w:r>
      <w:r w:rsidR="008D6C56" w:rsidRPr="008D6C56">
        <w:t xml:space="preserve"> and</w:t>
      </w:r>
      <w:r w:rsidR="008D6C56" w:rsidRPr="008D6C56" w:rsidDel="008E53FE">
        <w:t xml:space="preserve"> Posting Time (Post Time)</w:t>
      </w:r>
      <w:r w:rsidR="002B052E">
        <w:t xml:space="preserve"> are </w:t>
      </w:r>
      <w:r w:rsidR="008D6C56" w:rsidRPr="008D6C56">
        <w:t>the date and time at which transportation service providers post the relevant information.</w:t>
      </w:r>
    </w:p>
  </w:footnote>
  <w:footnote w:id="37">
    <w:p w14:paraId="74546977" w14:textId="638CF292" w:rsidR="002A3916" w:rsidRDefault="002A3916" w:rsidP="002A3916">
      <w:pPr>
        <w:pStyle w:val="FootnoteText"/>
      </w:pPr>
      <w:r>
        <w:rPr>
          <w:rStyle w:val="FootnoteReference"/>
        </w:rPr>
        <w:footnoteRef/>
      </w:r>
      <w:r>
        <w:t xml:space="preserve"> </w:t>
      </w:r>
      <w:r w:rsidRPr="00F56219">
        <w:t>T</w:t>
      </w:r>
      <w:r w:rsidRPr="002A3916">
        <w:t xml:space="preserve">he standard includes posting of the </w:t>
      </w:r>
      <w:r w:rsidRPr="002A3916" w:rsidDel="008E53FE">
        <w:t>RTO/ISO</w:t>
      </w:r>
      <w:r w:rsidRPr="002A3916">
        <w:t xml:space="preserve"> in whose service territory the affected generator is directly connected to the interstate pipeline</w:t>
      </w:r>
      <w:r w:rsidRPr="002A3916" w:rsidDel="008E53FE">
        <w:t xml:space="preserve"> and Total Scheduled Quantity (TSQ)</w:t>
      </w:r>
      <w:r w:rsidRPr="002A3916">
        <w:t xml:space="preserve"> – the net quantity scheduled to be delivered to each applicable generator at the effective date and time of the posting</w:t>
      </w:r>
      <w:r>
        <w:t>.</w:t>
      </w:r>
    </w:p>
  </w:footnote>
  <w:footnote w:id="38">
    <w:p w14:paraId="7D42C006" w14:textId="0DAC8A8A" w:rsidR="003F3CCC" w:rsidRDefault="003F3CCC" w:rsidP="003F3CCC">
      <w:pPr>
        <w:pStyle w:val="FootnoteText"/>
      </w:pPr>
      <w:r>
        <w:rPr>
          <w:rStyle w:val="FootnoteReference"/>
        </w:rPr>
        <w:footnoteRef/>
      </w:r>
      <w:r>
        <w:t xml:space="preserve"> Critical notices are notices posted on a transportation service provider’s </w:t>
      </w:r>
      <w:r w:rsidR="001B7278">
        <w:t xml:space="preserve">  </w:t>
      </w:r>
      <w:r>
        <w:t>website that, according to existin</w:t>
      </w:r>
      <w:r w:rsidR="00981D71">
        <w:t>g</w:t>
      </w:r>
      <w:r w:rsidR="00815EC3">
        <w:t xml:space="preserve"> WGQ S</w:t>
      </w:r>
      <w:r>
        <w:t>tandard No. 5.2.1, “</w:t>
      </w:r>
      <w:r w:rsidRPr="005443CC">
        <w:t>pertain to</w:t>
      </w:r>
      <w:r>
        <w:t xml:space="preserve"> information </w:t>
      </w:r>
      <w:r w:rsidR="001B7278">
        <w:t xml:space="preserve">    </w:t>
      </w:r>
      <w:r>
        <w:t>on transportation service provider conditions that affect scheduling or adversely affect scheduled gas flow.”</w:t>
      </w:r>
    </w:p>
  </w:footnote>
  <w:footnote w:id="39">
    <w:p w14:paraId="5320ED84" w14:textId="2F4B80C3" w:rsidR="00104AEA" w:rsidRDefault="00104AEA">
      <w:pPr>
        <w:pStyle w:val="FootnoteText"/>
      </w:pPr>
      <w:r>
        <w:rPr>
          <w:rStyle w:val="FootnoteReference"/>
        </w:rPr>
        <w:footnoteRef/>
      </w:r>
      <w:r>
        <w:t xml:space="preserve"> INGAA Comments at </w:t>
      </w:r>
      <w:r w:rsidR="005105AE">
        <w:t>3</w:t>
      </w:r>
      <w:r>
        <w:t>.</w:t>
      </w:r>
    </w:p>
  </w:footnote>
  <w:footnote w:id="40">
    <w:p w14:paraId="4758A733" w14:textId="3F564129" w:rsidR="00DD28A5" w:rsidRPr="007775C2" w:rsidRDefault="00DD28A5" w:rsidP="00DD28A5">
      <w:pPr>
        <w:pStyle w:val="FootnoteText"/>
        <w:rPr>
          <w:iCs/>
        </w:rPr>
      </w:pPr>
      <w:r>
        <w:rPr>
          <w:rStyle w:val="FootnoteReference"/>
        </w:rPr>
        <w:footnoteRef/>
      </w:r>
      <w:r>
        <w:t xml:space="preserve"> We note that several pipelines have already implemented these </w:t>
      </w:r>
      <w:r w:rsidR="001B7278">
        <w:t xml:space="preserve">              </w:t>
      </w:r>
      <w:r>
        <w:t xml:space="preserve">standards on a voluntary basis.  </w:t>
      </w:r>
      <w:r>
        <w:rPr>
          <w:i/>
          <w:iCs/>
        </w:rPr>
        <w:t>See, e.g.</w:t>
      </w:r>
      <w:r w:rsidRPr="00103A57">
        <w:t>,</w:t>
      </w:r>
      <w:r>
        <w:rPr>
          <w:i/>
          <w:iCs/>
        </w:rPr>
        <w:t xml:space="preserve"> </w:t>
      </w:r>
      <w:r w:rsidRPr="00103A57">
        <w:t xml:space="preserve">Natural Gas Pipeline Company of </w:t>
      </w:r>
      <w:r>
        <w:t>America (</w:t>
      </w:r>
      <w:r w:rsidRPr="00003915">
        <w:t>https://pipeline2.kindermorgan.com/default.aspx?code=NGPL</w:t>
      </w:r>
      <w:r>
        <w:t xml:space="preserve">), </w:t>
      </w:r>
      <w:r w:rsidRPr="00472B00">
        <w:t>Tennessee Gas Pipeline Company, L.L.C</w:t>
      </w:r>
      <w:r>
        <w:t>. (</w:t>
      </w:r>
      <w:r w:rsidRPr="00003915">
        <w:t>https://pipeline2.kindermorgan.com/</w:t>
      </w:r>
      <w:r>
        <w:t xml:space="preserve">), </w:t>
      </w:r>
      <w:r w:rsidRPr="00E8454A">
        <w:t>Algonquin Gas Transmission, LLC</w:t>
      </w:r>
      <w:r>
        <w:t xml:space="preserve"> (</w:t>
      </w:r>
      <w:r w:rsidRPr="00003915">
        <w:t>https://infopost.enbridge.com/infopost/AGHome.asp?Pipe=AG</w:t>
      </w:r>
      <w:r>
        <w:t>).</w:t>
      </w:r>
    </w:p>
  </w:footnote>
  <w:footnote w:id="41">
    <w:p w14:paraId="445EEDBC" w14:textId="289382D4" w:rsidR="006A0EC0" w:rsidRDefault="006A0EC0" w:rsidP="006A0EC0">
      <w:pPr>
        <w:pStyle w:val="FootnoteText"/>
      </w:pPr>
      <w:r w:rsidRPr="00932257">
        <w:rPr>
          <w:rStyle w:val="FootnoteReference"/>
        </w:rPr>
        <w:footnoteRef/>
      </w:r>
      <w:r>
        <w:t xml:space="preserve"> </w:t>
      </w:r>
      <w:r w:rsidR="00C105A8" w:rsidRPr="00277E9F">
        <w:rPr>
          <w:i/>
          <w:iCs/>
        </w:rPr>
        <w:t>Standards for Bus. Pracs. of Interstate Nat. Gas Pipelines</w:t>
      </w:r>
      <w:r w:rsidR="00C105A8" w:rsidRPr="00504B6D">
        <w:t>,</w:t>
      </w:r>
      <w:r w:rsidR="00C105A8">
        <w:t xml:space="preserve"> </w:t>
      </w:r>
      <w:r>
        <w:t>Order No.</w:t>
      </w:r>
      <w:r w:rsidRPr="00561059">
        <w:t xml:space="preserve"> 587-V, </w:t>
      </w:r>
      <w:r w:rsidR="001B7278">
        <w:t xml:space="preserve">  </w:t>
      </w:r>
      <w:r w:rsidR="004A307F" w:rsidRPr="004A307F">
        <w:t xml:space="preserve">77 FR 43711 (July 26, 2012), </w:t>
      </w:r>
      <w:r w:rsidRPr="008127C6">
        <w:t>140 FERC ¶</w:t>
      </w:r>
      <w:r>
        <w:t> </w:t>
      </w:r>
      <w:r w:rsidRPr="008127C6">
        <w:t>61,036</w:t>
      </w:r>
      <w:r w:rsidR="00C105A8">
        <w:t>,</w:t>
      </w:r>
      <w:r w:rsidRPr="00561059">
        <w:t xml:space="preserve"> at</w:t>
      </w:r>
      <w:r>
        <w:t xml:space="preserve"> PP 36-39</w:t>
      </w:r>
      <w:r w:rsidR="00C105A8">
        <w:t xml:space="preserve"> (2012)</w:t>
      </w:r>
      <w:r>
        <w:t>.</w:t>
      </w:r>
    </w:p>
  </w:footnote>
  <w:footnote w:id="42">
    <w:p w14:paraId="08D3292F" w14:textId="3E0EB809" w:rsidR="006A0EC0" w:rsidRDefault="006A0EC0" w:rsidP="006A0EC0">
      <w:pPr>
        <w:pStyle w:val="FootnoteText"/>
      </w:pPr>
      <w:r w:rsidRPr="00932257">
        <w:rPr>
          <w:rStyle w:val="FootnoteReference"/>
        </w:rPr>
        <w:footnoteRef/>
      </w:r>
      <w:r>
        <w:t xml:space="preserve"> </w:t>
      </w:r>
      <w:r w:rsidRPr="00716C7A">
        <w:rPr>
          <w:i/>
        </w:rPr>
        <w:t>Trans-Union Interstate Pipeline L.P</w:t>
      </w:r>
      <w:r w:rsidRPr="00716C7A">
        <w:t>.</w:t>
      </w:r>
      <w:r>
        <w:t xml:space="preserve">, </w:t>
      </w:r>
      <w:r w:rsidRPr="00561059">
        <w:t>141 FERC ¶</w:t>
      </w:r>
      <w:r>
        <w:t> </w:t>
      </w:r>
      <w:r w:rsidRPr="00561059">
        <w:t>61,167</w:t>
      </w:r>
      <w:r>
        <w:t xml:space="preserve">, at P 36 (2012) </w:t>
      </w:r>
      <w:r w:rsidR="001B7278">
        <w:t xml:space="preserve"> </w:t>
      </w:r>
      <w:r>
        <w:t>(Order No.</w:t>
      </w:r>
      <w:r w:rsidRPr="00716C7A">
        <w:t xml:space="preserve"> 587-V</w:t>
      </w:r>
      <w:r>
        <w:t xml:space="preserve"> Compliance Order); </w:t>
      </w:r>
      <w:r w:rsidRPr="000603CD">
        <w:rPr>
          <w:i/>
          <w:iCs/>
        </w:rPr>
        <w:t>Version 3.</w:t>
      </w:r>
      <w:r>
        <w:rPr>
          <w:i/>
          <w:iCs/>
        </w:rPr>
        <w:t>2</w:t>
      </w:r>
      <w:r w:rsidRPr="000603CD">
        <w:rPr>
          <w:i/>
          <w:iCs/>
        </w:rPr>
        <w:t xml:space="preserve"> NOPR</w:t>
      </w:r>
      <w:r>
        <w:t xml:space="preserve">, </w:t>
      </w:r>
      <w:r w:rsidRPr="0039464E">
        <w:t>1</w:t>
      </w:r>
      <w:r>
        <w:t>7</w:t>
      </w:r>
      <w:r w:rsidRPr="0039464E">
        <w:t>4 FERC ¶</w:t>
      </w:r>
      <w:r>
        <w:t> </w:t>
      </w:r>
      <w:r w:rsidRPr="0039464E">
        <w:t>61,1</w:t>
      </w:r>
      <w:r>
        <w:t>03 at P 21</w:t>
      </w:r>
      <w:r w:rsidRPr="00E832D2">
        <w:t>.</w:t>
      </w:r>
    </w:p>
  </w:footnote>
  <w:footnote w:id="43">
    <w:p w14:paraId="27DF9910" w14:textId="77777777" w:rsidR="006A0EC0" w:rsidRDefault="006A0EC0" w:rsidP="006A0EC0">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44">
    <w:p w14:paraId="47FFBC00" w14:textId="77777777" w:rsidR="006A0EC0" w:rsidRDefault="006A0EC0" w:rsidP="006A0EC0">
      <w:pPr>
        <w:pStyle w:val="FootnoteText"/>
      </w:pPr>
      <w:r w:rsidRPr="00932257">
        <w:rPr>
          <w:rStyle w:val="FootnoteReference"/>
        </w:rPr>
        <w:footnoteRef/>
      </w:r>
      <w:r>
        <w:t xml:space="preserve"> Order No. 587-V, </w:t>
      </w:r>
      <w:r w:rsidRPr="008127C6">
        <w:t>140 FERC ¶</w:t>
      </w:r>
      <w:r>
        <w:t> </w:t>
      </w:r>
      <w:r w:rsidRPr="008127C6">
        <w:t>61,036</w:t>
      </w:r>
      <w:r>
        <w:t>.</w:t>
      </w:r>
    </w:p>
  </w:footnote>
  <w:footnote w:id="45">
    <w:p w14:paraId="38DC26E4" w14:textId="77777777" w:rsidR="006A0EC0" w:rsidRDefault="006A0EC0" w:rsidP="006A0EC0">
      <w:pPr>
        <w:pStyle w:val="FootnoteText"/>
      </w:pPr>
      <w:r>
        <w:rPr>
          <w:rStyle w:val="FootnoteReference"/>
        </w:rPr>
        <w:footnoteRef/>
      </w:r>
      <w:r>
        <w:t xml:space="preserve"> </w:t>
      </w:r>
      <w:r w:rsidRPr="001437FC">
        <w:t>Order No. 587-V Compliance Order, 141 FERC ¶</w:t>
      </w:r>
      <w:r>
        <w:t> </w:t>
      </w:r>
      <w:r w:rsidRPr="001437FC">
        <w:t>61,167 at PP</w:t>
      </w:r>
      <w:r>
        <w:t> </w:t>
      </w:r>
      <w:r w:rsidRPr="001437FC">
        <w:t>4, 38 (a pipeline does not need to seek a waiver for standards that address business practices that the pipeline does not offer).</w:t>
      </w:r>
    </w:p>
  </w:footnote>
  <w:footnote w:id="46">
    <w:p w14:paraId="36B9734A" w14:textId="20D66780" w:rsidR="00E469F2" w:rsidRDefault="00E469F2" w:rsidP="001B7278">
      <w:pPr>
        <w:pStyle w:val="FootnoteText"/>
        <w:ind w:right="-270"/>
      </w:pPr>
      <w:r>
        <w:rPr>
          <w:rStyle w:val="FootnoteReference"/>
        </w:rPr>
        <w:footnoteRef/>
      </w:r>
      <w:r>
        <w:t xml:space="preserve"> </w:t>
      </w:r>
      <w:r w:rsidR="00CC0929" w:rsidRPr="00E469F2">
        <w:rPr>
          <w:i/>
          <w:iCs/>
        </w:rPr>
        <w:t>See Standards for Bus</w:t>
      </w:r>
      <w:r w:rsidR="00CC0929">
        <w:rPr>
          <w:i/>
          <w:iCs/>
        </w:rPr>
        <w:t>.</w:t>
      </w:r>
      <w:r w:rsidR="00CC0929" w:rsidRPr="00E469F2">
        <w:rPr>
          <w:i/>
          <w:iCs/>
        </w:rPr>
        <w:t xml:space="preserve"> Pracs</w:t>
      </w:r>
      <w:r w:rsidR="00CC0929">
        <w:rPr>
          <w:i/>
          <w:iCs/>
        </w:rPr>
        <w:t>.</w:t>
      </w:r>
      <w:r w:rsidR="00CC0929" w:rsidRPr="00E469F2">
        <w:rPr>
          <w:i/>
          <w:iCs/>
        </w:rPr>
        <w:t xml:space="preserve"> of Interstate Nat</w:t>
      </w:r>
      <w:r w:rsidR="00CC0929">
        <w:rPr>
          <w:i/>
          <w:iCs/>
        </w:rPr>
        <w:t>.</w:t>
      </w:r>
      <w:r w:rsidR="00CC0929" w:rsidRPr="00E469F2">
        <w:rPr>
          <w:i/>
          <w:iCs/>
        </w:rPr>
        <w:t xml:space="preserve"> Gas Pipelines</w:t>
      </w:r>
      <w:r w:rsidR="00CC0929" w:rsidRPr="00E469F2">
        <w:t>, 193 FERC ¶ 61,041 (2025) (Chang, Comm’r, concurring at P 3).</w:t>
      </w:r>
    </w:p>
  </w:footnote>
  <w:footnote w:id="47">
    <w:p w14:paraId="0CEAFEDB" w14:textId="416DEE8B" w:rsidR="009878A6" w:rsidRDefault="009878A6" w:rsidP="009878A6">
      <w:pPr>
        <w:pStyle w:val="FootnoteText"/>
      </w:pPr>
      <w:r>
        <w:rPr>
          <w:rStyle w:val="FootnoteReference"/>
        </w:rPr>
        <w:footnoteRef/>
      </w:r>
      <w:r>
        <w:t xml:space="preserve"> ISO/RTO Council Comment</w:t>
      </w:r>
      <w:r w:rsidR="00150302">
        <w:t>s</w:t>
      </w:r>
      <w:r>
        <w:t xml:space="preserve"> at 3.</w:t>
      </w:r>
    </w:p>
  </w:footnote>
  <w:footnote w:id="48">
    <w:p w14:paraId="2E3FD36D" w14:textId="571A6DD2" w:rsidR="009878A6" w:rsidRDefault="009878A6" w:rsidP="009878A6">
      <w:pPr>
        <w:pStyle w:val="FootnoteText"/>
      </w:pPr>
      <w:r>
        <w:rPr>
          <w:rStyle w:val="FootnoteReference"/>
        </w:rPr>
        <w:footnoteRef/>
      </w:r>
      <w:r>
        <w:t xml:space="preserve"> </w:t>
      </w:r>
      <w:r w:rsidR="00FC54B3">
        <w:rPr>
          <w:i/>
          <w:iCs/>
        </w:rPr>
        <w:t xml:space="preserve">Id. </w:t>
      </w:r>
      <w:r w:rsidR="00FC54B3">
        <w:t xml:space="preserve">at </w:t>
      </w:r>
      <w:r>
        <w:t>3-4.</w:t>
      </w:r>
    </w:p>
  </w:footnote>
  <w:footnote w:id="49">
    <w:p w14:paraId="5728CB88" w14:textId="443930BD" w:rsidR="00E768BC" w:rsidRDefault="00E768BC">
      <w:pPr>
        <w:pStyle w:val="FootnoteText"/>
      </w:pPr>
      <w:r>
        <w:rPr>
          <w:rStyle w:val="FootnoteReference"/>
        </w:rPr>
        <w:footnoteRef/>
      </w:r>
      <w:r>
        <w:t xml:space="preserve"> CRF Comments at 10.</w:t>
      </w:r>
    </w:p>
  </w:footnote>
  <w:footnote w:id="50">
    <w:p w14:paraId="6E22E7F2" w14:textId="5791F20D" w:rsidR="009878A6" w:rsidRDefault="009878A6" w:rsidP="009878A6">
      <w:pPr>
        <w:pStyle w:val="FootnoteText"/>
      </w:pPr>
      <w:r>
        <w:rPr>
          <w:rStyle w:val="FootnoteReference"/>
        </w:rPr>
        <w:footnoteRef/>
      </w:r>
      <w:r>
        <w:t xml:space="preserve"> AGA Comments at 22. </w:t>
      </w:r>
      <w:r w:rsidR="0056574A">
        <w:t xml:space="preserve"> </w:t>
      </w:r>
      <w:r>
        <w:t>Utility Coalition Comments at 8</w:t>
      </w:r>
      <w:r w:rsidR="00BE5F27">
        <w:t xml:space="preserve"> &amp; </w:t>
      </w:r>
      <w:r w:rsidR="005C7218">
        <w:t>n.8</w:t>
      </w:r>
      <w:r>
        <w:t xml:space="preserve"> (support</w:t>
      </w:r>
      <w:r w:rsidR="005C7218">
        <w:t>ing</w:t>
      </w:r>
      <w:r>
        <w:t xml:space="preserve"> the National Petroleum Council Report </w:t>
      </w:r>
      <w:r w:rsidRPr="00875AB1">
        <w:t>recommend</w:t>
      </w:r>
      <w:r w:rsidR="00AF346B">
        <w:t>ation</w:t>
      </w:r>
      <w:r w:rsidRPr="00875AB1">
        <w:t xml:space="preserve"> that the Commission and the states, through the existing Federal and State Current Issues Collaborative, established in</w:t>
      </w:r>
      <w:r w:rsidR="001B7278">
        <w:t xml:space="preserve"> </w:t>
      </w:r>
      <w:r w:rsidRPr="00875AB1">
        <w:t xml:space="preserve"> Docket No. AD24-7-000, publish a framework that identifies and defines the roles and responsibilities for reliability, resource adequacy, and fuel assurance</w:t>
      </w:r>
      <w:r>
        <w:t>).</w:t>
      </w:r>
    </w:p>
  </w:footnote>
  <w:footnote w:id="51">
    <w:p w14:paraId="577E71AE" w14:textId="0868F855" w:rsidR="008A18E5" w:rsidRDefault="008A18E5">
      <w:pPr>
        <w:pStyle w:val="FootnoteText"/>
      </w:pPr>
      <w:r>
        <w:rPr>
          <w:rStyle w:val="FootnoteReference"/>
        </w:rPr>
        <w:footnoteRef/>
      </w:r>
      <w:r>
        <w:t xml:space="preserve"> </w:t>
      </w:r>
      <w:r w:rsidR="0035554A">
        <w:t>Utility Coalition Comments at 9.</w:t>
      </w:r>
    </w:p>
  </w:footnote>
  <w:footnote w:id="52">
    <w:p w14:paraId="357EEB57" w14:textId="6CD8B480" w:rsidR="008C5364" w:rsidRDefault="008C5364">
      <w:pPr>
        <w:pStyle w:val="FootnoteText"/>
      </w:pPr>
      <w:r>
        <w:rPr>
          <w:rStyle w:val="FootnoteReference"/>
        </w:rPr>
        <w:footnoteRef/>
      </w:r>
      <w:r w:rsidR="00F66A1E">
        <w:t xml:space="preserve"> </w:t>
      </w:r>
      <w:r w:rsidR="00DE6AFA">
        <w:rPr>
          <w:i/>
          <w:iCs/>
        </w:rPr>
        <w:t>Id</w:t>
      </w:r>
      <w:r w:rsidR="00DE6AFA">
        <w:t>.</w:t>
      </w:r>
    </w:p>
  </w:footnote>
  <w:footnote w:id="53">
    <w:p w14:paraId="09FD9C55" w14:textId="1CE5754E" w:rsidR="00543D2F" w:rsidRDefault="00543D2F" w:rsidP="00543D2F">
      <w:pPr>
        <w:pStyle w:val="FootnoteText"/>
      </w:pPr>
      <w:r>
        <w:rPr>
          <w:rStyle w:val="FootnoteReference"/>
        </w:rPr>
        <w:footnoteRef/>
      </w:r>
      <w:r>
        <w:t xml:space="preserve"> </w:t>
      </w:r>
      <w:r w:rsidR="00DE6AFA">
        <w:rPr>
          <w:i/>
          <w:iCs/>
        </w:rPr>
        <w:t>Id</w:t>
      </w:r>
      <w:r w:rsidR="00DE6AFA">
        <w:t>.</w:t>
      </w:r>
      <w:r>
        <w:t xml:space="preserve"> at 7.</w:t>
      </w:r>
    </w:p>
  </w:footnote>
  <w:footnote w:id="54">
    <w:p w14:paraId="70A4A08B" w14:textId="77777777" w:rsidR="00DB52A7" w:rsidRDefault="00DB52A7" w:rsidP="00DB52A7">
      <w:pPr>
        <w:pStyle w:val="FootnoteText"/>
      </w:pPr>
      <w:r>
        <w:rPr>
          <w:rStyle w:val="FootnoteReference"/>
        </w:rPr>
        <w:footnoteRef/>
      </w:r>
      <w:r>
        <w:t xml:space="preserve"> </w:t>
      </w:r>
      <w:r>
        <w:rPr>
          <w:i/>
          <w:iCs/>
        </w:rPr>
        <w:t>Id</w:t>
      </w:r>
      <w:r>
        <w:t>.</w:t>
      </w:r>
    </w:p>
  </w:footnote>
  <w:footnote w:id="55">
    <w:p w14:paraId="2F4A49CE" w14:textId="77777777" w:rsidR="00DC38A5" w:rsidRDefault="00DC38A5">
      <w:pPr>
        <w:pStyle w:val="FootnoteText"/>
      </w:pPr>
      <w:r>
        <w:rPr>
          <w:rStyle w:val="FootnoteReference"/>
        </w:rPr>
        <w:footnoteRef/>
      </w:r>
      <w:r>
        <w:t xml:space="preserve"> </w:t>
      </w:r>
      <w:r w:rsidR="00EE78D0">
        <w:t>AGA Comments at 17</w:t>
      </w:r>
      <w:r w:rsidR="00282EBC">
        <w:t>;</w:t>
      </w:r>
      <w:r w:rsidR="00EE78D0">
        <w:t xml:space="preserve"> Utility Coalition Comments at 7</w:t>
      </w:r>
      <w:r w:rsidR="00531C5F">
        <w:t>, 9.</w:t>
      </w:r>
    </w:p>
  </w:footnote>
  <w:footnote w:id="56">
    <w:p w14:paraId="0069636B" w14:textId="6D7E9895" w:rsidR="000975C0" w:rsidRDefault="000975C0">
      <w:pPr>
        <w:pStyle w:val="FootnoteText"/>
      </w:pPr>
      <w:r>
        <w:rPr>
          <w:rStyle w:val="FootnoteReference"/>
        </w:rPr>
        <w:footnoteRef/>
      </w:r>
      <w:r>
        <w:t xml:space="preserve"> </w:t>
      </w:r>
      <w:r w:rsidR="00A14F19">
        <w:t xml:space="preserve">AGA Comments at </w:t>
      </w:r>
      <w:r w:rsidR="00143CD1">
        <w:t>21-22</w:t>
      </w:r>
      <w:r w:rsidR="00282EBC">
        <w:t>;</w:t>
      </w:r>
      <w:r w:rsidR="00A14F19">
        <w:t xml:space="preserve"> Utility Coalition Comments at 7.</w:t>
      </w:r>
    </w:p>
  </w:footnote>
  <w:footnote w:id="57">
    <w:p w14:paraId="1CB16941" w14:textId="53696B97" w:rsidR="00A86D5A" w:rsidRDefault="00A86D5A">
      <w:pPr>
        <w:pStyle w:val="FootnoteText"/>
      </w:pPr>
      <w:r>
        <w:rPr>
          <w:rStyle w:val="FootnoteReference"/>
        </w:rPr>
        <w:footnoteRef/>
      </w:r>
      <w:r>
        <w:t xml:space="preserve"> AGA Comments at 1</w:t>
      </w:r>
      <w:r w:rsidR="003E4B4A">
        <w:t>8</w:t>
      </w:r>
      <w:r w:rsidR="001200B6">
        <w:t xml:space="preserve"> &amp; n</w:t>
      </w:r>
      <w:r w:rsidR="00C26245">
        <w:t>.20</w:t>
      </w:r>
      <w:r w:rsidR="00BD75B5">
        <w:t xml:space="preserve"> (</w:t>
      </w:r>
      <w:r w:rsidR="00972EBB">
        <w:t xml:space="preserve">referencing the </w:t>
      </w:r>
      <w:r w:rsidR="00911BC1">
        <w:t>recommendation</w:t>
      </w:r>
      <w:r w:rsidR="00343E9B">
        <w:t xml:space="preserve"> of </w:t>
      </w:r>
      <w:r w:rsidR="00343E9B" w:rsidRPr="00A10AAD">
        <w:t>National Association of Regulatory Utility Commissioners</w:t>
      </w:r>
      <w:r w:rsidR="00244A8F">
        <w:t>’</w:t>
      </w:r>
      <w:r w:rsidR="00343E9B">
        <w:t xml:space="preserve"> </w:t>
      </w:r>
      <w:r w:rsidR="00BF5C52">
        <w:t>Taskforce on Gas-Electric Alignment for Reliability</w:t>
      </w:r>
      <w:r w:rsidR="002A4BAB">
        <w:t>)</w:t>
      </w:r>
      <w:r w:rsidR="00C26245">
        <w:t>.</w:t>
      </w:r>
    </w:p>
  </w:footnote>
  <w:footnote w:id="58">
    <w:p w14:paraId="70E8BD51" w14:textId="6B2C5C55" w:rsidR="00F93B9E" w:rsidRDefault="00F93B9E">
      <w:pPr>
        <w:pStyle w:val="FootnoteText"/>
      </w:pPr>
      <w:r>
        <w:rPr>
          <w:rStyle w:val="FootnoteReference"/>
        </w:rPr>
        <w:footnoteRef/>
      </w:r>
      <w:r>
        <w:t xml:space="preserve"> </w:t>
      </w:r>
      <w:r w:rsidR="00DF59E5">
        <w:rPr>
          <w:i/>
          <w:iCs/>
        </w:rPr>
        <w:t>Id</w:t>
      </w:r>
      <w:r w:rsidR="00DF59E5">
        <w:t>.</w:t>
      </w:r>
      <w:r w:rsidR="002446E6">
        <w:t xml:space="preserve"> at 19.</w:t>
      </w:r>
    </w:p>
  </w:footnote>
  <w:footnote w:id="59">
    <w:p w14:paraId="1BF52B46" w14:textId="5F8D8999" w:rsidR="00CA5385" w:rsidRDefault="00CA5385">
      <w:pPr>
        <w:pStyle w:val="FootnoteText"/>
      </w:pPr>
      <w:r>
        <w:rPr>
          <w:rStyle w:val="FootnoteReference"/>
        </w:rPr>
        <w:footnoteRef/>
      </w:r>
      <w:r>
        <w:t xml:space="preserve"> </w:t>
      </w:r>
      <w:r w:rsidR="003B0B3E">
        <w:rPr>
          <w:i/>
          <w:iCs/>
        </w:rPr>
        <w:t>Id.</w:t>
      </w:r>
      <w:r>
        <w:t xml:space="preserve"> at 20.</w:t>
      </w:r>
    </w:p>
  </w:footnote>
  <w:footnote w:id="60">
    <w:p w14:paraId="22670684" w14:textId="77777777" w:rsidR="00A300E2" w:rsidRPr="005E13DF" w:rsidRDefault="00A300E2" w:rsidP="00A300E2">
      <w:pPr>
        <w:pStyle w:val="FootnoteText"/>
      </w:pPr>
      <w:r w:rsidRPr="00C52020">
        <w:rPr>
          <w:rStyle w:val="FootnoteReference"/>
        </w:rPr>
        <w:footnoteRef/>
      </w:r>
      <w:r w:rsidRPr="005E13DF">
        <w:t xml:space="preserve"> 1 CFR 51.5.  </w:t>
      </w:r>
      <w:r w:rsidRPr="005E13DF">
        <w:rPr>
          <w:i/>
        </w:rPr>
        <w:t xml:space="preserve">See </w:t>
      </w:r>
      <w:r w:rsidRPr="00CC0929">
        <w:t>Incorporation by Reference,</w:t>
      </w:r>
      <w:r w:rsidRPr="005E13DF">
        <w:t xml:space="preserve"> 79 FR 66267 (Nov. 7, 2014).</w:t>
      </w:r>
    </w:p>
  </w:footnote>
  <w:footnote w:id="61">
    <w:p w14:paraId="56A70B3C" w14:textId="77777777" w:rsidR="006A0EC0" w:rsidRDefault="006A0EC0" w:rsidP="006A0EC0">
      <w:pPr>
        <w:pStyle w:val="FootnoteText"/>
      </w:pPr>
      <w:r>
        <w:rPr>
          <w:rStyle w:val="FootnoteReference"/>
        </w:rPr>
        <w:footnoteRef/>
      </w:r>
      <w:r>
        <w:t xml:space="preserve"> </w:t>
      </w:r>
      <w:r w:rsidRPr="00810CD1">
        <w:t xml:space="preserve">For more information on Locklizard, please refer to the company’s website: </w:t>
      </w:r>
      <w:r>
        <w:t xml:space="preserve"> https://</w:t>
      </w:r>
      <w:r w:rsidRPr="00810CD1">
        <w:t>www.locklizard.com.</w:t>
      </w:r>
    </w:p>
  </w:footnote>
  <w:footnote w:id="62">
    <w:p w14:paraId="4C566D64" w14:textId="77777777" w:rsidR="001F33CC" w:rsidRDefault="001F33CC" w:rsidP="001F33CC">
      <w:pPr>
        <w:pStyle w:val="FootnoteText"/>
      </w:pPr>
      <w:r w:rsidRPr="00932257">
        <w:rPr>
          <w:rStyle w:val="FootnoteReference"/>
        </w:rPr>
        <w:footnoteRef/>
      </w:r>
      <w:r>
        <w:t xml:space="preserve"> </w:t>
      </w:r>
      <w:r w:rsidRPr="00E64311">
        <w:t>FERC-545 covers rate change filings made by natural gas pipelines, including tariff changes.</w:t>
      </w:r>
    </w:p>
  </w:footnote>
  <w:footnote w:id="63">
    <w:p w14:paraId="2AAF7B75" w14:textId="77777777" w:rsidR="001F33CC" w:rsidRDefault="001F33CC" w:rsidP="001F33CC">
      <w:pPr>
        <w:pStyle w:val="FootnoteText"/>
      </w:pPr>
      <w:r w:rsidRPr="00932257">
        <w:rPr>
          <w:rStyle w:val="FootnoteReference"/>
        </w:rPr>
        <w:footnoteRef/>
      </w:r>
      <w:r>
        <w:t xml:space="preserve"> </w:t>
      </w:r>
      <w:r w:rsidRPr="00E64311">
        <w:t>FERC-549C covers Standards for Business Practices of Interstate Natural Gas Pipelines.</w:t>
      </w:r>
    </w:p>
  </w:footnote>
  <w:footnote w:id="64">
    <w:p w14:paraId="29B2F3D8" w14:textId="71DE7928" w:rsidR="0054354A" w:rsidRDefault="0054354A">
      <w:pPr>
        <w:pStyle w:val="FootnoteText"/>
      </w:pPr>
      <w:r>
        <w:rPr>
          <w:rStyle w:val="FootnoteReference"/>
        </w:rPr>
        <w:footnoteRef/>
      </w:r>
      <w:r>
        <w:t xml:space="preserve"> Mr. Poole </w:t>
      </w:r>
      <w:r w:rsidR="003C1038">
        <w:t>C</w:t>
      </w:r>
      <w:r>
        <w:t>omment at 2-3.</w:t>
      </w:r>
    </w:p>
  </w:footnote>
  <w:footnote w:id="65">
    <w:p w14:paraId="7BCC2744" w14:textId="7BC5985B" w:rsidR="005A3081" w:rsidRPr="00922624" w:rsidRDefault="005A3081">
      <w:pPr>
        <w:pStyle w:val="FootnoteText"/>
      </w:pPr>
      <w:r>
        <w:rPr>
          <w:rStyle w:val="FootnoteReference"/>
        </w:rPr>
        <w:footnoteRef/>
      </w:r>
      <w:r>
        <w:t xml:space="preserve"> CRF Comment at </w:t>
      </w:r>
      <w:r w:rsidR="005B599B">
        <w:t>2-</w:t>
      </w:r>
      <w:r>
        <w:t>3.</w:t>
      </w:r>
      <w:r w:rsidR="00827043">
        <w:t xml:space="preserve">  CFR states that “e</w:t>
      </w:r>
      <w:r w:rsidR="00827043" w:rsidRPr="00827043">
        <w:t>nhancing the timely availability of relevant, standardized data—particularly during extreme weather and emergency conditions—is a practical and cost-effective means of reducing outage risk for consumers and strengthening overall system resilience.</w:t>
      </w:r>
      <w:r w:rsidR="00B6604E">
        <w:t>”</w:t>
      </w:r>
      <w:r w:rsidR="005A0FA0">
        <w:t xml:space="preserve"> </w:t>
      </w:r>
      <w:r w:rsidR="000B1B98">
        <w:t xml:space="preserve"> </w:t>
      </w:r>
      <w:r w:rsidR="00922624">
        <w:rPr>
          <w:i/>
          <w:iCs/>
        </w:rPr>
        <w:t>Id</w:t>
      </w:r>
      <w:r w:rsidR="00922624">
        <w:t>. at 2</w:t>
      </w:r>
      <w:r w:rsidR="003C1602">
        <w:t>.</w:t>
      </w:r>
    </w:p>
  </w:footnote>
  <w:footnote w:id="66">
    <w:p w14:paraId="0275EE26" w14:textId="186BEF54" w:rsidR="00F30F57" w:rsidRDefault="00F30F57">
      <w:pPr>
        <w:pStyle w:val="FootnoteText"/>
      </w:pPr>
      <w:r>
        <w:rPr>
          <w:rStyle w:val="FootnoteReference"/>
        </w:rPr>
        <w:footnoteRef/>
      </w:r>
      <w:r>
        <w:t xml:space="preserve"> </w:t>
      </w:r>
      <w:r w:rsidRPr="00FD5E9C">
        <w:rPr>
          <w:i/>
          <w:iCs/>
        </w:rPr>
        <w:t>Id</w:t>
      </w:r>
      <w:r>
        <w:t>.</w:t>
      </w:r>
    </w:p>
  </w:footnote>
  <w:footnote w:id="67">
    <w:p w14:paraId="29200116" w14:textId="77777777" w:rsidR="001F33CC" w:rsidRDefault="001F33CC" w:rsidP="001F33CC">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68">
    <w:p w14:paraId="4BD66AB4" w14:textId="6EC58290" w:rsidR="001F33CC" w:rsidRPr="005C1356" w:rsidRDefault="001F33CC" w:rsidP="001F33CC">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 xml:space="preserve">The estimated hourly cost (salary plus benefits) provided in this </w:t>
      </w:r>
      <w:r w:rsidR="000B1B98">
        <w:rPr>
          <w:rFonts w:eastAsia="Times New Roman"/>
          <w:szCs w:val="26"/>
        </w:rPr>
        <w:t xml:space="preserve">                </w:t>
      </w:r>
      <w:r w:rsidRPr="00086BC1">
        <w:rPr>
          <w:rFonts w:eastAsia="Times New Roman"/>
          <w:szCs w:val="26"/>
        </w:rPr>
        <w:t>section is ba</w:t>
      </w:r>
      <w:r w:rsidRPr="00086BC1" w:rsidDel="002F09CE">
        <w:rPr>
          <w:rFonts w:eastAsia="Times New Roman"/>
          <w:szCs w:val="26"/>
        </w:rPr>
        <w:t>s</w:t>
      </w:r>
      <w:r w:rsidRPr="00086BC1">
        <w:rPr>
          <w:rFonts w:eastAsia="Times New Roman"/>
          <w:szCs w:val="26"/>
        </w:rPr>
        <w:t>ed on</w:t>
      </w:r>
      <w:r>
        <w:rPr>
          <w:rFonts w:eastAsia="Times New Roman"/>
          <w:szCs w:val="26"/>
        </w:rPr>
        <w:t xml:space="preserve"> the salary figures </w:t>
      </w:r>
      <w:r w:rsidRPr="005C1356">
        <w:rPr>
          <w:rFonts w:eastAsia="Times New Roman"/>
          <w:szCs w:val="26"/>
        </w:rPr>
        <w:t xml:space="preserve">for May </w:t>
      </w:r>
      <w:r>
        <w:rPr>
          <w:rFonts w:eastAsia="Times New Roman"/>
          <w:szCs w:val="26"/>
        </w:rPr>
        <w:t>2024</w:t>
      </w:r>
      <w:r w:rsidRPr="005C1356">
        <w:rPr>
          <w:rFonts w:eastAsia="Times New Roman"/>
          <w:szCs w:val="26"/>
        </w:rPr>
        <w:t xml:space="preserve"> posted </w:t>
      </w:r>
      <w:r w:rsidRPr="009F3EA7">
        <w:rPr>
          <w:rFonts w:eastAsia="Times New Roman"/>
          <w:szCs w:val="26"/>
        </w:rPr>
        <w:t xml:space="preserve">on April </w:t>
      </w:r>
      <w:r>
        <w:rPr>
          <w:rFonts w:eastAsia="Times New Roman"/>
          <w:szCs w:val="26"/>
        </w:rPr>
        <w:t>2</w:t>
      </w:r>
      <w:r w:rsidRPr="009F3EA7">
        <w:rPr>
          <w:rFonts w:eastAsia="Times New Roman"/>
          <w:szCs w:val="26"/>
        </w:rPr>
        <w:t xml:space="preserve">, </w:t>
      </w:r>
      <w:r>
        <w:rPr>
          <w:rFonts w:eastAsia="Times New Roman"/>
          <w:szCs w:val="26"/>
        </w:rPr>
        <w:t xml:space="preserve">2025 </w:t>
      </w:r>
      <w:r w:rsidRPr="005C1356">
        <w:rPr>
          <w:rFonts w:eastAsia="Times New Roman"/>
          <w:szCs w:val="26"/>
        </w:rPr>
        <w:t xml:space="preserve">by </w:t>
      </w:r>
      <w:r w:rsidR="000B1B98">
        <w:rPr>
          <w:rFonts w:eastAsia="Times New Roman"/>
          <w:szCs w:val="26"/>
        </w:rPr>
        <w:t xml:space="preserve">             </w:t>
      </w:r>
      <w:r w:rsidRPr="005C1356">
        <w:rPr>
          <w:rFonts w:eastAsia="Times New Roman"/>
          <w:szCs w:val="26"/>
        </w:rPr>
        <w:t>the Bureau of Labor Statistics for the Utilities sector (</w:t>
      </w:r>
      <w:r w:rsidRPr="009B430C">
        <w:rPr>
          <w:rFonts w:eastAsia="Times New Roman"/>
          <w:szCs w:val="26"/>
        </w:rPr>
        <w:t>available at</w:t>
      </w:r>
      <w:r>
        <w:rPr>
          <w:rFonts w:eastAsia="Times New Roman"/>
          <w:szCs w:val="26"/>
        </w:rPr>
        <w:t xml:space="preserve"> </w:t>
      </w:r>
      <w:r w:rsidRPr="002F09CE">
        <w:rPr>
          <w:rFonts w:eastAsia="Times New Roman"/>
          <w:szCs w:val="26"/>
        </w:rPr>
        <w:t>https://www.bls.gov/oes/current/naics2_22.htm</w:t>
      </w:r>
      <w:r w:rsidRPr="005C1356">
        <w:rPr>
          <w:rFonts w:eastAsia="Times New Roman"/>
          <w:szCs w:val="26"/>
        </w:rPr>
        <w:t>) and scaled to reflect benefits using</w:t>
      </w:r>
      <w:r w:rsidR="000B1B98">
        <w:rPr>
          <w:rFonts w:eastAsia="Times New Roman"/>
          <w:szCs w:val="26"/>
        </w:rPr>
        <w:t xml:space="preserve">      </w:t>
      </w:r>
      <w:r w:rsidRPr="005C1356">
        <w:rPr>
          <w:rFonts w:eastAsia="Times New Roman"/>
          <w:szCs w:val="26"/>
        </w:rPr>
        <w:t xml:space="preserve"> the relative importance of employer costs for employee compensation (</w:t>
      </w:r>
      <w:r w:rsidRPr="009B430C">
        <w:rPr>
          <w:rFonts w:eastAsia="Times New Roman"/>
          <w:szCs w:val="26"/>
        </w:rPr>
        <w:t xml:space="preserve">available at </w:t>
      </w:r>
      <w:r w:rsidRPr="00862CB3">
        <w:rPr>
          <w:rFonts w:eastAsia="Times New Roman"/>
          <w:szCs w:val="26"/>
        </w:rPr>
        <w:t>https://www.bls.gov/news.release/ecec.nr0.htm</w:t>
      </w:r>
      <w:r w:rsidRPr="00356C09">
        <w:rPr>
          <w:rFonts w:eastAsia="Times New Roman"/>
          <w:szCs w:val="26"/>
        </w:rPr>
        <w:t xml:space="preserve">).  </w:t>
      </w:r>
      <w:r w:rsidRPr="005C1356">
        <w:rPr>
          <w:rFonts w:eastAsia="Times New Roman"/>
          <w:szCs w:val="26"/>
        </w:rPr>
        <w:t xml:space="preserve">The hourly estimates for salary plus benefits are: </w:t>
      </w:r>
      <w:r w:rsidR="000B1B98">
        <w:rPr>
          <w:rFonts w:eastAsia="Times New Roman"/>
          <w:szCs w:val="26"/>
        </w:rPr>
        <w:t xml:space="preserve"> </w:t>
      </w:r>
    </w:p>
    <w:p w14:paraId="7BC860B1" w14:textId="77777777" w:rsidR="001F33CC" w:rsidRPr="005C1356" w:rsidRDefault="001F33CC" w:rsidP="001F33CC">
      <w:pPr>
        <w:pStyle w:val="FootnoteText"/>
        <w:spacing w:after="0"/>
        <w:rPr>
          <w:rFonts w:eastAsia="Calibri"/>
          <w:szCs w:val="26"/>
        </w:rPr>
      </w:pPr>
      <w:r w:rsidRPr="005C1356">
        <w:rPr>
          <w:rFonts w:eastAsia="Calibri"/>
          <w:szCs w:val="26"/>
        </w:rPr>
        <w:t>Computer and Information Systems Manager (Occupation Code:</w:t>
      </w:r>
      <w:r>
        <w:rPr>
          <w:rFonts w:eastAsia="Calibri"/>
          <w:szCs w:val="26"/>
        </w:rPr>
        <w:t xml:space="preserve">  </w:t>
      </w:r>
      <w:r w:rsidRPr="005C1356">
        <w:rPr>
          <w:rFonts w:eastAsia="Calibri"/>
          <w:szCs w:val="26"/>
        </w:rPr>
        <w:t>11-3021), $</w:t>
      </w:r>
      <w:r>
        <w:rPr>
          <w:rFonts w:eastAsia="Calibri"/>
          <w:szCs w:val="26"/>
        </w:rPr>
        <w:t>110.62</w:t>
      </w:r>
    </w:p>
    <w:p w14:paraId="51325651" w14:textId="77777777" w:rsidR="001F33CC" w:rsidRPr="005C1356" w:rsidRDefault="001F33CC" w:rsidP="001F33CC">
      <w:pPr>
        <w:pStyle w:val="FootnoteText"/>
        <w:spacing w:after="0"/>
        <w:rPr>
          <w:rFonts w:eastAsia="Calibri"/>
          <w:szCs w:val="26"/>
        </w:rPr>
      </w:pPr>
      <w:r w:rsidRPr="005C1356">
        <w:rPr>
          <w:rFonts w:eastAsia="Calibri"/>
          <w:szCs w:val="26"/>
        </w:rPr>
        <w:t>Computer and Information Analysts (Occupation Code:  15-1</w:t>
      </w:r>
      <w:r>
        <w:rPr>
          <w:rFonts w:eastAsia="Calibri"/>
          <w:szCs w:val="26"/>
        </w:rPr>
        <w:t>210</w:t>
      </w:r>
      <w:r w:rsidRPr="005C1356">
        <w:rPr>
          <w:rFonts w:eastAsia="Calibri"/>
          <w:szCs w:val="26"/>
        </w:rPr>
        <w:t>), $</w:t>
      </w:r>
      <w:r>
        <w:rPr>
          <w:rFonts w:eastAsia="Calibri"/>
          <w:szCs w:val="26"/>
        </w:rPr>
        <w:t>68.34</w:t>
      </w:r>
    </w:p>
    <w:p w14:paraId="1326508C" w14:textId="77777777" w:rsidR="001F33CC" w:rsidRPr="005C1356" w:rsidRDefault="001F33CC" w:rsidP="001F33CC">
      <w:pPr>
        <w:pStyle w:val="FootnoteText"/>
        <w:spacing w:after="0"/>
        <w:rPr>
          <w:rFonts w:eastAsia="Calibri"/>
          <w:szCs w:val="26"/>
        </w:rPr>
      </w:pPr>
      <w:r w:rsidRPr="005C1356">
        <w:rPr>
          <w:rFonts w:eastAsia="Calibri"/>
          <w:szCs w:val="26"/>
        </w:rPr>
        <w:t xml:space="preserve">Electrical Engineer (Occupation Code: </w:t>
      </w:r>
      <w:r>
        <w:rPr>
          <w:rFonts w:eastAsia="Calibri"/>
          <w:szCs w:val="26"/>
        </w:rPr>
        <w:t xml:space="preserve"> </w:t>
      </w:r>
      <w:r w:rsidRPr="005C1356">
        <w:rPr>
          <w:rFonts w:eastAsia="Calibri"/>
          <w:szCs w:val="26"/>
        </w:rPr>
        <w:t>17-2071), $</w:t>
      </w:r>
      <w:r>
        <w:rPr>
          <w:rFonts w:eastAsia="Calibri"/>
          <w:szCs w:val="26"/>
        </w:rPr>
        <w:t>71.19</w:t>
      </w:r>
    </w:p>
    <w:p w14:paraId="3FECCCA6" w14:textId="77777777" w:rsidR="001F33CC" w:rsidRPr="005C1356" w:rsidRDefault="001F33CC" w:rsidP="001F33CC">
      <w:pPr>
        <w:pStyle w:val="FootnoteText"/>
        <w:spacing w:after="0"/>
        <w:rPr>
          <w:rFonts w:eastAsia="Calibri"/>
          <w:szCs w:val="26"/>
        </w:rPr>
      </w:pPr>
      <w:r w:rsidRPr="005C1356">
        <w:rPr>
          <w:rFonts w:eastAsia="Calibri"/>
          <w:szCs w:val="26"/>
        </w:rPr>
        <w:t>Legal (Occupation Code:</w:t>
      </w:r>
      <w:r>
        <w:rPr>
          <w:rFonts w:eastAsia="Calibri"/>
          <w:szCs w:val="26"/>
        </w:rPr>
        <w:t xml:space="preserve">  </w:t>
      </w:r>
      <w:r w:rsidRPr="005C1356">
        <w:rPr>
          <w:rFonts w:eastAsia="Calibri"/>
          <w:szCs w:val="26"/>
        </w:rPr>
        <w:t>23-0000), $</w:t>
      </w:r>
      <w:r>
        <w:rPr>
          <w:rFonts w:eastAsia="Calibri"/>
          <w:szCs w:val="26"/>
        </w:rPr>
        <w:t>140.76</w:t>
      </w:r>
    </w:p>
    <w:p w14:paraId="7A73C236" w14:textId="77777777" w:rsidR="001F33CC" w:rsidRPr="00C328EF" w:rsidRDefault="001F33CC" w:rsidP="001F33CC">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w:t>
      </w:r>
      <w:r>
        <w:rPr>
          <w:rFonts w:eastAsia="Times New Roman"/>
          <w:szCs w:val="26"/>
        </w:rPr>
        <w:t>97.728</w:t>
      </w:r>
      <w:r w:rsidRPr="005C1356">
        <w:rPr>
          <w:rFonts w:eastAsia="Times New Roman"/>
          <w:szCs w:val="26"/>
        </w:rPr>
        <w:t>.  We round it to $</w:t>
      </w:r>
      <w:r>
        <w:rPr>
          <w:rFonts w:eastAsia="Times New Roman"/>
          <w:szCs w:val="26"/>
        </w:rPr>
        <w:t>98</w:t>
      </w:r>
      <w:r w:rsidRPr="005C1356">
        <w:rPr>
          <w:rFonts w:eastAsia="Times New Roman"/>
          <w:szCs w:val="26"/>
        </w:rPr>
        <w:t>/hour.</w:t>
      </w:r>
    </w:p>
  </w:footnote>
  <w:footnote w:id="69">
    <w:p w14:paraId="45EE7D84" w14:textId="7A7BEF5C" w:rsidR="001F33CC" w:rsidRDefault="001F33CC" w:rsidP="001F33CC">
      <w:pPr>
        <w:pStyle w:val="FootnoteText"/>
      </w:pPr>
      <w:r w:rsidRPr="009231E5">
        <w:rPr>
          <w:rStyle w:val="FootnoteReference"/>
        </w:rPr>
        <w:footnoteRef/>
      </w:r>
      <w:r>
        <w:t xml:space="preserve"> </w:t>
      </w:r>
      <w:r>
        <w:rPr>
          <w:i/>
          <w:iCs/>
        </w:rPr>
        <w:t>Regul</w:t>
      </w:r>
      <w:r w:rsidRPr="004473E6">
        <w:rPr>
          <w:i/>
          <w:iCs/>
        </w:rPr>
        <w:t>s</w:t>
      </w:r>
      <w:r>
        <w:rPr>
          <w:i/>
          <w:iCs/>
        </w:rPr>
        <w:t>.</w:t>
      </w:r>
      <w:r w:rsidRPr="004473E6">
        <w:rPr>
          <w:i/>
          <w:iCs/>
        </w:rPr>
        <w:t xml:space="preserve"> Implementing the </w:t>
      </w:r>
      <w:r>
        <w:rPr>
          <w:i/>
          <w:iCs/>
        </w:rPr>
        <w:t>Nat’l</w:t>
      </w:r>
      <w:r w:rsidRPr="004473E6">
        <w:rPr>
          <w:i/>
          <w:iCs/>
        </w:rPr>
        <w:t xml:space="preserve"> </w:t>
      </w:r>
      <w:r>
        <w:rPr>
          <w:i/>
          <w:iCs/>
        </w:rPr>
        <w:t>Envt’l</w:t>
      </w:r>
      <w:r w:rsidRPr="004473E6">
        <w:rPr>
          <w:i/>
          <w:iCs/>
        </w:rPr>
        <w:t xml:space="preserve"> </w:t>
      </w:r>
      <w:r>
        <w:rPr>
          <w:i/>
          <w:iCs/>
        </w:rPr>
        <w:t>Pol’y</w:t>
      </w:r>
      <w:r w:rsidRPr="004473E6">
        <w:rPr>
          <w:i/>
          <w:iCs/>
        </w:rPr>
        <w:t xml:space="preserve"> Act</w:t>
      </w:r>
      <w:r>
        <w:t xml:space="preserve">, </w:t>
      </w:r>
      <w:r w:rsidRPr="00346257">
        <w:t>Ord</w:t>
      </w:r>
      <w:r>
        <w:t>er</w:t>
      </w:r>
      <w:r w:rsidRPr="00346257">
        <w:t xml:space="preserve"> No. 486</w:t>
      </w:r>
      <w:r>
        <w:t>, 52 FR 47897 (Dec. 17, 1987), FERC Stats. &amp; Regs. ¶ 30,783 (1987) (</w:t>
      </w:r>
      <w:r w:rsidRPr="00E950E7">
        <w:t>cross-referenced at 41 FERC ¶</w:t>
      </w:r>
      <w:r>
        <w:t> </w:t>
      </w:r>
      <w:r w:rsidRPr="00E950E7">
        <w:t>61,284).</w:t>
      </w:r>
    </w:p>
  </w:footnote>
  <w:footnote w:id="70">
    <w:p w14:paraId="6951FA02" w14:textId="6F119DE6" w:rsidR="001F33CC" w:rsidRDefault="001F33CC" w:rsidP="001F33CC">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380.4(a)(2)(ii), 380.4(a)(5),</w:t>
      </w:r>
      <w:r>
        <w:t xml:space="preserve"> </w:t>
      </w:r>
      <w:r w:rsidR="00B61614">
        <w:t xml:space="preserve">&amp; </w:t>
      </w:r>
      <w:r w:rsidRPr="005A12B9">
        <w:t>380.4(a)(27)</w:t>
      </w:r>
      <w:r w:rsidR="00C71B5E">
        <w:t xml:space="preserve"> (2025)</w:t>
      </w:r>
      <w:r w:rsidRPr="005A12B9">
        <w:t>.</w:t>
      </w:r>
    </w:p>
  </w:footnote>
  <w:footnote w:id="71">
    <w:p w14:paraId="08F0FC64" w14:textId="77777777" w:rsidR="001F33CC" w:rsidRPr="00060537" w:rsidRDefault="001F33CC" w:rsidP="001F33CC">
      <w:pPr>
        <w:pStyle w:val="FootnoteText"/>
      </w:pPr>
      <w:r w:rsidRPr="00C923CC">
        <w:rPr>
          <w:rStyle w:val="FootnoteReference"/>
        </w:rPr>
        <w:footnoteRef/>
      </w:r>
      <w:r>
        <w:t xml:space="preserve"> 5 U.S.C. 601-612.</w:t>
      </w:r>
    </w:p>
  </w:footnote>
  <w:footnote w:id="72">
    <w:p w14:paraId="200F3DC1" w14:textId="55A66725" w:rsidR="001F33CC" w:rsidRDefault="001F33CC" w:rsidP="001F33CC">
      <w:pPr>
        <w:pStyle w:val="FootnoteText"/>
      </w:pPr>
      <w:r w:rsidRPr="00932257">
        <w:rPr>
          <w:rStyle w:val="FootnoteReference"/>
        </w:rPr>
        <w:footnoteRef/>
      </w:r>
      <w:r>
        <w:t xml:space="preserve"> </w:t>
      </w:r>
      <w:r w:rsidRPr="00183575">
        <w:rPr>
          <w:i/>
        </w:rPr>
        <w:t>See</w:t>
      </w:r>
      <w:r>
        <w:t xml:space="preserve"> 5 U.S.C. 601(3) citing section 3 of the Small Business Act (SBA), </w:t>
      </w:r>
      <w:r w:rsidR="000B1B98">
        <w:t xml:space="preserve">             </w:t>
      </w:r>
      <w:r>
        <w:t xml:space="preserve">15 U.S.C. 623.  Section 3 of the SBA defines a “small business concern” as a business that is independently owned and operated, and that is not dominant in its field of </w:t>
      </w:r>
      <w:r w:rsidRPr="001D1903">
        <w:t>operation.</w:t>
      </w:r>
    </w:p>
  </w:footnote>
  <w:footnote w:id="73">
    <w:p w14:paraId="03C0DC26" w14:textId="6BCFE3AF" w:rsidR="001F33CC" w:rsidRDefault="001F33CC" w:rsidP="001F33CC">
      <w:pPr>
        <w:pStyle w:val="FootnoteText"/>
      </w:pPr>
      <w:r w:rsidRPr="00932257">
        <w:rPr>
          <w:rStyle w:val="FootnoteReference"/>
        </w:rPr>
        <w:footnoteRef/>
      </w:r>
      <w:r>
        <w:t xml:space="preserve"> 13 CFR 121.201 (Subsector 486-Pipeline Transportation; North American Industry Classification System code 486210; Pipeline Transportation of Natural Gas) (</w:t>
      </w:r>
      <w:r w:rsidRPr="00B05C4F">
        <w:t>202</w:t>
      </w:r>
      <w:r>
        <w:t>5) “Annual Receipts” are total income plus cost of goods sold.</w:t>
      </w:r>
    </w:p>
  </w:footnote>
  <w:footnote w:id="74">
    <w:p w14:paraId="18CA58C7" w14:textId="77777777" w:rsidR="001F33CC" w:rsidRDefault="001F33CC" w:rsidP="001F33CC">
      <w:pPr>
        <w:pStyle w:val="FootnoteText"/>
      </w:pPr>
      <w:r w:rsidRPr="00932257">
        <w:rPr>
          <w:rStyle w:val="FootnoteReference"/>
        </w:rPr>
        <w:footnoteRef/>
      </w:r>
      <w:r>
        <w:t xml:space="preserve"> This number is derived by dividing the total cost figure by the number of </w:t>
      </w:r>
      <w:r w:rsidRPr="005C1356">
        <w:t>respondents.  $</w:t>
      </w:r>
      <w:r>
        <w:rPr>
          <w:rFonts w:eastAsia="Calibri"/>
        </w:rPr>
        <w:t xml:space="preserve">2,080,504 </w:t>
      </w:r>
      <w:r w:rsidRPr="005C1356">
        <w:t>/193 = $</w:t>
      </w:r>
      <w:r>
        <w:t>10,780</w:t>
      </w:r>
      <w:r w:rsidRPr="005C1356">
        <w:t>.</w:t>
      </w:r>
    </w:p>
  </w:footnote>
  <w:footnote w:id="75">
    <w:p w14:paraId="25BC7BE6" w14:textId="77777777" w:rsidR="001F33CC" w:rsidRDefault="001F33CC" w:rsidP="001F33CC">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ACC29" w14:textId="1006C4AA" w:rsidR="00A05583" w:rsidRDefault="00A055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566C">
      <w:rPr>
        <w:rStyle w:val="PageNumber"/>
        <w:noProof/>
      </w:rPr>
      <w:t>i</w:t>
    </w:r>
    <w:r>
      <w:rPr>
        <w:rStyle w:val="PageNumber"/>
      </w:rPr>
      <w:fldChar w:fldCharType="end"/>
    </w:r>
  </w:p>
  <w:p w14:paraId="38F7018F" w14:textId="77777777" w:rsidR="00A05583" w:rsidRDefault="00A0558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5B38" w14:textId="581DF32C" w:rsidR="00A05583" w:rsidRDefault="00A05583" w:rsidP="00A05583">
    <w:pPr>
      <w:pStyle w:val="Header"/>
      <w:tabs>
        <w:tab w:val="clear" w:pos="4680"/>
      </w:tabs>
      <w:spacing w:after="240"/>
    </w:pPr>
    <w:r>
      <w:t xml:space="preserve">Docket No.  </w:t>
    </w:r>
    <w:r w:rsidR="00744A07">
      <w:t>RM96-1-044</w:t>
    </w:r>
    <w:r>
      <w:tab/>
    </w:r>
    <w:r>
      <w:fldChar w:fldCharType="begin"/>
    </w:r>
    <w:r>
      <w:instrText xml:space="preserve"> PAGE  \* MERGEFORMAT </w:instrText>
    </w:r>
    <w:r>
      <w:fldChar w:fldCharType="separate"/>
    </w:r>
    <w:r>
      <w:rPr>
        <w:noProof/>
      </w:rPr>
      <w:t>ii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DB7F" w14:textId="33AEE899" w:rsidR="00A05583" w:rsidRDefault="00A05583">
    <w:pPr>
      <w:pStyle w:val="Header"/>
    </w:pPr>
    <w:r w:rsidRPr="00A05583">
      <w:tab/>
    </w:r>
    <w:r w:rsidRPr="00A0558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F55D" w14:textId="086F5F7D"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5F3CD483" w14:textId="77777777" w:rsidR="00653D8D" w:rsidRDefault="00653D8D" w:rsidP="00407EE0">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3DF0" w14:textId="223939E9" w:rsidR="00653D8D" w:rsidRDefault="00A05583" w:rsidP="00A05583">
    <w:pPr>
      <w:pStyle w:val="Header"/>
      <w:tabs>
        <w:tab w:val="clear" w:pos="4680"/>
      </w:tabs>
      <w:spacing w:after="240"/>
    </w:pPr>
    <w:r>
      <w:t xml:space="preserve">Docket No. </w:t>
    </w:r>
    <w:r w:rsidR="00E5594E">
      <w:t>RM96-1-</w:t>
    </w:r>
    <w:r w:rsidR="003115E8">
      <w:t>044</w:t>
    </w:r>
    <w:r>
      <w:tab/>
    </w:r>
    <w:r>
      <w:fldChar w:fldCharType="begin"/>
    </w:r>
    <w:r>
      <w:instrText xml:space="preserve"> PAGE  \* MERGEFORMAT </w:instrText>
    </w:r>
    <w:r>
      <w:fldChar w:fldCharType="separate"/>
    </w:r>
    <w:r>
      <w:rPr>
        <w:noProof/>
      </w:rPr>
      <w:t>- 1 -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783B" w14:textId="413B7D0D"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E8F3056"/>
    <w:multiLevelType w:val="hybridMultilevel"/>
    <w:tmpl w:val="33A8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502FF"/>
    <w:multiLevelType w:val="multilevel"/>
    <w:tmpl w:val="B482790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9C5E2F"/>
    <w:multiLevelType w:val="multilevel"/>
    <w:tmpl w:val="374A5D1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F82AEF70"/>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080175">
    <w:abstractNumId w:val="9"/>
  </w:num>
  <w:num w:numId="2" w16cid:durableId="436825673">
    <w:abstractNumId w:val="7"/>
  </w:num>
  <w:num w:numId="3" w16cid:durableId="2023042739">
    <w:abstractNumId w:val="6"/>
  </w:num>
  <w:num w:numId="4" w16cid:durableId="1507210208">
    <w:abstractNumId w:val="5"/>
  </w:num>
  <w:num w:numId="5" w16cid:durableId="255291719">
    <w:abstractNumId w:val="4"/>
  </w:num>
  <w:num w:numId="6" w16cid:durableId="124351206">
    <w:abstractNumId w:val="8"/>
  </w:num>
  <w:num w:numId="7" w16cid:durableId="1778678035">
    <w:abstractNumId w:val="3"/>
  </w:num>
  <w:num w:numId="8" w16cid:durableId="1575512540">
    <w:abstractNumId w:val="2"/>
  </w:num>
  <w:num w:numId="9" w16cid:durableId="1142500387">
    <w:abstractNumId w:val="1"/>
  </w:num>
  <w:num w:numId="10" w16cid:durableId="1312561718">
    <w:abstractNumId w:val="0"/>
  </w:num>
  <w:num w:numId="11" w16cid:durableId="812917180">
    <w:abstractNumId w:val="22"/>
  </w:num>
  <w:num w:numId="12" w16cid:durableId="52506773">
    <w:abstractNumId w:val="18"/>
  </w:num>
  <w:num w:numId="13" w16cid:durableId="859006164">
    <w:abstractNumId w:val="13"/>
  </w:num>
  <w:num w:numId="14" w16cid:durableId="311065281">
    <w:abstractNumId w:val="21"/>
  </w:num>
  <w:num w:numId="15" w16cid:durableId="1146164863">
    <w:abstractNumId w:val="17"/>
  </w:num>
  <w:num w:numId="16" w16cid:durableId="10713903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519094">
    <w:abstractNumId w:val="11"/>
  </w:num>
  <w:num w:numId="18" w16cid:durableId="1754618900">
    <w:abstractNumId w:val="10"/>
  </w:num>
  <w:num w:numId="19" w16cid:durableId="1358699890">
    <w:abstractNumId w:val="14"/>
  </w:num>
  <w:num w:numId="20" w16cid:durableId="1399862505">
    <w:abstractNumId w:val="12"/>
  </w:num>
  <w:num w:numId="21" w16cid:durableId="984897000">
    <w:abstractNumId w:val="23"/>
  </w:num>
  <w:num w:numId="22" w16cid:durableId="46496330">
    <w:abstractNumId w:val="16"/>
  </w:num>
  <w:num w:numId="23" w16cid:durableId="520125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73669087">
    <w:abstractNumId w:val="19"/>
  </w:num>
  <w:num w:numId="25" w16cid:durableId="809204277">
    <w:abstractNumId w:val="15"/>
  </w:num>
  <w:num w:numId="26" w16cid:durableId="2131628510">
    <w:abstractNumId w:val="22"/>
    <w:lvlOverride w:ilvl="0">
      <w:startOverride w:val="1"/>
    </w:lvlOverride>
    <w:lvlOverride w:ilvl="1">
      <w:startOverride w:val="2"/>
    </w:lvlOverride>
  </w:num>
  <w:num w:numId="27" w16cid:durableId="1849245541">
    <w:abstractNumId w:val="22"/>
    <w:lvlOverride w:ilvl="0">
      <w:startOverride w:val="1"/>
    </w:lvlOverride>
    <w:lvlOverride w:ilvl="1">
      <w:startOverride w:val="3"/>
    </w:lvlOverride>
  </w:num>
  <w:num w:numId="28" w16cid:durableId="165635194">
    <w:abstractNumId w:val="22"/>
    <w:lvlOverride w:ilvl="0">
      <w:startOverride w:val="1"/>
    </w:lvlOverride>
    <w:lvlOverride w:ilvl="1">
      <w:startOverride w:val="4"/>
    </w:lvlOverride>
  </w:num>
  <w:num w:numId="29" w16cid:durableId="379793635">
    <w:abstractNumId w:val="22"/>
    <w:lvlOverride w:ilvl="0">
      <w:startOverride w:val="1"/>
    </w:lvlOverride>
    <w:lvlOverride w:ilvl="1">
      <w:startOverride w:val="5"/>
    </w:lvlOverride>
  </w:num>
  <w:num w:numId="30" w16cid:durableId="773937518">
    <w:abstractNumId w:val="22"/>
    <w:lvlOverride w:ilvl="0">
      <w:startOverride w:val="1"/>
    </w:lvlOverride>
    <w:lvlOverride w:ilvl="1">
      <w:startOverride w:val="6"/>
    </w:lvlOverride>
  </w:num>
  <w:num w:numId="31" w16cid:durableId="1842088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83"/>
    <w:rsid w:val="000005BE"/>
    <w:rsid w:val="00001596"/>
    <w:rsid w:val="00001624"/>
    <w:rsid w:val="00001D60"/>
    <w:rsid w:val="0000241A"/>
    <w:rsid w:val="00002705"/>
    <w:rsid w:val="000027F8"/>
    <w:rsid w:val="00003340"/>
    <w:rsid w:val="00003915"/>
    <w:rsid w:val="00003B64"/>
    <w:rsid w:val="00003D1D"/>
    <w:rsid w:val="000043CA"/>
    <w:rsid w:val="00004DB3"/>
    <w:rsid w:val="00005B4C"/>
    <w:rsid w:val="000062A9"/>
    <w:rsid w:val="00006D39"/>
    <w:rsid w:val="0000731D"/>
    <w:rsid w:val="0000796F"/>
    <w:rsid w:val="00007C90"/>
    <w:rsid w:val="00010E66"/>
    <w:rsid w:val="00010FA6"/>
    <w:rsid w:val="00010FAE"/>
    <w:rsid w:val="0001152F"/>
    <w:rsid w:val="000118C8"/>
    <w:rsid w:val="00011992"/>
    <w:rsid w:val="00011EBE"/>
    <w:rsid w:val="000128FF"/>
    <w:rsid w:val="00012C24"/>
    <w:rsid w:val="00013570"/>
    <w:rsid w:val="00013A0D"/>
    <w:rsid w:val="00014231"/>
    <w:rsid w:val="0001426C"/>
    <w:rsid w:val="000143AA"/>
    <w:rsid w:val="000149BA"/>
    <w:rsid w:val="0001537D"/>
    <w:rsid w:val="00015683"/>
    <w:rsid w:val="000174A9"/>
    <w:rsid w:val="00017DA5"/>
    <w:rsid w:val="0002042F"/>
    <w:rsid w:val="00020C16"/>
    <w:rsid w:val="00020E5C"/>
    <w:rsid w:val="000214FD"/>
    <w:rsid w:val="00021F5C"/>
    <w:rsid w:val="00022A33"/>
    <w:rsid w:val="0002355F"/>
    <w:rsid w:val="0002374B"/>
    <w:rsid w:val="0002492C"/>
    <w:rsid w:val="000249B5"/>
    <w:rsid w:val="000249CA"/>
    <w:rsid w:val="00024B9B"/>
    <w:rsid w:val="00024D8F"/>
    <w:rsid w:val="000253A3"/>
    <w:rsid w:val="00025838"/>
    <w:rsid w:val="00026146"/>
    <w:rsid w:val="00026815"/>
    <w:rsid w:val="00026A5B"/>
    <w:rsid w:val="00026B9E"/>
    <w:rsid w:val="00027100"/>
    <w:rsid w:val="00027252"/>
    <w:rsid w:val="000278C2"/>
    <w:rsid w:val="00027CE5"/>
    <w:rsid w:val="00027DC9"/>
    <w:rsid w:val="000307EA"/>
    <w:rsid w:val="000309C8"/>
    <w:rsid w:val="00030C2A"/>
    <w:rsid w:val="00031165"/>
    <w:rsid w:val="00031497"/>
    <w:rsid w:val="000315C9"/>
    <w:rsid w:val="0003236F"/>
    <w:rsid w:val="000325EE"/>
    <w:rsid w:val="00032706"/>
    <w:rsid w:val="0003382F"/>
    <w:rsid w:val="000343CE"/>
    <w:rsid w:val="000345D0"/>
    <w:rsid w:val="000361B0"/>
    <w:rsid w:val="000368C5"/>
    <w:rsid w:val="00037EE7"/>
    <w:rsid w:val="0004057A"/>
    <w:rsid w:val="00040F2E"/>
    <w:rsid w:val="00040F8B"/>
    <w:rsid w:val="00041A9E"/>
    <w:rsid w:val="00041D46"/>
    <w:rsid w:val="000425C3"/>
    <w:rsid w:val="0004286B"/>
    <w:rsid w:val="000428C4"/>
    <w:rsid w:val="00042B44"/>
    <w:rsid w:val="0004391C"/>
    <w:rsid w:val="00043C27"/>
    <w:rsid w:val="00044003"/>
    <w:rsid w:val="0004406B"/>
    <w:rsid w:val="00044398"/>
    <w:rsid w:val="00045BE2"/>
    <w:rsid w:val="0004624A"/>
    <w:rsid w:val="00046476"/>
    <w:rsid w:val="00046ADD"/>
    <w:rsid w:val="00047830"/>
    <w:rsid w:val="00047D7D"/>
    <w:rsid w:val="00050904"/>
    <w:rsid w:val="0005135D"/>
    <w:rsid w:val="00052525"/>
    <w:rsid w:val="00054007"/>
    <w:rsid w:val="000546B0"/>
    <w:rsid w:val="000550DC"/>
    <w:rsid w:val="0005543A"/>
    <w:rsid w:val="00055F5F"/>
    <w:rsid w:val="0005632F"/>
    <w:rsid w:val="00056330"/>
    <w:rsid w:val="0005635B"/>
    <w:rsid w:val="0005732C"/>
    <w:rsid w:val="00057967"/>
    <w:rsid w:val="00057DA3"/>
    <w:rsid w:val="0006117F"/>
    <w:rsid w:val="00062081"/>
    <w:rsid w:val="000620CF"/>
    <w:rsid w:val="00062732"/>
    <w:rsid w:val="00063A67"/>
    <w:rsid w:val="000645D2"/>
    <w:rsid w:val="00064734"/>
    <w:rsid w:val="00064880"/>
    <w:rsid w:val="00065742"/>
    <w:rsid w:val="00065F13"/>
    <w:rsid w:val="00066986"/>
    <w:rsid w:val="000677B6"/>
    <w:rsid w:val="000679B8"/>
    <w:rsid w:val="0007019A"/>
    <w:rsid w:val="0007036D"/>
    <w:rsid w:val="000706CB"/>
    <w:rsid w:val="000707BA"/>
    <w:rsid w:val="00070857"/>
    <w:rsid w:val="000712BC"/>
    <w:rsid w:val="00071714"/>
    <w:rsid w:val="00071782"/>
    <w:rsid w:val="00071A34"/>
    <w:rsid w:val="00071E7C"/>
    <w:rsid w:val="000722C4"/>
    <w:rsid w:val="00072622"/>
    <w:rsid w:val="00072722"/>
    <w:rsid w:val="00072755"/>
    <w:rsid w:val="00072EB3"/>
    <w:rsid w:val="000735FE"/>
    <w:rsid w:val="0007377C"/>
    <w:rsid w:val="00073F87"/>
    <w:rsid w:val="000744B4"/>
    <w:rsid w:val="000747D5"/>
    <w:rsid w:val="00074887"/>
    <w:rsid w:val="00075396"/>
    <w:rsid w:val="000753A0"/>
    <w:rsid w:val="00075836"/>
    <w:rsid w:val="00075F11"/>
    <w:rsid w:val="0007636C"/>
    <w:rsid w:val="00076F31"/>
    <w:rsid w:val="00077457"/>
    <w:rsid w:val="00077CD4"/>
    <w:rsid w:val="00080104"/>
    <w:rsid w:val="00080346"/>
    <w:rsid w:val="000804E0"/>
    <w:rsid w:val="00080E58"/>
    <w:rsid w:val="00080F1D"/>
    <w:rsid w:val="00081304"/>
    <w:rsid w:val="00081316"/>
    <w:rsid w:val="000814A4"/>
    <w:rsid w:val="000816F7"/>
    <w:rsid w:val="00081D3C"/>
    <w:rsid w:val="00081EEF"/>
    <w:rsid w:val="000827FA"/>
    <w:rsid w:val="0008286F"/>
    <w:rsid w:val="00082BD9"/>
    <w:rsid w:val="00082C62"/>
    <w:rsid w:val="00083C61"/>
    <w:rsid w:val="0008478C"/>
    <w:rsid w:val="00084A31"/>
    <w:rsid w:val="000855D8"/>
    <w:rsid w:val="0008674B"/>
    <w:rsid w:val="00086D98"/>
    <w:rsid w:val="000872C9"/>
    <w:rsid w:val="00087696"/>
    <w:rsid w:val="0008778D"/>
    <w:rsid w:val="00087E94"/>
    <w:rsid w:val="00090DFF"/>
    <w:rsid w:val="00090ECB"/>
    <w:rsid w:val="00091186"/>
    <w:rsid w:val="00091FDD"/>
    <w:rsid w:val="00092634"/>
    <w:rsid w:val="000928DD"/>
    <w:rsid w:val="00092F2D"/>
    <w:rsid w:val="00093022"/>
    <w:rsid w:val="00093A86"/>
    <w:rsid w:val="00093A8B"/>
    <w:rsid w:val="00094A6A"/>
    <w:rsid w:val="000957D4"/>
    <w:rsid w:val="000958E0"/>
    <w:rsid w:val="00095F23"/>
    <w:rsid w:val="00096D3E"/>
    <w:rsid w:val="000975C0"/>
    <w:rsid w:val="000976A8"/>
    <w:rsid w:val="0009776E"/>
    <w:rsid w:val="000979DF"/>
    <w:rsid w:val="00097B16"/>
    <w:rsid w:val="00097C05"/>
    <w:rsid w:val="00097C2B"/>
    <w:rsid w:val="00097EB6"/>
    <w:rsid w:val="000A0C45"/>
    <w:rsid w:val="000A0FAD"/>
    <w:rsid w:val="000A153E"/>
    <w:rsid w:val="000A2511"/>
    <w:rsid w:val="000A2A1D"/>
    <w:rsid w:val="000A3442"/>
    <w:rsid w:val="000A3A2F"/>
    <w:rsid w:val="000A3D2F"/>
    <w:rsid w:val="000A4A66"/>
    <w:rsid w:val="000A4B36"/>
    <w:rsid w:val="000A5C89"/>
    <w:rsid w:val="000A5F92"/>
    <w:rsid w:val="000A6835"/>
    <w:rsid w:val="000A6C08"/>
    <w:rsid w:val="000A6C61"/>
    <w:rsid w:val="000A75FD"/>
    <w:rsid w:val="000A7A4D"/>
    <w:rsid w:val="000A7D10"/>
    <w:rsid w:val="000B0E56"/>
    <w:rsid w:val="000B1B98"/>
    <w:rsid w:val="000B1C1E"/>
    <w:rsid w:val="000B28E1"/>
    <w:rsid w:val="000B2BB5"/>
    <w:rsid w:val="000B4124"/>
    <w:rsid w:val="000B429A"/>
    <w:rsid w:val="000B46AF"/>
    <w:rsid w:val="000B56DA"/>
    <w:rsid w:val="000B5837"/>
    <w:rsid w:val="000B5C74"/>
    <w:rsid w:val="000B635A"/>
    <w:rsid w:val="000B6EC9"/>
    <w:rsid w:val="000B7D7A"/>
    <w:rsid w:val="000B7E62"/>
    <w:rsid w:val="000C0253"/>
    <w:rsid w:val="000C04A5"/>
    <w:rsid w:val="000C04AD"/>
    <w:rsid w:val="000C1289"/>
    <w:rsid w:val="000C1FCA"/>
    <w:rsid w:val="000C2326"/>
    <w:rsid w:val="000C2BAB"/>
    <w:rsid w:val="000C2FFE"/>
    <w:rsid w:val="000C3B11"/>
    <w:rsid w:val="000C459F"/>
    <w:rsid w:val="000C490F"/>
    <w:rsid w:val="000C4A0B"/>
    <w:rsid w:val="000C4CA4"/>
    <w:rsid w:val="000C4E46"/>
    <w:rsid w:val="000C55BC"/>
    <w:rsid w:val="000C588B"/>
    <w:rsid w:val="000C5C15"/>
    <w:rsid w:val="000C6023"/>
    <w:rsid w:val="000C63D1"/>
    <w:rsid w:val="000C6869"/>
    <w:rsid w:val="000C6DBC"/>
    <w:rsid w:val="000C747D"/>
    <w:rsid w:val="000C7976"/>
    <w:rsid w:val="000C7C17"/>
    <w:rsid w:val="000C7CF1"/>
    <w:rsid w:val="000D0A2D"/>
    <w:rsid w:val="000D0B50"/>
    <w:rsid w:val="000D0C16"/>
    <w:rsid w:val="000D0EE6"/>
    <w:rsid w:val="000D169F"/>
    <w:rsid w:val="000D1D4B"/>
    <w:rsid w:val="000D1FB6"/>
    <w:rsid w:val="000D222A"/>
    <w:rsid w:val="000D2703"/>
    <w:rsid w:val="000D33F1"/>
    <w:rsid w:val="000D3907"/>
    <w:rsid w:val="000D4AAF"/>
    <w:rsid w:val="000D4B1A"/>
    <w:rsid w:val="000D4CA9"/>
    <w:rsid w:val="000D5727"/>
    <w:rsid w:val="000D5D5B"/>
    <w:rsid w:val="000D6270"/>
    <w:rsid w:val="000D6726"/>
    <w:rsid w:val="000D739B"/>
    <w:rsid w:val="000D784A"/>
    <w:rsid w:val="000D7DD4"/>
    <w:rsid w:val="000D7E4E"/>
    <w:rsid w:val="000D7E96"/>
    <w:rsid w:val="000E065C"/>
    <w:rsid w:val="000E0857"/>
    <w:rsid w:val="000E0897"/>
    <w:rsid w:val="000E0A2A"/>
    <w:rsid w:val="000E0FB3"/>
    <w:rsid w:val="000E1267"/>
    <w:rsid w:val="000E27D0"/>
    <w:rsid w:val="000E2BFA"/>
    <w:rsid w:val="000E38B8"/>
    <w:rsid w:val="000E3DA7"/>
    <w:rsid w:val="000E4CFF"/>
    <w:rsid w:val="000E4DA0"/>
    <w:rsid w:val="000E7665"/>
    <w:rsid w:val="000F06AD"/>
    <w:rsid w:val="000F0A56"/>
    <w:rsid w:val="000F0D4C"/>
    <w:rsid w:val="000F176E"/>
    <w:rsid w:val="000F1B24"/>
    <w:rsid w:val="000F1B57"/>
    <w:rsid w:val="000F1CCF"/>
    <w:rsid w:val="000F1FF3"/>
    <w:rsid w:val="000F259D"/>
    <w:rsid w:val="000F27FD"/>
    <w:rsid w:val="000F29F8"/>
    <w:rsid w:val="000F2CAE"/>
    <w:rsid w:val="000F2DC1"/>
    <w:rsid w:val="000F32BE"/>
    <w:rsid w:val="000F372C"/>
    <w:rsid w:val="000F3BB5"/>
    <w:rsid w:val="000F3F94"/>
    <w:rsid w:val="000F4A95"/>
    <w:rsid w:val="000F5D35"/>
    <w:rsid w:val="000F5FB8"/>
    <w:rsid w:val="000F603B"/>
    <w:rsid w:val="000F6403"/>
    <w:rsid w:val="000F6422"/>
    <w:rsid w:val="000F650A"/>
    <w:rsid w:val="000F66B8"/>
    <w:rsid w:val="000F6C7F"/>
    <w:rsid w:val="000F7B33"/>
    <w:rsid w:val="00100116"/>
    <w:rsid w:val="00100961"/>
    <w:rsid w:val="00100B37"/>
    <w:rsid w:val="00100E1B"/>
    <w:rsid w:val="00100F7B"/>
    <w:rsid w:val="00101107"/>
    <w:rsid w:val="00101A67"/>
    <w:rsid w:val="00101D87"/>
    <w:rsid w:val="00102003"/>
    <w:rsid w:val="001020C6"/>
    <w:rsid w:val="00102736"/>
    <w:rsid w:val="0010290F"/>
    <w:rsid w:val="00102D6C"/>
    <w:rsid w:val="001030FE"/>
    <w:rsid w:val="00103174"/>
    <w:rsid w:val="001031A6"/>
    <w:rsid w:val="00103A0E"/>
    <w:rsid w:val="00103A57"/>
    <w:rsid w:val="00103BFA"/>
    <w:rsid w:val="00103F65"/>
    <w:rsid w:val="00104AEA"/>
    <w:rsid w:val="00104B55"/>
    <w:rsid w:val="00104F76"/>
    <w:rsid w:val="001050F2"/>
    <w:rsid w:val="00105C8C"/>
    <w:rsid w:val="00106066"/>
    <w:rsid w:val="0010623E"/>
    <w:rsid w:val="001066B4"/>
    <w:rsid w:val="001072F1"/>
    <w:rsid w:val="001076E1"/>
    <w:rsid w:val="00107A95"/>
    <w:rsid w:val="00107D07"/>
    <w:rsid w:val="00110372"/>
    <w:rsid w:val="0011124F"/>
    <w:rsid w:val="00111CDE"/>
    <w:rsid w:val="001125A9"/>
    <w:rsid w:val="001152CC"/>
    <w:rsid w:val="00115A33"/>
    <w:rsid w:val="00115BBE"/>
    <w:rsid w:val="001160AD"/>
    <w:rsid w:val="001161A5"/>
    <w:rsid w:val="001168AB"/>
    <w:rsid w:val="00116A6C"/>
    <w:rsid w:val="0011752B"/>
    <w:rsid w:val="00117E0F"/>
    <w:rsid w:val="001200B6"/>
    <w:rsid w:val="0012032B"/>
    <w:rsid w:val="00120603"/>
    <w:rsid w:val="001208A2"/>
    <w:rsid w:val="001209EF"/>
    <w:rsid w:val="00121214"/>
    <w:rsid w:val="00121554"/>
    <w:rsid w:val="00121C45"/>
    <w:rsid w:val="00121CBC"/>
    <w:rsid w:val="00121DA8"/>
    <w:rsid w:val="0012282F"/>
    <w:rsid w:val="00123594"/>
    <w:rsid w:val="001236E4"/>
    <w:rsid w:val="00123F01"/>
    <w:rsid w:val="001249FD"/>
    <w:rsid w:val="00124C66"/>
    <w:rsid w:val="00125955"/>
    <w:rsid w:val="00125FC9"/>
    <w:rsid w:val="00125FFF"/>
    <w:rsid w:val="00126A91"/>
    <w:rsid w:val="0012713F"/>
    <w:rsid w:val="00127478"/>
    <w:rsid w:val="001279B9"/>
    <w:rsid w:val="00130020"/>
    <w:rsid w:val="00130180"/>
    <w:rsid w:val="001303CA"/>
    <w:rsid w:val="001305BC"/>
    <w:rsid w:val="00130C81"/>
    <w:rsid w:val="00130CCE"/>
    <w:rsid w:val="0013128F"/>
    <w:rsid w:val="001315C7"/>
    <w:rsid w:val="00131B15"/>
    <w:rsid w:val="00131D30"/>
    <w:rsid w:val="00132120"/>
    <w:rsid w:val="001321C9"/>
    <w:rsid w:val="00132464"/>
    <w:rsid w:val="00132AC9"/>
    <w:rsid w:val="00132D57"/>
    <w:rsid w:val="00133E6D"/>
    <w:rsid w:val="00133EA1"/>
    <w:rsid w:val="00135032"/>
    <w:rsid w:val="00136017"/>
    <w:rsid w:val="00137204"/>
    <w:rsid w:val="0013788C"/>
    <w:rsid w:val="001406CD"/>
    <w:rsid w:val="001421AA"/>
    <w:rsid w:val="0014225D"/>
    <w:rsid w:val="00142F0A"/>
    <w:rsid w:val="001430B0"/>
    <w:rsid w:val="001432F0"/>
    <w:rsid w:val="00143CD1"/>
    <w:rsid w:val="00144005"/>
    <w:rsid w:val="0014449E"/>
    <w:rsid w:val="001448F0"/>
    <w:rsid w:val="00144F2C"/>
    <w:rsid w:val="0014518E"/>
    <w:rsid w:val="001455C7"/>
    <w:rsid w:val="00146074"/>
    <w:rsid w:val="00146A50"/>
    <w:rsid w:val="001472AD"/>
    <w:rsid w:val="00150302"/>
    <w:rsid w:val="00150551"/>
    <w:rsid w:val="0015095B"/>
    <w:rsid w:val="001512A7"/>
    <w:rsid w:val="001515AF"/>
    <w:rsid w:val="001520D4"/>
    <w:rsid w:val="0015289B"/>
    <w:rsid w:val="00152FFC"/>
    <w:rsid w:val="00154320"/>
    <w:rsid w:val="00154330"/>
    <w:rsid w:val="001546DD"/>
    <w:rsid w:val="0015494C"/>
    <w:rsid w:val="001549DE"/>
    <w:rsid w:val="00154A03"/>
    <w:rsid w:val="00154C1A"/>
    <w:rsid w:val="00154C7A"/>
    <w:rsid w:val="00154DD6"/>
    <w:rsid w:val="00155347"/>
    <w:rsid w:val="00156DA0"/>
    <w:rsid w:val="00156DAA"/>
    <w:rsid w:val="00157584"/>
    <w:rsid w:val="001578CE"/>
    <w:rsid w:val="001579A2"/>
    <w:rsid w:val="00160131"/>
    <w:rsid w:val="00160593"/>
    <w:rsid w:val="00160739"/>
    <w:rsid w:val="0016115F"/>
    <w:rsid w:val="00161F53"/>
    <w:rsid w:val="001620BB"/>
    <w:rsid w:val="00162934"/>
    <w:rsid w:val="00162BD9"/>
    <w:rsid w:val="00163630"/>
    <w:rsid w:val="001638CC"/>
    <w:rsid w:val="001639C9"/>
    <w:rsid w:val="00163ADA"/>
    <w:rsid w:val="001644CF"/>
    <w:rsid w:val="00164536"/>
    <w:rsid w:val="00165274"/>
    <w:rsid w:val="001652BE"/>
    <w:rsid w:val="0016531B"/>
    <w:rsid w:val="00165ADC"/>
    <w:rsid w:val="00166963"/>
    <w:rsid w:val="00166D48"/>
    <w:rsid w:val="001674E9"/>
    <w:rsid w:val="00167610"/>
    <w:rsid w:val="00170B4C"/>
    <w:rsid w:val="00170C6F"/>
    <w:rsid w:val="0017136A"/>
    <w:rsid w:val="00171760"/>
    <w:rsid w:val="00171C04"/>
    <w:rsid w:val="0017260C"/>
    <w:rsid w:val="0017331A"/>
    <w:rsid w:val="0017404D"/>
    <w:rsid w:val="00174416"/>
    <w:rsid w:val="001744ED"/>
    <w:rsid w:val="00174D45"/>
    <w:rsid w:val="00174D7D"/>
    <w:rsid w:val="00175386"/>
    <w:rsid w:val="00176035"/>
    <w:rsid w:val="001764B0"/>
    <w:rsid w:val="0017696A"/>
    <w:rsid w:val="00176A9E"/>
    <w:rsid w:val="0017701D"/>
    <w:rsid w:val="00177110"/>
    <w:rsid w:val="00177819"/>
    <w:rsid w:val="0018009F"/>
    <w:rsid w:val="001811BA"/>
    <w:rsid w:val="0018160A"/>
    <w:rsid w:val="001816AF"/>
    <w:rsid w:val="001816CC"/>
    <w:rsid w:val="001816CE"/>
    <w:rsid w:val="00182541"/>
    <w:rsid w:val="00182787"/>
    <w:rsid w:val="00183ECD"/>
    <w:rsid w:val="00184243"/>
    <w:rsid w:val="001854FF"/>
    <w:rsid w:val="0018758C"/>
    <w:rsid w:val="00190C20"/>
    <w:rsid w:val="00191048"/>
    <w:rsid w:val="00191377"/>
    <w:rsid w:val="00191617"/>
    <w:rsid w:val="0019166C"/>
    <w:rsid w:val="0019169C"/>
    <w:rsid w:val="001919BA"/>
    <w:rsid w:val="00192010"/>
    <w:rsid w:val="001921A8"/>
    <w:rsid w:val="0019228D"/>
    <w:rsid w:val="00192727"/>
    <w:rsid w:val="0019292E"/>
    <w:rsid w:val="00193BD7"/>
    <w:rsid w:val="00194667"/>
    <w:rsid w:val="00194E45"/>
    <w:rsid w:val="001954E7"/>
    <w:rsid w:val="00195AD5"/>
    <w:rsid w:val="00195BB4"/>
    <w:rsid w:val="00195DFB"/>
    <w:rsid w:val="001960DD"/>
    <w:rsid w:val="00196539"/>
    <w:rsid w:val="00197497"/>
    <w:rsid w:val="001975F6"/>
    <w:rsid w:val="001A08DA"/>
    <w:rsid w:val="001A13E5"/>
    <w:rsid w:val="001A1641"/>
    <w:rsid w:val="001A1693"/>
    <w:rsid w:val="001A22AB"/>
    <w:rsid w:val="001A2587"/>
    <w:rsid w:val="001A2A64"/>
    <w:rsid w:val="001A2AF1"/>
    <w:rsid w:val="001A301D"/>
    <w:rsid w:val="001A32E7"/>
    <w:rsid w:val="001A33D6"/>
    <w:rsid w:val="001A3B13"/>
    <w:rsid w:val="001A4030"/>
    <w:rsid w:val="001A4D12"/>
    <w:rsid w:val="001A5360"/>
    <w:rsid w:val="001A563A"/>
    <w:rsid w:val="001A56B8"/>
    <w:rsid w:val="001A5836"/>
    <w:rsid w:val="001A59B6"/>
    <w:rsid w:val="001A59CF"/>
    <w:rsid w:val="001A5B1D"/>
    <w:rsid w:val="001A6348"/>
    <w:rsid w:val="001A7BAA"/>
    <w:rsid w:val="001A7EFD"/>
    <w:rsid w:val="001B010E"/>
    <w:rsid w:val="001B0390"/>
    <w:rsid w:val="001B042B"/>
    <w:rsid w:val="001B1087"/>
    <w:rsid w:val="001B1723"/>
    <w:rsid w:val="001B1D90"/>
    <w:rsid w:val="001B1E31"/>
    <w:rsid w:val="001B1F1F"/>
    <w:rsid w:val="001B1FE9"/>
    <w:rsid w:val="001B22EF"/>
    <w:rsid w:val="001B2459"/>
    <w:rsid w:val="001B263B"/>
    <w:rsid w:val="001B29B8"/>
    <w:rsid w:val="001B2AB8"/>
    <w:rsid w:val="001B2C6D"/>
    <w:rsid w:val="001B2DF9"/>
    <w:rsid w:val="001B31C8"/>
    <w:rsid w:val="001B362D"/>
    <w:rsid w:val="001B4053"/>
    <w:rsid w:val="001B4979"/>
    <w:rsid w:val="001B49F3"/>
    <w:rsid w:val="001B4C16"/>
    <w:rsid w:val="001B4FB2"/>
    <w:rsid w:val="001B5CED"/>
    <w:rsid w:val="001B626B"/>
    <w:rsid w:val="001B66CB"/>
    <w:rsid w:val="001B6B1D"/>
    <w:rsid w:val="001B7013"/>
    <w:rsid w:val="001B7052"/>
    <w:rsid w:val="001B70EA"/>
    <w:rsid w:val="001B719F"/>
    <w:rsid w:val="001B7278"/>
    <w:rsid w:val="001C0677"/>
    <w:rsid w:val="001C07BC"/>
    <w:rsid w:val="001C0CFF"/>
    <w:rsid w:val="001C1367"/>
    <w:rsid w:val="001C1800"/>
    <w:rsid w:val="001C1C4D"/>
    <w:rsid w:val="001C1E39"/>
    <w:rsid w:val="001C2360"/>
    <w:rsid w:val="001C2963"/>
    <w:rsid w:val="001C29D0"/>
    <w:rsid w:val="001C2C69"/>
    <w:rsid w:val="001C2FBB"/>
    <w:rsid w:val="001C30FF"/>
    <w:rsid w:val="001C31CA"/>
    <w:rsid w:val="001C41E2"/>
    <w:rsid w:val="001C42CA"/>
    <w:rsid w:val="001C46AD"/>
    <w:rsid w:val="001C46EF"/>
    <w:rsid w:val="001C5C5B"/>
    <w:rsid w:val="001C6C97"/>
    <w:rsid w:val="001C727F"/>
    <w:rsid w:val="001C7411"/>
    <w:rsid w:val="001D00F9"/>
    <w:rsid w:val="001D0274"/>
    <w:rsid w:val="001D03D4"/>
    <w:rsid w:val="001D050A"/>
    <w:rsid w:val="001D0683"/>
    <w:rsid w:val="001D088E"/>
    <w:rsid w:val="001D1B03"/>
    <w:rsid w:val="001D2207"/>
    <w:rsid w:val="001D223E"/>
    <w:rsid w:val="001D25DB"/>
    <w:rsid w:val="001D264B"/>
    <w:rsid w:val="001D26C6"/>
    <w:rsid w:val="001D27E4"/>
    <w:rsid w:val="001D2803"/>
    <w:rsid w:val="001D28A7"/>
    <w:rsid w:val="001D2BAA"/>
    <w:rsid w:val="001D2C3A"/>
    <w:rsid w:val="001D2DF1"/>
    <w:rsid w:val="001D2EF2"/>
    <w:rsid w:val="001D3B0D"/>
    <w:rsid w:val="001D3C00"/>
    <w:rsid w:val="001D4488"/>
    <w:rsid w:val="001D449D"/>
    <w:rsid w:val="001D4BBE"/>
    <w:rsid w:val="001D4BFB"/>
    <w:rsid w:val="001D54EE"/>
    <w:rsid w:val="001D5E7E"/>
    <w:rsid w:val="001D6427"/>
    <w:rsid w:val="001D647E"/>
    <w:rsid w:val="001D6A81"/>
    <w:rsid w:val="001D71B3"/>
    <w:rsid w:val="001D77B8"/>
    <w:rsid w:val="001D7927"/>
    <w:rsid w:val="001E0F8C"/>
    <w:rsid w:val="001E12B7"/>
    <w:rsid w:val="001E14BD"/>
    <w:rsid w:val="001E169E"/>
    <w:rsid w:val="001E2DF3"/>
    <w:rsid w:val="001E3973"/>
    <w:rsid w:val="001E3EA4"/>
    <w:rsid w:val="001E3EC5"/>
    <w:rsid w:val="001E511C"/>
    <w:rsid w:val="001E581C"/>
    <w:rsid w:val="001E593B"/>
    <w:rsid w:val="001E59F9"/>
    <w:rsid w:val="001E5B5C"/>
    <w:rsid w:val="001E5E5A"/>
    <w:rsid w:val="001E620E"/>
    <w:rsid w:val="001E7075"/>
    <w:rsid w:val="001E71A8"/>
    <w:rsid w:val="001E7631"/>
    <w:rsid w:val="001E76F2"/>
    <w:rsid w:val="001E7A8F"/>
    <w:rsid w:val="001F01FD"/>
    <w:rsid w:val="001F15AA"/>
    <w:rsid w:val="001F16FB"/>
    <w:rsid w:val="001F17B2"/>
    <w:rsid w:val="001F1CD0"/>
    <w:rsid w:val="001F1EC3"/>
    <w:rsid w:val="001F29E1"/>
    <w:rsid w:val="001F33CC"/>
    <w:rsid w:val="001F3907"/>
    <w:rsid w:val="001F3AFE"/>
    <w:rsid w:val="001F3C68"/>
    <w:rsid w:val="001F4C35"/>
    <w:rsid w:val="001F4D13"/>
    <w:rsid w:val="001F518B"/>
    <w:rsid w:val="001F51A0"/>
    <w:rsid w:val="001F581B"/>
    <w:rsid w:val="001F5C1A"/>
    <w:rsid w:val="001F5CC6"/>
    <w:rsid w:val="001F5CC9"/>
    <w:rsid w:val="001F68EB"/>
    <w:rsid w:val="00200A53"/>
    <w:rsid w:val="0020240F"/>
    <w:rsid w:val="00202BC3"/>
    <w:rsid w:val="00202C15"/>
    <w:rsid w:val="00202E3E"/>
    <w:rsid w:val="00203504"/>
    <w:rsid w:val="00203773"/>
    <w:rsid w:val="002037AA"/>
    <w:rsid w:val="00203911"/>
    <w:rsid w:val="0020422C"/>
    <w:rsid w:val="00204475"/>
    <w:rsid w:val="0020468C"/>
    <w:rsid w:val="00204E3A"/>
    <w:rsid w:val="00205789"/>
    <w:rsid w:val="00205C04"/>
    <w:rsid w:val="00205EF4"/>
    <w:rsid w:val="002066B0"/>
    <w:rsid w:val="002067DB"/>
    <w:rsid w:val="00206A1A"/>
    <w:rsid w:val="00206BE3"/>
    <w:rsid w:val="002072CF"/>
    <w:rsid w:val="002076E5"/>
    <w:rsid w:val="00207B68"/>
    <w:rsid w:val="00207C17"/>
    <w:rsid w:val="00207F16"/>
    <w:rsid w:val="00210A4B"/>
    <w:rsid w:val="00210E3A"/>
    <w:rsid w:val="00210F8E"/>
    <w:rsid w:val="002114BA"/>
    <w:rsid w:val="0021154D"/>
    <w:rsid w:val="00211740"/>
    <w:rsid w:val="00211765"/>
    <w:rsid w:val="002118E4"/>
    <w:rsid w:val="00211980"/>
    <w:rsid w:val="00211B2F"/>
    <w:rsid w:val="00211C73"/>
    <w:rsid w:val="00211CE5"/>
    <w:rsid w:val="0021279A"/>
    <w:rsid w:val="00212C36"/>
    <w:rsid w:val="00212E26"/>
    <w:rsid w:val="002136E7"/>
    <w:rsid w:val="002137A3"/>
    <w:rsid w:val="002147EE"/>
    <w:rsid w:val="0021487B"/>
    <w:rsid w:val="0021496A"/>
    <w:rsid w:val="00214BAB"/>
    <w:rsid w:val="0021554C"/>
    <w:rsid w:val="00215B5D"/>
    <w:rsid w:val="00216491"/>
    <w:rsid w:val="0021655E"/>
    <w:rsid w:val="00216731"/>
    <w:rsid w:val="002169CE"/>
    <w:rsid w:val="00216CE5"/>
    <w:rsid w:val="002206DB"/>
    <w:rsid w:val="002210C1"/>
    <w:rsid w:val="0022182D"/>
    <w:rsid w:val="00221ABF"/>
    <w:rsid w:val="002220B5"/>
    <w:rsid w:val="00222291"/>
    <w:rsid w:val="0022249B"/>
    <w:rsid w:val="00222EDB"/>
    <w:rsid w:val="002235F2"/>
    <w:rsid w:val="002236DB"/>
    <w:rsid w:val="002237F6"/>
    <w:rsid w:val="00223C1B"/>
    <w:rsid w:val="00223D6A"/>
    <w:rsid w:val="00224836"/>
    <w:rsid w:val="00224859"/>
    <w:rsid w:val="00225A12"/>
    <w:rsid w:val="00225C96"/>
    <w:rsid w:val="002261B3"/>
    <w:rsid w:val="00226B7A"/>
    <w:rsid w:val="002279AE"/>
    <w:rsid w:val="00227C85"/>
    <w:rsid w:val="00227D8D"/>
    <w:rsid w:val="00230323"/>
    <w:rsid w:val="00230389"/>
    <w:rsid w:val="00230DB5"/>
    <w:rsid w:val="002313A3"/>
    <w:rsid w:val="002318B6"/>
    <w:rsid w:val="0023198F"/>
    <w:rsid w:val="00232309"/>
    <w:rsid w:val="0023260B"/>
    <w:rsid w:val="00232A45"/>
    <w:rsid w:val="00232BCC"/>
    <w:rsid w:val="00232EE1"/>
    <w:rsid w:val="00233476"/>
    <w:rsid w:val="00233491"/>
    <w:rsid w:val="00233CEF"/>
    <w:rsid w:val="00233DA4"/>
    <w:rsid w:val="00233FD0"/>
    <w:rsid w:val="0023409A"/>
    <w:rsid w:val="002341E1"/>
    <w:rsid w:val="002352B0"/>
    <w:rsid w:val="002354E4"/>
    <w:rsid w:val="00235803"/>
    <w:rsid w:val="002374A8"/>
    <w:rsid w:val="0023770A"/>
    <w:rsid w:val="00240493"/>
    <w:rsid w:val="002409ED"/>
    <w:rsid w:val="00240C06"/>
    <w:rsid w:val="00241EF3"/>
    <w:rsid w:val="0024294D"/>
    <w:rsid w:val="0024306B"/>
    <w:rsid w:val="002434E6"/>
    <w:rsid w:val="00243516"/>
    <w:rsid w:val="00243942"/>
    <w:rsid w:val="00243CED"/>
    <w:rsid w:val="00243E1D"/>
    <w:rsid w:val="00243E8C"/>
    <w:rsid w:val="002446E6"/>
    <w:rsid w:val="00244991"/>
    <w:rsid w:val="00244A8F"/>
    <w:rsid w:val="00245C85"/>
    <w:rsid w:val="002463D5"/>
    <w:rsid w:val="002464D9"/>
    <w:rsid w:val="002464E8"/>
    <w:rsid w:val="0024710C"/>
    <w:rsid w:val="0024735F"/>
    <w:rsid w:val="00247544"/>
    <w:rsid w:val="00247CF3"/>
    <w:rsid w:val="00247D9E"/>
    <w:rsid w:val="002501A3"/>
    <w:rsid w:val="00250249"/>
    <w:rsid w:val="0025037C"/>
    <w:rsid w:val="00250A74"/>
    <w:rsid w:val="00250AA3"/>
    <w:rsid w:val="00251986"/>
    <w:rsid w:val="00251CD9"/>
    <w:rsid w:val="00251FC5"/>
    <w:rsid w:val="0025264E"/>
    <w:rsid w:val="002528B1"/>
    <w:rsid w:val="00252AE1"/>
    <w:rsid w:val="0025321F"/>
    <w:rsid w:val="00253776"/>
    <w:rsid w:val="002539ED"/>
    <w:rsid w:val="00253C2B"/>
    <w:rsid w:val="00254534"/>
    <w:rsid w:val="002548C8"/>
    <w:rsid w:val="00254E20"/>
    <w:rsid w:val="00255417"/>
    <w:rsid w:val="002563A1"/>
    <w:rsid w:val="00256FD4"/>
    <w:rsid w:val="00257989"/>
    <w:rsid w:val="00257AD5"/>
    <w:rsid w:val="00260517"/>
    <w:rsid w:val="0026127B"/>
    <w:rsid w:val="0026130E"/>
    <w:rsid w:val="0026206A"/>
    <w:rsid w:val="002623C0"/>
    <w:rsid w:val="002623EB"/>
    <w:rsid w:val="00262A3C"/>
    <w:rsid w:val="00262E68"/>
    <w:rsid w:val="00262FED"/>
    <w:rsid w:val="00264630"/>
    <w:rsid w:val="00264D4D"/>
    <w:rsid w:val="00264EE9"/>
    <w:rsid w:val="00265356"/>
    <w:rsid w:val="0026545E"/>
    <w:rsid w:val="002654D2"/>
    <w:rsid w:val="00265D75"/>
    <w:rsid w:val="0026603C"/>
    <w:rsid w:val="00266151"/>
    <w:rsid w:val="002668C0"/>
    <w:rsid w:val="00267328"/>
    <w:rsid w:val="0026792F"/>
    <w:rsid w:val="00267B7D"/>
    <w:rsid w:val="00267D77"/>
    <w:rsid w:val="002704BC"/>
    <w:rsid w:val="002707D7"/>
    <w:rsid w:val="002707DF"/>
    <w:rsid w:val="00270943"/>
    <w:rsid w:val="00271CBE"/>
    <w:rsid w:val="00271E75"/>
    <w:rsid w:val="00271FB6"/>
    <w:rsid w:val="0027238E"/>
    <w:rsid w:val="00272435"/>
    <w:rsid w:val="002726F0"/>
    <w:rsid w:val="00274963"/>
    <w:rsid w:val="00275366"/>
    <w:rsid w:val="002756A4"/>
    <w:rsid w:val="00275719"/>
    <w:rsid w:val="00275E29"/>
    <w:rsid w:val="00276063"/>
    <w:rsid w:val="00276329"/>
    <w:rsid w:val="00276C79"/>
    <w:rsid w:val="00276D8A"/>
    <w:rsid w:val="00277997"/>
    <w:rsid w:val="00277A5D"/>
    <w:rsid w:val="002801BD"/>
    <w:rsid w:val="0028043E"/>
    <w:rsid w:val="002806AA"/>
    <w:rsid w:val="00280827"/>
    <w:rsid w:val="00280832"/>
    <w:rsid w:val="002808E7"/>
    <w:rsid w:val="00280DA4"/>
    <w:rsid w:val="002813FD"/>
    <w:rsid w:val="002817CE"/>
    <w:rsid w:val="00281FEC"/>
    <w:rsid w:val="002826BA"/>
    <w:rsid w:val="00282A16"/>
    <w:rsid w:val="00282EBC"/>
    <w:rsid w:val="00282F33"/>
    <w:rsid w:val="00283376"/>
    <w:rsid w:val="00283AA6"/>
    <w:rsid w:val="0028432C"/>
    <w:rsid w:val="002843DC"/>
    <w:rsid w:val="0028453E"/>
    <w:rsid w:val="002845AC"/>
    <w:rsid w:val="00284B0C"/>
    <w:rsid w:val="00284B8A"/>
    <w:rsid w:val="00284D2E"/>
    <w:rsid w:val="00284E46"/>
    <w:rsid w:val="00285063"/>
    <w:rsid w:val="0028506E"/>
    <w:rsid w:val="002857E2"/>
    <w:rsid w:val="00286184"/>
    <w:rsid w:val="00286638"/>
    <w:rsid w:val="002870A9"/>
    <w:rsid w:val="002872B0"/>
    <w:rsid w:val="002874DA"/>
    <w:rsid w:val="0028769D"/>
    <w:rsid w:val="0028776A"/>
    <w:rsid w:val="00287DE9"/>
    <w:rsid w:val="00290ABD"/>
    <w:rsid w:val="002913D1"/>
    <w:rsid w:val="00291A7D"/>
    <w:rsid w:val="00291BDA"/>
    <w:rsid w:val="00291EA6"/>
    <w:rsid w:val="0029232E"/>
    <w:rsid w:val="00292DAB"/>
    <w:rsid w:val="00292DD8"/>
    <w:rsid w:val="00292E39"/>
    <w:rsid w:val="00293424"/>
    <w:rsid w:val="002935EA"/>
    <w:rsid w:val="00293E05"/>
    <w:rsid w:val="00293EA4"/>
    <w:rsid w:val="00294447"/>
    <w:rsid w:val="002948B4"/>
    <w:rsid w:val="00296284"/>
    <w:rsid w:val="00296403"/>
    <w:rsid w:val="002A0162"/>
    <w:rsid w:val="002A06FE"/>
    <w:rsid w:val="002A0B4A"/>
    <w:rsid w:val="002A1485"/>
    <w:rsid w:val="002A1BEC"/>
    <w:rsid w:val="002A1D01"/>
    <w:rsid w:val="002A1EE0"/>
    <w:rsid w:val="002A233A"/>
    <w:rsid w:val="002A34C1"/>
    <w:rsid w:val="002A359B"/>
    <w:rsid w:val="002A376F"/>
    <w:rsid w:val="002A3916"/>
    <w:rsid w:val="002A3AFF"/>
    <w:rsid w:val="002A421C"/>
    <w:rsid w:val="002A4B78"/>
    <w:rsid w:val="002A4BAB"/>
    <w:rsid w:val="002A4EA7"/>
    <w:rsid w:val="002A5C43"/>
    <w:rsid w:val="002A5E4B"/>
    <w:rsid w:val="002A61D6"/>
    <w:rsid w:val="002A61E2"/>
    <w:rsid w:val="002A636F"/>
    <w:rsid w:val="002A68FD"/>
    <w:rsid w:val="002A6E11"/>
    <w:rsid w:val="002A7123"/>
    <w:rsid w:val="002A729E"/>
    <w:rsid w:val="002A77D0"/>
    <w:rsid w:val="002A7D82"/>
    <w:rsid w:val="002A7FB5"/>
    <w:rsid w:val="002B0272"/>
    <w:rsid w:val="002B052E"/>
    <w:rsid w:val="002B0AA9"/>
    <w:rsid w:val="002B1245"/>
    <w:rsid w:val="002B262D"/>
    <w:rsid w:val="002B2AF2"/>
    <w:rsid w:val="002B33C0"/>
    <w:rsid w:val="002B35F2"/>
    <w:rsid w:val="002B36B9"/>
    <w:rsid w:val="002B383C"/>
    <w:rsid w:val="002B3F58"/>
    <w:rsid w:val="002B42BC"/>
    <w:rsid w:val="002B4B83"/>
    <w:rsid w:val="002B5601"/>
    <w:rsid w:val="002B580C"/>
    <w:rsid w:val="002B6125"/>
    <w:rsid w:val="002B613D"/>
    <w:rsid w:val="002B649C"/>
    <w:rsid w:val="002B6804"/>
    <w:rsid w:val="002B6FB3"/>
    <w:rsid w:val="002B7102"/>
    <w:rsid w:val="002B75B8"/>
    <w:rsid w:val="002B7671"/>
    <w:rsid w:val="002B78E7"/>
    <w:rsid w:val="002B7C28"/>
    <w:rsid w:val="002C08DF"/>
    <w:rsid w:val="002C15AC"/>
    <w:rsid w:val="002C15ED"/>
    <w:rsid w:val="002C1A8C"/>
    <w:rsid w:val="002C1C16"/>
    <w:rsid w:val="002C2C6F"/>
    <w:rsid w:val="002C3BA2"/>
    <w:rsid w:val="002C3F17"/>
    <w:rsid w:val="002C4520"/>
    <w:rsid w:val="002C4915"/>
    <w:rsid w:val="002C50B3"/>
    <w:rsid w:val="002C534D"/>
    <w:rsid w:val="002C57E5"/>
    <w:rsid w:val="002C5E14"/>
    <w:rsid w:val="002C5F1E"/>
    <w:rsid w:val="002C690C"/>
    <w:rsid w:val="002C7704"/>
    <w:rsid w:val="002C7F13"/>
    <w:rsid w:val="002D0E8D"/>
    <w:rsid w:val="002D1528"/>
    <w:rsid w:val="002D173E"/>
    <w:rsid w:val="002D1CDF"/>
    <w:rsid w:val="002D206A"/>
    <w:rsid w:val="002D20E6"/>
    <w:rsid w:val="002D2398"/>
    <w:rsid w:val="002D2748"/>
    <w:rsid w:val="002D332B"/>
    <w:rsid w:val="002D358E"/>
    <w:rsid w:val="002D399F"/>
    <w:rsid w:val="002D3C6F"/>
    <w:rsid w:val="002D40AC"/>
    <w:rsid w:val="002D4E80"/>
    <w:rsid w:val="002D5759"/>
    <w:rsid w:val="002D5A23"/>
    <w:rsid w:val="002D5BFB"/>
    <w:rsid w:val="002D636A"/>
    <w:rsid w:val="002D65B3"/>
    <w:rsid w:val="002D70F0"/>
    <w:rsid w:val="002D78DE"/>
    <w:rsid w:val="002D7C6D"/>
    <w:rsid w:val="002D7D6B"/>
    <w:rsid w:val="002E042E"/>
    <w:rsid w:val="002E0690"/>
    <w:rsid w:val="002E0B1B"/>
    <w:rsid w:val="002E1004"/>
    <w:rsid w:val="002E157B"/>
    <w:rsid w:val="002E1A07"/>
    <w:rsid w:val="002E1E6E"/>
    <w:rsid w:val="002E1ED3"/>
    <w:rsid w:val="002E21F4"/>
    <w:rsid w:val="002E2247"/>
    <w:rsid w:val="002E25E0"/>
    <w:rsid w:val="002E346E"/>
    <w:rsid w:val="002E365B"/>
    <w:rsid w:val="002E3934"/>
    <w:rsid w:val="002E4421"/>
    <w:rsid w:val="002E46BA"/>
    <w:rsid w:val="002E4E8A"/>
    <w:rsid w:val="002E4EBE"/>
    <w:rsid w:val="002E52C3"/>
    <w:rsid w:val="002E5576"/>
    <w:rsid w:val="002E5F6C"/>
    <w:rsid w:val="002E6B61"/>
    <w:rsid w:val="002E6EA2"/>
    <w:rsid w:val="002E6F30"/>
    <w:rsid w:val="002E73EA"/>
    <w:rsid w:val="002E7911"/>
    <w:rsid w:val="002E7928"/>
    <w:rsid w:val="002E7E85"/>
    <w:rsid w:val="002E7F38"/>
    <w:rsid w:val="002F034A"/>
    <w:rsid w:val="002F08DF"/>
    <w:rsid w:val="002F0B25"/>
    <w:rsid w:val="002F1376"/>
    <w:rsid w:val="002F13AD"/>
    <w:rsid w:val="002F15EB"/>
    <w:rsid w:val="002F234E"/>
    <w:rsid w:val="002F269C"/>
    <w:rsid w:val="002F2B7C"/>
    <w:rsid w:val="002F2CCB"/>
    <w:rsid w:val="002F317C"/>
    <w:rsid w:val="002F37C2"/>
    <w:rsid w:val="002F39FF"/>
    <w:rsid w:val="002F4488"/>
    <w:rsid w:val="002F453A"/>
    <w:rsid w:val="002F4E14"/>
    <w:rsid w:val="002F5224"/>
    <w:rsid w:val="002F52A9"/>
    <w:rsid w:val="002F5ACC"/>
    <w:rsid w:val="002F5E66"/>
    <w:rsid w:val="002F5F99"/>
    <w:rsid w:val="002F64C0"/>
    <w:rsid w:val="002F7416"/>
    <w:rsid w:val="002F779A"/>
    <w:rsid w:val="00300229"/>
    <w:rsid w:val="00300B28"/>
    <w:rsid w:val="00300DE4"/>
    <w:rsid w:val="003012A0"/>
    <w:rsid w:val="00301420"/>
    <w:rsid w:val="00301A5B"/>
    <w:rsid w:val="00301D68"/>
    <w:rsid w:val="00302EE8"/>
    <w:rsid w:val="003031DA"/>
    <w:rsid w:val="00303269"/>
    <w:rsid w:val="003034A4"/>
    <w:rsid w:val="00303501"/>
    <w:rsid w:val="00303AE5"/>
    <w:rsid w:val="003052DB"/>
    <w:rsid w:val="00305409"/>
    <w:rsid w:val="00305B37"/>
    <w:rsid w:val="00305BBC"/>
    <w:rsid w:val="00305EC9"/>
    <w:rsid w:val="00306241"/>
    <w:rsid w:val="00306267"/>
    <w:rsid w:val="003062D9"/>
    <w:rsid w:val="003064DF"/>
    <w:rsid w:val="00307A40"/>
    <w:rsid w:val="00307B9A"/>
    <w:rsid w:val="00310854"/>
    <w:rsid w:val="00310E57"/>
    <w:rsid w:val="00310F26"/>
    <w:rsid w:val="003115E8"/>
    <w:rsid w:val="00312651"/>
    <w:rsid w:val="00313272"/>
    <w:rsid w:val="00313634"/>
    <w:rsid w:val="00313BE2"/>
    <w:rsid w:val="003140D4"/>
    <w:rsid w:val="003145DD"/>
    <w:rsid w:val="00314A43"/>
    <w:rsid w:val="0031631C"/>
    <w:rsid w:val="00317B16"/>
    <w:rsid w:val="0032037C"/>
    <w:rsid w:val="00321AB5"/>
    <w:rsid w:val="003225DF"/>
    <w:rsid w:val="00322AC8"/>
    <w:rsid w:val="00322C5B"/>
    <w:rsid w:val="00322F05"/>
    <w:rsid w:val="003242DE"/>
    <w:rsid w:val="003246A8"/>
    <w:rsid w:val="0032494A"/>
    <w:rsid w:val="00324F79"/>
    <w:rsid w:val="00324FB6"/>
    <w:rsid w:val="00325101"/>
    <w:rsid w:val="00325157"/>
    <w:rsid w:val="00326E26"/>
    <w:rsid w:val="0032718F"/>
    <w:rsid w:val="00327401"/>
    <w:rsid w:val="00327D88"/>
    <w:rsid w:val="00327ECD"/>
    <w:rsid w:val="003306DC"/>
    <w:rsid w:val="00330A0B"/>
    <w:rsid w:val="00331166"/>
    <w:rsid w:val="00331701"/>
    <w:rsid w:val="00331E8F"/>
    <w:rsid w:val="003320C5"/>
    <w:rsid w:val="003322C8"/>
    <w:rsid w:val="00332779"/>
    <w:rsid w:val="00332D88"/>
    <w:rsid w:val="00332E5F"/>
    <w:rsid w:val="00333535"/>
    <w:rsid w:val="003337A6"/>
    <w:rsid w:val="003339C0"/>
    <w:rsid w:val="00333EB3"/>
    <w:rsid w:val="003346EB"/>
    <w:rsid w:val="00334D96"/>
    <w:rsid w:val="00334EFF"/>
    <w:rsid w:val="00335933"/>
    <w:rsid w:val="003359C7"/>
    <w:rsid w:val="00335CCE"/>
    <w:rsid w:val="003369F0"/>
    <w:rsid w:val="00336B62"/>
    <w:rsid w:val="003370E4"/>
    <w:rsid w:val="00337E5D"/>
    <w:rsid w:val="0034010E"/>
    <w:rsid w:val="0034071D"/>
    <w:rsid w:val="00340A36"/>
    <w:rsid w:val="00341689"/>
    <w:rsid w:val="00341EF6"/>
    <w:rsid w:val="00342920"/>
    <w:rsid w:val="00342F9D"/>
    <w:rsid w:val="003436AD"/>
    <w:rsid w:val="003437BD"/>
    <w:rsid w:val="00343D67"/>
    <w:rsid w:val="00343E4A"/>
    <w:rsid w:val="00343E9B"/>
    <w:rsid w:val="003440BB"/>
    <w:rsid w:val="00344B9D"/>
    <w:rsid w:val="00344E38"/>
    <w:rsid w:val="0034523E"/>
    <w:rsid w:val="00345425"/>
    <w:rsid w:val="00345CEE"/>
    <w:rsid w:val="003463F5"/>
    <w:rsid w:val="00346ADE"/>
    <w:rsid w:val="00347604"/>
    <w:rsid w:val="003478CF"/>
    <w:rsid w:val="00347CCD"/>
    <w:rsid w:val="00347DA3"/>
    <w:rsid w:val="00350B47"/>
    <w:rsid w:val="00350D54"/>
    <w:rsid w:val="00350E98"/>
    <w:rsid w:val="00350FC8"/>
    <w:rsid w:val="0035147B"/>
    <w:rsid w:val="0035154F"/>
    <w:rsid w:val="00351AB5"/>
    <w:rsid w:val="00351B4A"/>
    <w:rsid w:val="00351C4B"/>
    <w:rsid w:val="00351EDC"/>
    <w:rsid w:val="00351F63"/>
    <w:rsid w:val="003520AD"/>
    <w:rsid w:val="003521B0"/>
    <w:rsid w:val="003522A9"/>
    <w:rsid w:val="0035231A"/>
    <w:rsid w:val="00352525"/>
    <w:rsid w:val="00352E39"/>
    <w:rsid w:val="003535CF"/>
    <w:rsid w:val="0035362B"/>
    <w:rsid w:val="003536CD"/>
    <w:rsid w:val="0035448C"/>
    <w:rsid w:val="00354759"/>
    <w:rsid w:val="0035554A"/>
    <w:rsid w:val="00355AF0"/>
    <w:rsid w:val="00355C9C"/>
    <w:rsid w:val="00356733"/>
    <w:rsid w:val="00356B6E"/>
    <w:rsid w:val="00356E08"/>
    <w:rsid w:val="00357513"/>
    <w:rsid w:val="003605E2"/>
    <w:rsid w:val="003608E7"/>
    <w:rsid w:val="00360AA1"/>
    <w:rsid w:val="00361BA4"/>
    <w:rsid w:val="00361BBE"/>
    <w:rsid w:val="00361FD4"/>
    <w:rsid w:val="003639DB"/>
    <w:rsid w:val="00363D47"/>
    <w:rsid w:val="00363E79"/>
    <w:rsid w:val="00364AC8"/>
    <w:rsid w:val="00364E6F"/>
    <w:rsid w:val="0036500A"/>
    <w:rsid w:val="003651C0"/>
    <w:rsid w:val="0036538A"/>
    <w:rsid w:val="003668C6"/>
    <w:rsid w:val="0036692E"/>
    <w:rsid w:val="00366DDF"/>
    <w:rsid w:val="00367847"/>
    <w:rsid w:val="00370783"/>
    <w:rsid w:val="00371511"/>
    <w:rsid w:val="00372020"/>
    <w:rsid w:val="003726DE"/>
    <w:rsid w:val="00374532"/>
    <w:rsid w:val="00374868"/>
    <w:rsid w:val="00374FC2"/>
    <w:rsid w:val="0037526E"/>
    <w:rsid w:val="00375DF4"/>
    <w:rsid w:val="00376169"/>
    <w:rsid w:val="00376313"/>
    <w:rsid w:val="00376E6D"/>
    <w:rsid w:val="00377696"/>
    <w:rsid w:val="003802AC"/>
    <w:rsid w:val="00380350"/>
    <w:rsid w:val="00380AF5"/>
    <w:rsid w:val="003817EB"/>
    <w:rsid w:val="00382108"/>
    <w:rsid w:val="0038238B"/>
    <w:rsid w:val="00382BA5"/>
    <w:rsid w:val="00383004"/>
    <w:rsid w:val="003830CE"/>
    <w:rsid w:val="00383698"/>
    <w:rsid w:val="00383820"/>
    <w:rsid w:val="00383D4E"/>
    <w:rsid w:val="0038433A"/>
    <w:rsid w:val="003849F0"/>
    <w:rsid w:val="003850E3"/>
    <w:rsid w:val="00385E2D"/>
    <w:rsid w:val="003876A2"/>
    <w:rsid w:val="0039058C"/>
    <w:rsid w:val="00390FB9"/>
    <w:rsid w:val="00391223"/>
    <w:rsid w:val="00391537"/>
    <w:rsid w:val="00391847"/>
    <w:rsid w:val="003918CA"/>
    <w:rsid w:val="003921CE"/>
    <w:rsid w:val="00392269"/>
    <w:rsid w:val="0039242B"/>
    <w:rsid w:val="0039262E"/>
    <w:rsid w:val="003937F3"/>
    <w:rsid w:val="0039418B"/>
    <w:rsid w:val="0039456C"/>
    <w:rsid w:val="00395EA3"/>
    <w:rsid w:val="003964D9"/>
    <w:rsid w:val="00396549"/>
    <w:rsid w:val="00396DAA"/>
    <w:rsid w:val="00396DD7"/>
    <w:rsid w:val="00397183"/>
    <w:rsid w:val="00397A6D"/>
    <w:rsid w:val="00397D4E"/>
    <w:rsid w:val="003A0721"/>
    <w:rsid w:val="003A07E5"/>
    <w:rsid w:val="003A0903"/>
    <w:rsid w:val="003A0989"/>
    <w:rsid w:val="003A0E03"/>
    <w:rsid w:val="003A12DB"/>
    <w:rsid w:val="003A15D6"/>
    <w:rsid w:val="003A1C31"/>
    <w:rsid w:val="003A24D4"/>
    <w:rsid w:val="003A2602"/>
    <w:rsid w:val="003A2DAC"/>
    <w:rsid w:val="003A31EF"/>
    <w:rsid w:val="003A3A58"/>
    <w:rsid w:val="003A3BB6"/>
    <w:rsid w:val="003A3DFD"/>
    <w:rsid w:val="003A420F"/>
    <w:rsid w:val="003A499F"/>
    <w:rsid w:val="003A4B2F"/>
    <w:rsid w:val="003A4E26"/>
    <w:rsid w:val="003A5145"/>
    <w:rsid w:val="003A55DE"/>
    <w:rsid w:val="003A6D32"/>
    <w:rsid w:val="003A7A7A"/>
    <w:rsid w:val="003B0244"/>
    <w:rsid w:val="003B0270"/>
    <w:rsid w:val="003B0683"/>
    <w:rsid w:val="003B078B"/>
    <w:rsid w:val="003B0B3E"/>
    <w:rsid w:val="003B14A9"/>
    <w:rsid w:val="003B15F5"/>
    <w:rsid w:val="003B1CBA"/>
    <w:rsid w:val="003B2369"/>
    <w:rsid w:val="003B2445"/>
    <w:rsid w:val="003B278A"/>
    <w:rsid w:val="003B28BB"/>
    <w:rsid w:val="003B3050"/>
    <w:rsid w:val="003B341A"/>
    <w:rsid w:val="003B39F3"/>
    <w:rsid w:val="003B4912"/>
    <w:rsid w:val="003B4B0B"/>
    <w:rsid w:val="003B4EF4"/>
    <w:rsid w:val="003B53EE"/>
    <w:rsid w:val="003B56C6"/>
    <w:rsid w:val="003B5B0D"/>
    <w:rsid w:val="003B5DB3"/>
    <w:rsid w:val="003B6185"/>
    <w:rsid w:val="003B6297"/>
    <w:rsid w:val="003B659B"/>
    <w:rsid w:val="003B67A6"/>
    <w:rsid w:val="003B69F6"/>
    <w:rsid w:val="003B6A5F"/>
    <w:rsid w:val="003B6E15"/>
    <w:rsid w:val="003B7125"/>
    <w:rsid w:val="003B7A8A"/>
    <w:rsid w:val="003B7E9A"/>
    <w:rsid w:val="003B7F05"/>
    <w:rsid w:val="003C090B"/>
    <w:rsid w:val="003C1038"/>
    <w:rsid w:val="003C11C8"/>
    <w:rsid w:val="003C1602"/>
    <w:rsid w:val="003C2A2F"/>
    <w:rsid w:val="003C3702"/>
    <w:rsid w:val="003C3A1E"/>
    <w:rsid w:val="003C40D0"/>
    <w:rsid w:val="003C505B"/>
    <w:rsid w:val="003C5251"/>
    <w:rsid w:val="003C64B8"/>
    <w:rsid w:val="003C6F0F"/>
    <w:rsid w:val="003C71CF"/>
    <w:rsid w:val="003C789D"/>
    <w:rsid w:val="003C7A21"/>
    <w:rsid w:val="003C7C0C"/>
    <w:rsid w:val="003D08E5"/>
    <w:rsid w:val="003D14A9"/>
    <w:rsid w:val="003D260B"/>
    <w:rsid w:val="003D2722"/>
    <w:rsid w:val="003D284C"/>
    <w:rsid w:val="003D2959"/>
    <w:rsid w:val="003D298A"/>
    <w:rsid w:val="003D2A51"/>
    <w:rsid w:val="003D2F62"/>
    <w:rsid w:val="003D4201"/>
    <w:rsid w:val="003D4378"/>
    <w:rsid w:val="003D4431"/>
    <w:rsid w:val="003D4A56"/>
    <w:rsid w:val="003D5054"/>
    <w:rsid w:val="003D5827"/>
    <w:rsid w:val="003D5F4F"/>
    <w:rsid w:val="003D6027"/>
    <w:rsid w:val="003D6552"/>
    <w:rsid w:val="003D6CD9"/>
    <w:rsid w:val="003D6E60"/>
    <w:rsid w:val="003D7282"/>
    <w:rsid w:val="003D769F"/>
    <w:rsid w:val="003D788E"/>
    <w:rsid w:val="003D7B2C"/>
    <w:rsid w:val="003E03E7"/>
    <w:rsid w:val="003E075A"/>
    <w:rsid w:val="003E0E66"/>
    <w:rsid w:val="003E1494"/>
    <w:rsid w:val="003E15E1"/>
    <w:rsid w:val="003E1844"/>
    <w:rsid w:val="003E1917"/>
    <w:rsid w:val="003E1F2C"/>
    <w:rsid w:val="003E20DE"/>
    <w:rsid w:val="003E259A"/>
    <w:rsid w:val="003E31A0"/>
    <w:rsid w:val="003E31C0"/>
    <w:rsid w:val="003E4609"/>
    <w:rsid w:val="003E4754"/>
    <w:rsid w:val="003E4B4A"/>
    <w:rsid w:val="003E5211"/>
    <w:rsid w:val="003E59EE"/>
    <w:rsid w:val="003E5F7E"/>
    <w:rsid w:val="003E60D2"/>
    <w:rsid w:val="003E612B"/>
    <w:rsid w:val="003E6905"/>
    <w:rsid w:val="003E7DB6"/>
    <w:rsid w:val="003F00E7"/>
    <w:rsid w:val="003F0496"/>
    <w:rsid w:val="003F0CA3"/>
    <w:rsid w:val="003F194A"/>
    <w:rsid w:val="003F287E"/>
    <w:rsid w:val="003F291F"/>
    <w:rsid w:val="003F31D2"/>
    <w:rsid w:val="003F34D5"/>
    <w:rsid w:val="003F3716"/>
    <w:rsid w:val="003F3808"/>
    <w:rsid w:val="003F3CCC"/>
    <w:rsid w:val="003F3DC0"/>
    <w:rsid w:val="003F4845"/>
    <w:rsid w:val="003F48F8"/>
    <w:rsid w:val="003F4C27"/>
    <w:rsid w:val="003F4DBE"/>
    <w:rsid w:val="003F53E1"/>
    <w:rsid w:val="003F544B"/>
    <w:rsid w:val="003F557E"/>
    <w:rsid w:val="003F63D1"/>
    <w:rsid w:val="003F6909"/>
    <w:rsid w:val="003F6E62"/>
    <w:rsid w:val="003F72AD"/>
    <w:rsid w:val="003F7516"/>
    <w:rsid w:val="003F7CC5"/>
    <w:rsid w:val="003F7D0E"/>
    <w:rsid w:val="00400413"/>
    <w:rsid w:val="00400792"/>
    <w:rsid w:val="0040091B"/>
    <w:rsid w:val="00400D68"/>
    <w:rsid w:val="00400EA0"/>
    <w:rsid w:val="00401A63"/>
    <w:rsid w:val="00402284"/>
    <w:rsid w:val="004029ED"/>
    <w:rsid w:val="00403F5C"/>
    <w:rsid w:val="00404219"/>
    <w:rsid w:val="00404541"/>
    <w:rsid w:val="00404ECF"/>
    <w:rsid w:val="004061A4"/>
    <w:rsid w:val="004067AD"/>
    <w:rsid w:val="004069BA"/>
    <w:rsid w:val="00406FCB"/>
    <w:rsid w:val="00407061"/>
    <w:rsid w:val="00407EE0"/>
    <w:rsid w:val="00407FF4"/>
    <w:rsid w:val="00410AD4"/>
    <w:rsid w:val="00410B41"/>
    <w:rsid w:val="00410D50"/>
    <w:rsid w:val="0041184C"/>
    <w:rsid w:val="0041299C"/>
    <w:rsid w:val="00413189"/>
    <w:rsid w:val="004135D0"/>
    <w:rsid w:val="004144EE"/>
    <w:rsid w:val="00414550"/>
    <w:rsid w:val="00414806"/>
    <w:rsid w:val="00414F9E"/>
    <w:rsid w:val="00415F69"/>
    <w:rsid w:val="004161BF"/>
    <w:rsid w:val="004167E2"/>
    <w:rsid w:val="0041736C"/>
    <w:rsid w:val="00417697"/>
    <w:rsid w:val="00417AF3"/>
    <w:rsid w:val="00417C59"/>
    <w:rsid w:val="0042029A"/>
    <w:rsid w:val="004213EC"/>
    <w:rsid w:val="004215D4"/>
    <w:rsid w:val="00421B1D"/>
    <w:rsid w:val="00421FD7"/>
    <w:rsid w:val="00422208"/>
    <w:rsid w:val="00422241"/>
    <w:rsid w:val="0042256D"/>
    <w:rsid w:val="0042325A"/>
    <w:rsid w:val="00423765"/>
    <w:rsid w:val="004237E2"/>
    <w:rsid w:val="00423B31"/>
    <w:rsid w:val="00423BE8"/>
    <w:rsid w:val="004243EC"/>
    <w:rsid w:val="00424B78"/>
    <w:rsid w:val="00424E39"/>
    <w:rsid w:val="00425292"/>
    <w:rsid w:val="00425388"/>
    <w:rsid w:val="00425B4A"/>
    <w:rsid w:val="00425E83"/>
    <w:rsid w:val="00425F62"/>
    <w:rsid w:val="00426102"/>
    <w:rsid w:val="0042617B"/>
    <w:rsid w:val="00426E55"/>
    <w:rsid w:val="004270A7"/>
    <w:rsid w:val="004276AE"/>
    <w:rsid w:val="004279A9"/>
    <w:rsid w:val="004307CF"/>
    <w:rsid w:val="00430C61"/>
    <w:rsid w:val="00431095"/>
    <w:rsid w:val="0043164B"/>
    <w:rsid w:val="00431BC1"/>
    <w:rsid w:val="004320CB"/>
    <w:rsid w:val="00432FB6"/>
    <w:rsid w:val="004335E8"/>
    <w:rsid w:val="00433D45"/>
    <w:rsid w:val="00433DF3"/>
    <w:rsid w:val="004340D7"/>
    <w:rsid w:val="0043416C"/>
    <w:rsid w:val="0043423F"/>
    <w:rsid w:val="004344A8"/>
    <w:rsid w:val="004349D1"/>
    <w:rsid w:val="0043520F"/>
    <w:rsid w:val="00435433"/>
    <w:rsid w:val="0043573F"/>
    <w:rsid w:val="00435BC6"/>
    <w:rsid w:val="004362BB"/>
    <w:rsid w:val="004363A4"/>
    <w:rsid w:val="00436927"/>
    <w:rsid w:val="00436A3E"/>
    <w:rsid w:val="0043755B"/>
    <w:rsid w:val="004379B3"/>
    <w:rsid w:val="0044060F"/>
    <w:rsid w:val="0044089C"/>
    <w:rsid w:val="00440B24"/>
    <w:rsid w:val="00440D78"/>
    <w:rsid w:val="00440E47"/>
    <w:rsid w:val="00441A2A"/>
    <w:rsid w:val="004420F6"/>
    <w:rsid w:val="0044237F"/>
    <w:rsid w:val="00442970"/>
    <w:rsid w:val="00442B81"/>
    <w:rsid w:val="00442FB7"/>
    <w:rsid w:val="0044359A"/>
    <w:rsid w:val="00443998"/>
    <w:rsid w:val="004439DC"/>
    <w:rsid w:val="0044445D"/>
    <w:rsid w:val="0044484F"/>
    <w:rsid w:val="00444A61"/>
    <w:rsid w:val="00444D84"/>
    <w:rsid w:val="00444F65"/>
    <w:rsid w:val="00445551"/>
    <w:rsid w:val="00445B8F"/>
    <w:rsid w:val="00445C55"/>
    <w:rsid w:val="0044666F"/>
    <w:rsid w:val="00446720"/>
    <w:rsid w:val="004467D9"/>
    <w:rsid w:val="0044698E"/>
    <w:rsid w:val="004476C6"/>
    <w:rsid w:val="00447809"/>
    <w:rsid w:val="00447ECB"/>
    <w:rsid w:val="00450BA8"/>
    <w:rsid w:val="00450C28"/>
    <w:rsid w:val="00450CA0"/>
    <w:rsid w:val="004512B2"/>
    <w:rsid w:val="0045130C"/>
    <w:rsid w:val="00451473"/>
    <w:rsid w:val="004517DF"/>
    <w:rsid w:val="00452227"/>
    <w:rsid w:val="00452443"/>
    <w:rsid w:val="004528E8"/>
    <w:rsid w:val="004534FE"/>
    <w:rsid w:val="00453578"/>
    <w:rsid w:val="0045362D"/>
    <w:rsid w:val="0045420B"/>
    <w:rsid w:val="004542A2"/>
    <w:rsid w:val="00454302"/>
    <w:rsid w:val="004549E2"/>
    <w:rsid w:val="004549F3"/>
    <w:rsid w:val="00454A58"/>
    <w:rsid w:val="00454CC3"/>
    <w:rsid w:val="00455062"/>
    <w:rsid w:val="00455214"/>
    <w:rsid w:val="004554CD"/>
    <w:rsid w:val="0045580C"/>
    <w:rsid w:val="00455D9B"/>
    <w:rsid w:val="00455F80"/>
    <w:rsid w:val="00456006"/>
    <w:rsid w:val="00456136"/>
    <w:rsid w:val="00456BF2"/>
    <w:rsid w:val="00456CA3"/>
    <w:rsid w:val="00456D5A"/>
    <w:rsid w:val="004576F8"/>
    <w:rsid w:val="0045797E"/>
    <w:rsid w:val="00457D37"/>
    <w:rsid w:val="00460595"/>
    <w:rsid w:val="004611F2"/>
    <w:rsid w:val="0046133D"/>
    <w:rsid w:val="00461B12"/>
    <w:rsid w:val="00462F42"/>
    <w:rsid w:val="0046329C"/>
    <w:rsid w:val="00463C2A"/>
    <w:rsid w:val="00463C80"/>
    <w:rsid w:val="00464328"/>
    <w:rsid w:val="004646F3"/>
    <w:rsid w:val="00464C6B"/>
    <w:rsid w:val="00464E06"/>
    <w:rsid w:val="004655A1"/>
    <w:rsid w:val="004669D0"/>
    <w:rsid w:val="0046704E"/>
    <w:rsid w:val="004671BC"/>
    <w:rsid w:val="0046736E"/>
    <w:rsid w:val="00467A88"/>
    <w:rsid w:val="0047063D"/>
    <w:rsid w:val="004707A0"/>
    <w:rsid w:val="00470857"/>
    <w:rsid w:val="00471A13"/>
    <w:rsid w:val="00471BAC"/>
    <w:rsid w:val="004724D2"/>
    <w:rsid w:val="00472829"/>
    <w:rsid w:val="00472967"/>
    <w:rsid w:val="00472B00"/>
    <w:rsid w:val="00472C9B"/>
    <w:rsid w:val="00472F4C"/>
    <w:rsid w:val="004738B9"/>
    <w:rsid w:val="00473A5E"/>
    <w:rsid w:val="00473FBD"/>
    <w:rsid w:val="00474657"/>
    <w:rsid w:val="004758A9"/>
    <w:rsid w:val="00475CD7"/>
    <w:rsid w:val="00475D9B"/>
    <w:rsid w:val="00476273"/>
    <w:rsid w:val="0047635E"/>
    <w:rsid w:val="004772EC"/>
    <w:rsid w:val="00477399"/>
    <w:rsid w:val="00477505"/>
    <w:rsid w:val="0047756B"/>
    <w:rsid w:val="00477EC5"/>
    <w:rsid w:val="0048020B"/>
    <w:rsid w:val="004803AA"/>
    <w:rsid w:val="0048059F"/>
    <w:rsid w:val="00480694"/>
    <w:rsid w:val="004806C8"/>
    <w:rsid w:val="00480FA7"/>
    <w:rsid w:val="0048124D"/>
    <w:rsid w:val="00481478"/>
    <w:rsid w:val="004818A0"/>
    <w:rsid w:val="00481D75"/>
    <w:rsid w:val="00481E25"/>
    <w:rsid w:val="00482B2D"/>
    <w:rsid w:val="00482B97"/>
    <w:rsid w:val="00482C80"/>
    <w:rsid w:val="00482C9E"/>
    <w:rsid w:val="004831F3"/>
    <w:rsid w:val="00483866"/>
    <w:rsid w:val="004838AF"/>
    <w:rsid w:val="00483A91"/>
    <w:rsid w:val="00483DA5"/>
    <w:rsid w:val="004848C4"/>
    <w:rsid w:val="00485C7E"/>
    <w:rsid w:val="00485E2C"/>
    <w:rsid w:val="00486236"/>
    <w:rsid w:val="004864DA"/>
    <w:rsid w:val="00486A09"/>
    <w:rsid w:val="00486A34"/>
    <w:rsid w:val="004872BC"/>
    <w:rsid w:val="00487487"/>
    <w:rsid w:val="004874A4"/>
    <w:rsid w:val="0048755F"/>
    <w:rsid w:val="004914C2"/>
    <w:rsid w:val="00491D75"/>
    <w:rsid w:val="00492B2A"/>
    <w:rsid w:val="00494355"/>
    <w:rsid w:val="004945F4"/>
    <w:rsid w:val="00494945"/>
    <w:rsid w:val="0049542C"/>
    <w:rsid w:val="00495740"/>
    <w:rsid w:val="00495C09"/>
    <w:rsid w:val="00495C43"/>
    <w:rsid w:val="00495E07"/>
    <w:rsid w:val="004972B7"/>
    <w:rsid w:val="00497EFC"/>
    <w:rsid w:val="00497F70"/>
    <w:rsid w:val="004A03E5"/>
    <w:rsid w:val="004A04F4"/>
    <w:rsid w:val="004A08D1"/>
    <w:rsid w:val="004A15D1"/>
    <w:rsid w:val="004A20D4"/>
    <w:rsid w:val="004A2375"/>
    <w:rsid w:val="004A269A"/>
    <w:rsid w:val="004A2751"/>
    <w:rsid w:val="004A2BDE"/>
    <w:rsid w:val="004A307F"/>
    <w:rsid w:val="004A3609"/>
    <w:rsid w:val="004A3EFF"/>
    <w:rsid w:val="004A473F"/>
    <w:rsid w:val="004A47FD"/>
    <w:rsid w:val="004A4C3C"/>
    <w:rsid w:val="004A503D"/>
    <w:rsid w:val="004A5994"/>
    <w:rsid w:val="004A6220"/>
    <w:rsid w:val="004A669F"/>
    <w:rsid w:val="004A7190"/>
    <w:rsid w:val="004A78E7"/>
    <w:rsid w:val="004A7C7B"/>
    <w:rsid w:val="004A7F0F"/>
    <w:rsid w:val="004B03C2"/>
    <w:rsid w:val="004B071F"/>
    <w:rsid w:val="004B07D7"/>
    <w:rsid w:val="004B141F"/>
    <w:rsid w:val="004B1D30"/>
    <w:rsid w:val="004B2127"/>
    <w:rsid w:val="004B225A"/>
    <w:rsid w:val="004B2656"/>
    <w:rsid w:val="004B2744"/>
    <w:rsid w:val="004B2F59"/>
    <w:rsid w:val="004B3237"/>
    <w:rsid w:val="004B3430"/>
    <w:rsid w:val="004B3B6D"/>
    <w:rsid w:val="004B40E5"/>
    <w:rsid w:val="004B428B"/>
    <w:rsid w:val="004B4A4A"/>
    <w:rsid w:val="004B4A8D"/>
    <w:rsid w:val="004B4E7A"/>
    <w:rsid w:val="004B4FAC"/>
    <w:rsid w:val="004B56E9"/>
    <w:rsid w:val="004B68D0"/>
    <w:rsid w:val="004B6D7C"/>
    <w:rsid w:val="004B6DEC"/>
    <w:rsid w:val="004B6EFE"/>
    <w:rsid w:val="004B70A6"/>
    <w:rsid w:val="004B7D59"/>
    <w:rsid w:val="004B7DD2"/>
    <w:rsid w:val="004C02D1"/>
    <w:rsid w:val="004C055C"/>
    <w:rsid w:val="004C0E20"/>
    <w:rsid w:val="004C0E28"/>
    <w:rsid w:val="004C179C"/>
    <w:rsid w:val="004C190E"/>
    <w:rsid w:val="004C27EB"/>
    <w:rsid w:val="004C2943"/>
    <w:rsid w:val="004C30BF"/>
    <w:rsid w:val="004C3111"/>
    <w:rsid w:val="004C3BA7"/>
    <w:rsid w:val="004C4147"/>
    <w:rsid w:val="004C456B"/>
    <w:rsid w:val="004C46D2"/>
    <w:rsid w:val="004C4980"/>
    <w:rsid w:val="004C4B55"/>
    <w:rsid w:val="004C4BD0"/>
    <w:rsid w:val="004C4D5F"/>
    <w:rsid w:val="004C58BE"/>
    <w:rsid w:val="004C5EC9"/>
    <w:rsid w:val="004C6451"/>
    <w:rsid w:val="004C7812"/>
    <w:rsid w:val="004C79CE"/>
    <w:rsid w:val="004C7A4B"/>
    <w:rsid w:val="004C7BBE"/>
    <w:rsid w:val="004D05EC"/>
    <w:rsid w:val="004D0750"/>
    <w:rsid w:val="004D1FBF"/>
    <w:rsid w:val="004D2548"/>
    <w:rsid w:val="004D25BC"/>
    <w:rsid w:val="004D35E8"/>
    <w:rsid w:val="004D3FF2"/>
    <w:rsid w:val="004D440B"/>
    <w:rsid w:val="004D4514"/>
    <w:rsid w:val="004D58BB"/>
    <w:rsid w:val="004D614C"/>
    <w:rsid w:val="004D6287"/>
    <w:rsid w:val="004D67FE"/>
    <w:rsid w:val="004D70EF"/>
    <w:rsid w:val="004D7151"/>
    <w:rsid w:val="004D7B94"/>
    <w:rsid w:val="004D7F0C"/>
    <w:rsid w:val="004E05B0"/>
    <w:rsid w:val="004E0A1B"/>
    <w:rsid w:val="004E0BB2"/>
    <w:rsid w:val="004E0D07"/>
    <w:rsid w:val="004E19E6"/>
    <w:rsid w:val="004E1DAE"/>
    <w:rsid w:val="004E24D7"/>
    <w:rsid w:val="004E25A6"/>
    <w:rsid w:val="004E2AA5"/>
    <w:rsid w:val="004E37BA"/>
    <w:rsid w:val="004E3A2A"/>
    <w:rsid w:val="004E45A3"/>
    <w:rsid w:val="004E465A"/>
    <w:rsid w:val="004E46F2"/>
    <w:rsid w:val="004E4CCA"/>
    <w:rsid w:val="004E4EC4"/>
    <w:rsid w:val="004E5336"/>
    <w:rsid w:val="004E56DB"/>
    <w:rsid w:val="004E5701"/>
    <w:rsid w:val="004E589C"/>
    <w:rsid w:val="004E5A52"/>
    <w:rsid w:val="004E6EB5"/>
    <w:rsid w:val="004E742F"/>
    <w:rsid w:val="004E78F8"/>
    <w:rsid w:val="004E7F28"/>
    <w:rsid w:val="004F006E"/>
    <w:rsid w:val="004F02A8"/>
    <w:rsid w:val="004F0697"/>
    <w:rsid w:val="004F0C87"/>
    <w:rsid w:val="004F0FDD"/>
    <w:rsid w:val="004F1310"/>
    <w:rsid w:val="004F2936"/>
    <w:rsid w:val="004F29A6"/>
    <w:rsid w:val="004F2C76"/>
    <w:rsid w:val="004F2CA7"/>
    <w:rsid w:val="004F33D5"/>
    <w:rsid w:val="004F4F42"/>
    <w:rsid w:val="004F5759"/>
    <w:rsid w:val="004F5CA8"/>
    <w:rsid w:val="004F5E32"/>
    <w:rsid w:val="004F62B4"/>
    <w:rsid w:val="004F6409"/>
    <w:rsid w:val="004F6475"/>
    <w:rsid w:val="004F6487"/>
    <w:rsid w:val="004F6D39"/>
    <w:rsid w:val="004F73BB"/>
    <w:rsid w:val="004F7405"/>
    <w:rsid w:val="004F74B5"/>
    <w:rsid w:val="004F7D1B"/>
    <w:rsid w:val="0050001C"/>
    <w:rsid w:val="005013CE"/>
    <w:rsid w:val="00501829"/>
    <w:rsid w:val="00501D8E"/>
    <w:rsid w:val="0050326B"/>
    <w:rsid w:val="005033C0"/>
    <w:rsid w:val="005043BF"/>
    <w:rsid w:val="005047DF"/>
    <w:rsid w:val="0050538E"/>
    <w:rsid w:val="0050566D"/>
    <w:rsid w:val="00505EA8"/>
    <w:rsid w:val="00505F1C"/>
    <w:rsid w:val="00507031"/>
    <w:rsid w:val="0050760C"/>
    <w:rsid w:val="00507947"/>
    <w:rsid w:val="005105AE"/>
    <w:rsid w:val="0051074C"/>
    <w:rsid w:val="0051134D"/>
    <w:rsid w:val="00511E90"/>
    <w:rsid w:val="00512856"/>
    <w:rsid w:val="00512B90"/>
    <w:rsid w:val="00512EC4"/>
    <w:rsid w:val="005137D4"/>
    <w:rsid w:val="00513E14"/>
    <w:rsid w:val="005144BA"/>
    <w:rsid w:val="00514BE8"/>
    <w:rsid w:val="005154C1"/>
    <w:rsid w:val="005162AB"/>
    <w:rsid w:val="005166B5"/>
    <w:rsid w:val="005167AA"/>
    <w:rsid w:val="00516D90"/>
    <w:rsid w:val="00517436"/>
    <w:rsid w:val="0052085E"/>
    <w:rsid w:val="00521122"/>
    <w:rsid w:val="005212DA"/>
    <w:rsid w:val="00522087"/>
    <w:rsid w:val="00522328"/>
    <w:rsid w:val="00522EF8"/>
    <w:rsid w:val="00523389"/>
    <w:rsid w:val="0052351B"/>
    <w:rsid w:val="00523A8E"/>
    <w:rsid w:val="00523DF5"/>
    <w:rsid w:val="0052479E"/>
    <w:rsid w:val="00524C76"/>
    <w:rsid w:val="005251AC"/>
    <w:rsid w:val="005252B6"/>
    <w:rsid w:val="00525E06"/>
    <w:rsid w:val="00527ECF"/>
    <w:rsid w:val="00527FE1"/>
    <w:rsid w:val="00530555"/>
    <w:rsid w:val="00531311"/>
    <w:rsid w:val="005313A9"/>
    <w:rsid w:val="00531B2F"/>
    <w:rsid w:val="00531C5F"/>
    <w:rsid w:val="00532159"/>
    <w:rsid w:val="00533E97"/>
    <w:rsid w:val="005344A8"/>
    <w:rsid w:val="0053555B"/>
    <w:rsid w:val="00535885"/>
    <w:rsid w:val="00535C24"/>
    <w:rsid w:val="00537329"/>
    <w:rsid w:val="00537394"/>
    <w:rsid w:val="00537626"/>
    <w:rsid w:val="00537E78"/>
    <w:rsid w:val="00541146"/>
    <w:rsid w:val="00541444"/>
    <w:rsid w:val="00541B67"/>
    <w:rsid w:val="0054250D"/>
    <w:rsid w:val="005426F5"/>
    <w:rsid w:val="00542814"/>
    <w:rsid w:val="00543084"/>
    <w:rsid w:val="0054354A"/>
    <w:rsid w:val="005439AE"/>
    <w:rsid w:val="00543D2F"/>
    <w:rsid w:val="00544E53"/>
    <w:rsid w:val="00545C1E"/>
    <w:rsid w:val="00545CC2"/>
    <w:rsid w:val="005461F8"/>
    <w:rsid w:val="00546238"/>
    <w:rsid w:val="0054645E"/>
    <w:rsid w:val="0054692F"/>
    <w:rsid w:val="00546BC2"/>
    <w:rsid w:val="00546C3B"/>
    <w:rsid w:val="005472BF"/>
    <w:rsid w:val="00547531"/>
    <w:rsid w:val="00547D3F"/>
    <w:rsid w:val="00550194"/>
    <w:rsid w:val="00550C9F"/>
    <w:rsid w:val="00550E97"/>
    <w:rsid w:val="00550FB2"/>
    <w:rsid w:val="00551024"/>
    <w:rsid w:val="00551CAC"/>
    <w:rsid w:val="00551D92"/>
    <w:rsid w:val="00552271"/>
    <w:rsid w:val="00552A11"/>
    <w:rsid w:val="0055304A"/>
    <w:rsid w:val="00553241"/>
    <w:rsid w:val="0055411F"/>
    <w:rsid w:val="005543D9"/>
    <w:rsid w:val="005553C3"/>
    <w:rsid w:val="00555887"/>
    <w:rsid w:val="00555F23"/>
    <w:rsid w:val="00556996"/>
    <w:rsid w:val="00556FC6"/>
    <w:rsid w:val="005577D9"/>
    <w:rsid w:val="0055791C"/>
    <w:rsid w:val="00557A30"/>
    <w:rsid w:val="0056051D"/>
    <w:rsid w:val="00561655"/>
    <w:rsid w:val="005617AA"/>
    <w:rsid w:val="00561DA8"/>
    <w:rsid w:val="00562CB2"/>
    <w:rsid w:val="00562E5E"/>
    <w:rsid w:val="00563193"/>
    <w:rsid w:val="00563311"/>
    <w:rsid w:val="00563897"/>
    <w:rsid w:val="00563FE7"/>
    <w:rsid w:val="005645D5"/>
    <w:rsid w:val="005647B2"/>
    <w:rsid w:val="0056574A"/>
    <w:rsid w:val="00565C2E"/>
    <w:rsid w:val="00565E9D"/>
    <w:rsid w:val="00565EAE"/>
    <w:rsid w:val="0056640E"/>
    <w:rsid w:val="005664C4"/>
    <w:rsid w:val="00567FE5"/>
    <w:rsid w:val="005703BC"/>
    <w:rsid w:val="005708A4"/>
    <w:rsid w:val="00570A70"/>
    <w:rsid w:val="00570FD2"/>
    <w:rsid w:val="00571186"/>
    <w:rsid w:val="005714EB"/>
    <w:rsid w:val="005719C4"/>
    <w:rsid w:val="00571D6D"/>
    <w:rsid w:val="00572128"/>
    <w:rsid w:val="005727FA"/>
    <w:rsid w:val="00572F46"/>
    <w:rsid w:val="00573005"/>
    <w:rsid w:val="005735BB"/>
    <w:rsid w:val="005746D9"/>
    <w:rsid w:val="00574A02"/>
    <w:rsid w:val="0057553C"/>
    <w:rsid w:val="00576363"/>
    <w:rsid w:val="005765C7"/>
    <w:rsid w:val="00576A54"/>
    <w:rsid w:val="00576AEC"/>
    <w:rsid w:val="00577121"/>
    <w:rsid w:val="0057779B"/>
    <w:rsid w:val="005777A9"/>
    <w:rsid w:val="005777B3"/>
    <w:rsid w:val="00577A75"/>
    <w:rsid w:val="00577DC6"/>
    <w:rsid w:val="00580D87"/>
    <w:rsid w:val="00581239"/>
    <w:rsid w:val="005816F4"/>
    <w:rsid w:val="005819BF"/>
    <w:rsid w:val="00581BDF"/>
    <w:rsid w:val="00581FA9"/>
    <w:rsid w:val="005829D6"/>
    <w:rsid w:val="00582A68"/>
    <w:rsid w:val="00582AB8"/>
    <w:rsid w:val="00583257"/>
    <w:rsid w:val="00583381"/>
    <w:rsid w:val="005837B8"/>
    <w:rsid w:val="0058396D"/>
    <w:rsid w:val="00583D00"/>
    <w:rsid w:val="00584681"/>
    <w:rsid w:val="00585174"/>
    <w:rsid w:val="00586C28"/>
    <w:rsid w:val="00586D2A"/>
    <w:rsid w:val="00587B48"/>
    <w:rsid w:val="005900CE"/>
    <w:rsid w:val="0059038C"/>
    <w:rsid w:val="0059091D"/>
    <w:rsid w:val="0059098B"/>
    <w:rsid w:val="00590C9C"/>
    <w:rsid w:val="00590CB1"/>
    <w:rsid w:val="00591240"/>
    <w:rsid w:val="0059207F"/>
    <w:rsid w:val="005921E2"/>
    <w:rsid w:val="0059260E"/>
    <w:rsid w:val="005928AA"/>
    <w:rsid w:val="00592C6C"/>
    <w:rsid w:val="00592EC7"/>
    <w:rsid w:val="00594E87"/>
    <w:rsid w:val="005950E5"/>
    <w:rsid w:val="00595594"/>
    <w:rsid w:val="0059621D"/>
    <w:rsid w:val="005966D1"/>
    <w:rsid w:val="00596973"/>
    <w:rsid w:val="00596F55"/>
    <w:rsid w:val="0059709E"/>
    <w:rsid w:val="00597309"/>
    <w:rsid w:val="00597CC9"/>
    <w:rsid w:val="005A012E"/>
    <w:rsid w:val="005A09EC"/>
    <w:rsid w:val="005A0B51"/>
    <w:rsid w:val="005A0FA0"/>
    <w:rsid w:val="005A0FF9"/>
    <w:rsid w:val="005A131D"/>
    <w:rsid w:val="005A1772"/>
    <w:rsid w:val="005A1A6D"/>
    <w:rsid w:val="005A2457"/>
    <w:rsid w:val="005A2533"/>
    <w:rsid w:val="005A2775"/>
    <w:rsid w:val="005A29F0"/>
    <w:rsid w:val="005A2BB9"/>
    <w:rsid w:val="005A2D40"/>
    <w:rsid w:val="005A3081"/>
    <w:rsid w:val="005A37AF"/>
    <w:rsid w:val="005A3B93"/>
    <w:rsid w:val="005A3C59"/>
    <w:rsid w:val="005A457F"/>
    <w:rsid w:val="005A4C76"/>
    <w:rsid w:val="005A4CD3"/>
    <w:rsid w:val="005A4F32"/>
    <w:rsid w:val="005A5753"/>
    <w:rsid w:val="005A5857"/>
    <w:rsid w:val="005A5900"/>
    <w:rsid w:val="005A5F99"/>
    <w:rsid w:val="005A6458"/>
    <w:rsid w:val="005A6F7C"/>
    <w:rsid w:val="005B06F5"/>
    <w:rsid w:val="005B132F"/>
    <w:rsid w:val="005B15EB"/>
    <w:rsid w:val="005B18B2"/>
    <w:rsid w:val="005B1B45"/>
    <w:rsid w:val="005B27FA"/>
    <w:rsid w:val="005B38E7"/>
    <w:rsid w:val="005B3BE0"/>
    <w:rsid w:val="005B3D71"/>
    <w:rsid w:val="005B40A6"/>
    <w:rsid w:val="005B42D0"/>
    <w:rsid w:val="005B44B8"/>
    <w:rsid w:val="005B4732"/>
    <w:rsid w:val="005B4D9D"/>
    <w:rsid w:val="005B543F"/>
    <w:rsid w:val="005B599B"/>
    <w:rsid w:val="005B5B20"/>
    <w:rsid w:val="005B5DA8"/>
    <w:rsid w:val="005B5DD0"/>
    <w:rsid w:val="005B6739"/>
    <w:rsid w:val="005B720D"/>
    <w:rsid w:val="005B722F"/>
    <w:rsid w:val="005B7475"/>
    <w:rsid w:val="005B78ED"/>
    <w:rsid w:val="005B7933"/>
    <w:rsid w:val="005C0180"/>
    <w:rsid w:val="005C01B7"/>
    <w:rsid w:val="005C0DD8"/>
    <w:rsid w:val="005C1574"/>
    <w:rsid w:val="005C1798"/>
    <w:rsid w:val="005C1D7A"/>
    <w:rsid w:val="005C2467"/>
    <w:rsid w:val="005C3EAD"/>
    <w:rsid w:val="005C3F6D"/>
    <w:rsid w:val="005C4C8C"/>
    <w:rsid w:val="005C4DFF"/>
    <w:rsid w:val="005C529E"/>
    <w:rsid w:val="005C57B2"/>
    <w:rsid w:val="005C5A47"/>
    <w:rsid w:val="005C5C23"/>
    <w:rsid w:val="005C5C47"/>
    <w:rsid w:val="005C6B50"/>
    <w:rsid w:val="005C6BCB"/>
    <w:rsid w:val="005C7218"/>
    <w:rsid w:val="005C7A2C"/>
    <w:rsid w:val="005D1B9F"/>
    <w:rsid w:val="005D242C"/>
    <w:rsid w:val="005D24AD"/>
    <w:rsid w:val="005D2568"/>
    <w:rsid w:val="005D25E6"/>
    <w:rsid w:val="005D28CB"/>
    <w:rsid w:val="005D2A79"/>
    <w:rsid w:val="005D2DDC"/>
    <w:rsid w:val="005D3004"/>
    <w:rsid w:val="005D3243"/>
    <w:rsid w:val="005D34CB"/>
    <w:rsid w:val="005D360B"/>
    <w:rsid w:val="005D3D39"/>
    <w:rsid w:val="005D3F96"/>
    <w:rsid w:val="005D409F"/>
    <w:rsid w:val="005D674A"/>
    <w:rsid w:val="005D787E"/>
    <w:rsid w:val="005D7C39"/>
    <w:rsid w:val="005D7F50"/>
    <w:rsid w:val="005D7FF1"/>
    <w:rsid w:val="005E07C2"/>
    <w:rsid w:val="005E0DB6"/>
    <w:rsid w:val="005E0FCF"/>
    <w:rsid w:val="005E1217"/>
    <w:rsid w:val="005E1240"/>
    <w:rsid w:val="005E13DF"/>
    <w:rsid w:val="005E20B2"/>
    <w:rsid w:val="005E2140"/>
    <w:rsid w:val="005E23B3"/>
    <w:rsid w:val="005E2979"/>
    <w:rsid w:val="005E2B8D"/>
    <w:rsid w:val="005E32C4"/>
    <w:rsid w:val="005E3360"/>
    <w:rsid w:val="005E387D"/>
    <w:rsid w:val="005E3B75"/>
    <w:rsid w:val="005E3D15"/>
    <w:rsid w:val="005E4066"/>
    <w:rsid w:val="005E4104"/>
    <w:rsid w:val="005E422A"/>
    <w:rsid w:val="005E4481"/>
    <w:rsid w:val="005E47E6"/>
    <w:rsid w:val="005E4C65"/>
    <w:rsid w:val="005E4F71"/>
    <w:rsid w:val="005E5259"/>
    <w:rsid w:val="005E5486"/>
    <w:rsid w:val="005E5956"/>
    <w:rsid w:val="005E5A49"/>
    <w:rsid w:val="005E5F36"/>
    <w:rsid w:val="005E630B"/>
    <w:rsid w:val="005E6350"/>
    <w:rsid w:val="005E646C"/>
    <w:rsid w:val="005E706D"/>
    <w:rsid w:val="005E7988"/>
    <w:rsid w:val="005E7989"/>
    <w:rsid w:val="005E7B63"/>
    <w:rsid w:val="005F04AE"/>
    <w:rsid w:val="005F076D"/>
    <w:rsid w:val="005F0F34"/>
    <w:rsid w:val="005F159E"/>
    <w:rsid w:val="005F1B7D"/>
    <w:rsid w:val="005F27E9"/>
    <w:rsid w:val="005F2946"/>
    <w:rsid w:val="005F3342"/>
    <w:rsid w:val="005F348D"/>
    <w:rsid w:val="005F34C6"/>
    <w:rsid w:val="005F3980"/>
    <w:rsid w:val="005F3C6F"/>
    <w:rsid w:val="005F4318"/>
    <w:rsid w:val="005F4C3C"/>
    <w:rsid w:val="005F4F8E"/>
    <w:rsid w:val="005F5018"/>
    <w:rsid w:val="005F54A4"/>
    <w:rsid w:val="005F5878"/>
    <w:rsid w:val="005F5FCE"/>
    <w:rsid w:val="005F6062"/>
    <w:rsid w:val="005F7076"/>
    <w:rsid w:val="005F71D1"/>
    <w:rsid w:val="005F7443"/>
    <w:rsid w:val="005F77C2"/>
    <w:rsid w:val="00600139"/>
    <w:rsid w:val="0060035F"/>
    <w:rsid w:val="00601980"/>
    <w:rsid w:val="00601DD2"/>
    <w:rsid w:val="00603D7D"/>
    <w:rsid w:val="00603D9D"/>
    <w:rsid w:val="00603EA7"/>
    <w:rsid w:val="00604694"/>
    <w:rsid w:val="00605284"/>
    <w:rsid w:val="0060588C"/>
    <w:rsid w:val="00605A1A"/>
    <w:rsid w:val="0060608B"/>
    <w:rsid w:val="0060617E"/>
    <w:rsid w:val="00606265"/>
    <w:rsid w:val="006064DF"/>
    <w:rsid w:val="00606BC2"/>
    <w:rsid w:val="00607096"/>
    <w:rsid w:val="00607205"/>
    <w:rsid w:val="006074E4"/>
    <w:rsid w:val="00607EE6"/>
    <w:rsid w:val="0061089C"/>
    <w:rsid w:val="006108A5"/>
    <w:rsid w:val="006109FE"/>
    <w:rsid w:val="00610A52"/>
    <w:rsid w:val="00610DBA"/>
    <w:rsid w:val="00611255"/>
    <w:rsid w:val="006112D1"/>
    <w:rsid w:val="006112FA"/>
    <w:rsid w:val="0061187A"/>
    <w:rsid w:val="0061306A"/>
    <w:rsid w:val="00613BD1"/>
    <w:rsid w:val="00613DA2"/>
    <w:rsid w:val="0061479F"/>
    <w:rsid w:val="00614A9D"/>
    <w:rsid w:val="00614FDA"/>
    <w:rsid w:val="0061507B"/>
    <w:rsid w:val="00615FE2"/>
    <w:rsid w:val="00617134"/>
    <w:rsid w:val="00617519"/>
    <w:rsid w:val="006177F8"/>
    <w:rsid w:val="00617EBD"/>
    <w:rsid w:val="00620205"/>
    <w:rsid w:val="006211C6"/>
    <w:rsid w:val="00621F23"/>
    <w:rsid w:val="006223E9"/>
    <w:rsid w:val="006228DF"/>
    <w:rsid w:val="00622A62"/>
    <w:rsid w:val="00622D42"/>
    <w:rsid w:val="00622F63"/>
    <w:rsid w:val="00623141"/>
    <w:rsid w:val="0062324C"/>
    <w:rsid w:val="00623402"/>
    <w:rsid w:val="00623473"/>
    <w:rsid w:val="00623F5C"/>
    <w:rsid w:val="006246F6"/>
    <w:rsid w:val="00624A43"/>
    <w:rsid w:val="00624B34"/>
    <w:rsid w:val="00625232"/>
    <w:rsid w:val="006257B0"/>
    <w:rsid w:val="00625B93"/>
    <w:rsid w:val="00626511"/>
    <w:rsid w:val="00626AD6"/>
    <w:rsid w:val="006278CE"/>
    <w:rsid w:val="006278F3"/>
    <w:rsid w:val="00627ABD"/>
    <w:rsid w:val="00627BD9"/>
    <w:rsid w:val="006308E9"/>
    <w:rsid w:val="00630FF7"/>
    <w:rsid w:val="006311E2"/>
    <w:rsid w:val="006319D4"/>
    <w:rsid w:val="00631E53"/>
    <w:rsid w:val="00631E8F"/>
    <w:rsid w:val="006320E0"/>
    <w:rsid w:val="006329CA"/>
    <w:rsid w:val="00632A29"/>
    <w:rsid w:val="00632D84"/>
    <w:rsid w:val="00632FFD"/>
    <w:rsid w:val="006332F1"/>
    <w:rsid w:val="00633563"/>
    <w:rsid w:val="006336EB"/>
    <w:rsid w:val="00633F74"/>
    <w:rsid w:val="00633FE8"/>
    <w:rsid w:val="006344CE"/>
    <w:rsid w:val="00634695"/>
    <w:rsid w:val="006349CA"/>
    <w:rsid w:val="00634A15"/>
    <w:rsid w:val="00634B77"/>
    <w:rsid w:val="00634CB1"/>
    <w:rsid w:val="00634FEE"/>
    <w:rsid w:val="006352F8"/>
    <w:rsid w:val="00635865"/>
    <w:rsid w:val="0063610E"/>
    <w:rsid w:val="00636271"/>
    <w:rsid w:val="006362FB"/>
    <w:rsid w:val="006366B9"/>
    <w:rsid w:val="00636A25"/>
    <w:rsid w:val="006370FF"/>
    <w:rsid w:val="00637180"/>
    <w:rsid w:val="006373F2"/>
    <w:rsid w:val="006377AF"/>
    <w:rsid w:val="0063789C"/>
    <w:rsid w:val="00640264"/>
    <w:rsid w:val="00640753"/>
    <w:rsid w:val="00640BD7"/>
    <w:rsid w:val="00641048"/>
    <w:rsid w:val="006410C3"/>
    <w:rsid w:val="006416C7"/>
    <w:rsid w:val="00642589"/>
    <w:rsid w:val="0064258B"/>
    <w:rsid w:val="0064321C"/>
    <w:rsid w:val="00643454"/>
    <w:rsid w:val="00643C5A"/>
    <w:rsid w:val="00644B0B"/>
    <w:rsid w:val="00645350"/>
    <w:rsid w:val="006454AA"/>
    <w:rsid w:val="00645BE2"/>
    <w:rsid w:val="00645C50"/>
    <w:rsid w:val="00645C54"/>
    <w:rsid w:val="006460D1"/>
    <w:rsid w:val="006465A5"/>
    <w:rsid w:val="00646623"/>
    <w:rsid w:val="00647D71"/>
    <w:rsid w:val="00647F44"/>
    <w:rsid w:val="006502FA"/>
    <w:rsid w:val="0065099F"/>
    <w:rsid w:val="00650BCC"/>
    <w:rsid w:val="00651284"/>
    <w:rsid w:val="00651470"/>
    <w:rsid w:val="0065234C"/>
    <w:rsid w:val="006527B0"/>
    <w:rsid w:val="00652AEF"/>
    <w:rsid w:val="006530E4"/>
    <w:rsid w:val="00653610"/>
    <w:rsid w:val="00653D8D"/>
    <w:rsid w:val="00653D8E"/>
    <w:rsid w:val="00653E18"/>
    <w:rsid w:val="006544E8"/>
    <w:rsid w:val="00654CC0"/>
    <w:rsid w:val="006557D6"/>
    <w:rsid w:val="00655A79"/>
    <w:rsid w:val="00655AFF"/>
    <w:rsid w:val="00655FEA"/>
    <w:rsid w:val="0065629B"/>
    <w:rsid w:val="00656424"/>
    <w:rsid w:val="006566B9"/>
    <w:rsid w:val="00657140"/>
    <w:rsid w:val="00657786"/>
    <w:rsid w:val="0065778A"/>
    <w:rsid w:val="00657B82"/>
    <w:rsid w:val="006604FC"/>
    <w:rsid w:val="00660EF6"/>
    <w:rsid w:val="0066180B"/>
    <w:rsid w:val="0066196C"/>
    <w:rsid w:val="00661A7B"/>
    <w:rsid w:val="00661AFC"/>
    <w:rsid w:val="00661B4D"/>
    <w:rsid w:val="00661D6A"/>
    <w:rsid w:val="0066225E"/>
    <w:rsid w:val="006624D4"/>
    <w:rsid w:val="00662663"/>
    <w:rsid w:val="0066267E"/>
    <w:rsid w:val="0066269A"/>
    <w:rsid w:val="00662BC9"/>
    <w:rsid w:val="00662DD6"/>
    <w:rsid w:val="00663A3C"/>
    <w:rsid w:val="00663E6B"/>
    <w:rsid w:val="0066409A"/>
    <w:rsid w:val="0066478A"/>
    <w:rsid w:val="006647F6"/>
    <w:rsid w:val="0066496F"/>
    <w:rsid w:val="00664A95"/>
    <w:rsid w:val="00664F08"/>
    <w:rsid w:val="006654CD"/>
    <w:rsid w:val="00665C9A"/>
    <w:rsid w:val="00665D16"/>
    <w:rsid w:val="0066604D"/>
    <w:rsid w:val="006664EA"/>
    <w:rsid w:val="00666914"/>
    <w:rsid w:val="00666AB5"/>
    <w:rsid w:val="00666FD7"/>
    <w:rsid w:val="00667B22"/>
    <w:rsid w:val="00667EBE"/>
    <w:rsid w:val="00670643"/>
    <w:rsid w:val="0067094B"/>
    <w:rsid w:val="00670F62"/>
    <w:rsid w:val="006710C1"/>
    <w:rsid w:val="006716A4"/>
    <w:rsid w:val="00672575"/>
    <w:rsid w:val="0067304E"/>
    <w:rsid w:val="006730BB"/>
    <w:rsid w:val="0067381A"/>
    <w:rsid w:val="006745E5"/>
    <w:rsid w:val="00674CF6"/>
    <w:rsid w:val="00674FE1"/>
    <w:rsid w:val="006758A3"/>
    <w:rsid w:val="00675CB5"/>
    <w:rsid w:val="006765DB"/>
    <w:rsid w:val="006766FA"/>
    <w:rsid w:val="00676B02"/>
    <w:rsid w:val="00676FA5"/>
    <w:rsid w:val="00677A0E"/>
    <w:rsid w:val="00681181"/>
    <w:rsid w:val="0068175A"/>
    <w:rsid w:val="00682099"/>
    <w:rsid w:val="00682A71"/>
    <w:rsid w:val="00682ECF"/>
    <w:rsid w:val="00683262"/>
    <w:rsid w:val="00683429"/>
    <w:rsid w:val="006849ED"/>
    <w:rsid w:val="006854BA"/>
    <w:rsid w:val="0068550A"/>
    <w:rsid w:val="00685A22"/>
    <w:rsid w:val="00686099"/>
    <w:rsid w:val="0068611A"/>
    <w:rsid w:val="00686397"/>
    <w:rsid w:val="006863FB"/>
    <w:rsid w:val="00686648"/>
    <w:rsid w:val="00686AF5"/>
    <w:rsid w:val="006870E1"/>
    <w:rsid w:val="00687166"/>
    <w:rsid w:val="00687A9A"/>
    <w:rsid w:val="00690092"/>
    <w:rsid w:val="00690EA0"/>
    <w:rsid w:val="006916AC"/>
    <w:rsid w:val="00691ACF"/>
    <w:rsid w:val="0069241F"/>
    <w:rsid w:val="00692BC1"/>
    <w:rsid w:val="0069376A"/>
    <w:rsid w:val="0069415C"/>
    <w:rsid w:val="0069445A"/>
    <w:rsid w:val="00694D8A"/>
    <w:rsid w:val="00694F3D"/>
    <w:rsid w:val="0069564E"/>
    <w:rsid w:val="00695884"/>
    <w:rsid w:val="00695B8B"/>
    <w:rsid w:val="00695C8A"/>
    <w:rsid w:val="006969F3"/>
    <w:rsid w:val="0069776B"/>
    <w:rsid w:val="006A005B"/>
    <w:rsid w:val="006A01A0"/>
    <w:rsid w:val="006A076D"/>
    <w:rsid w:val="006A0D04"/>
    <w:rsid w:val="006A0EC0"/>
    <w:rsid w:val="006A18B6"/>
    <w:rsid w:val="006A1AB2"/>
    <w:rsid w:val="006A1EBA"/>
    <w:rsid w:val="006A1EDC"/>
    <w:rsid w:val="006A2175"/>
    <w:rsid w:val="006A2823"/>
    <w:rsid w:val="006A2D11"/>
    <w:rsid w:val="006A30C0"/>
    <w:rsid w:val="006A4342"/>
    <w:rsid w:val="006A4D07"/>
    <w:rsid w:val="006A581A"/>
    <w:rsid w:val="006A5839"/>
    <w:rsid w:val="006A5B0F"/>
    <w:rsid w:val="006A5C51"/>
    <w:rsid w:val="006A5ED6"/>
    <w:rsid w:val="006A5FF3"/>
    <w:rsid w:val="006A6277"/>
    <w:rsid w:val="006A658F"/>
    <w:rsid w:val="006A6A66"/>
    <w:rsid w:val="006A6CEB"/>
    <w:rsid w:val="006A7195"/>
    <w:rsid w:val="006A74E0"/>
    <w:rsid w:val="006A7F5E"/>
    <w:rsid w:val="006B010D"/>
    <w:rsid w:val="006B0A19"/>
    <w:rsid w:val="006B0A6F"/>
    <w:rsid w:val="006B0F04"/>
    <w:rsid w:val="006B0F54"/>
    <w:rsid w:val="006B1C66"/>
    <w:rsid w:val="006B1F45"/>
    <w:rsid w:val="006B20EE"/>
    <w:rsid w:val="006B2CD4"/>
    <w:rsid w:val="006B342C"/>
    <w:rsid w:val="006B3A6E"/>
    <w:rsid w:val="006B3CE2"/>
    <w:rsid w:val="006B42C1"/>
    <w:rsid w:val="006B4826"/>
    <w:rsid w:val="006B4C24"/>
    <w:rsid w:val="006B525B"/>
    <w:rsid w:val="006B5B8D"/>
    <w:rsid w:val="006B6B8D"/>
    <w:rsid w:val="006B6EE1"/>
    <w:rsid w:val="006B7528"/>
    <w:rsid w:val="006B7741"/>
    <w:rsid w:val="006B7D75"/>
    <w:rsid w:val="006C0DA4"/>
    <w:rsid w:val="006C128D"/>
    <w:rsid w:val="006C1614"/>
    <w:rsid w:val="006C1813"/>
    <w:rsid w:val="006C18C6"/>
    <w:rsid w:val="006C1B7E"/>
    <w:rsid w:val="006C1D8C"/>
    <w:rsid w:val="006C1E2B"/>
    <w:rsid w:val="006C2264"/>
    <w:rsid w:val="006C24A3"/>
    <w:rsid w:val="006C29CB"/>
    <w:rsid w:val="006C29F8"/>
    <w:rsid w:val="006C3BC2"/>
    <w:rsid w:val="006C3C0A"/>
    <w:rsid w:val="006C51D5"/>
    <w:rsid w:val="006C5838"/>
    <w:rsid w:val="006C5B14"/>
    <w:rsid w:val="006C60B8"/>
    <w:rsid w:val="006C6D40"/>
    <w:rsid w:val="006C77E7"/>
    <w:rsid w:val="006D02B2"/>
    <w:rsid w:val="006D060A"/>
    <w:rsid w:val="006D0621"/>
    <w:rsid w:val="006D0EE9"/>
    <w:rsid w:val="006D0F9E"/>
    <w:rsid w:val="006D11F9"/>
    <w:rsid w:val="006D1DCA"/>
    <w:rsid w:val="006D1E49"/>
    <w:rsid w:val="006D2553"/>
    <w:rsid w:val="006D2724"/>
    <w:rsid w:val="006D3564"/>
    <w:rsid w:val="006D35F7"/>
    <w:rsid w:val="006D3B64"/>
    <w:rsid w:val="006D3CEC"/>
    <w:rsid w:val="006D40D1"/>
    <w:rsid w:val="006D432E"/>
    <w:rsid w:val="006D43A9"/>
    <w:rsid w:val="006D43C2"/>
    <w:rsid w:val="006D4BB0"/>
    <w:rsid w:val="006D4C05"/>
    <w:rsid w:val="006D4F61"/>
    <w:rsid w:val="006D5297"/>
    <w:rsid w:val="006D584D"/>
    <w:rsid w:val="006D5883"/>
    <w:rsid w:val="006D589E"/>
    <w:rsid w:val="006D5B0E"/>
    <w:rsid w:val="006D6746"/>
    <w:rsid w:val="006D68BC"/>
    <w:rsid w:val="006D6929"/>
    <w:rsid w:val="006D70FB"/>
    <w:rsid w:val="006D7507"/>
    <w:rsid w:val="006D7686"/>
    <w:rsid w:val="006D76D3"/>
    <w:rsid w:val="006D7ECC"/>
    <w:rsid w:val="006E009F"/>
    <w:rsid w:val="006E0307"/>
    <w:rsid w:val="006E073C"/>
    <w:rsid w:val="006E0918"/>
    <w:rsid w:val="006E0A27"/>
    <w:rsid w:val="006E0A53"/>
    <w:rsid w:val="006E1158"/>
    <w:rsid w:val="006E1CF4"/>
    <w:rsid w:val="006E21F1"/>
    <w:rsid w:val="006E3CCD"/>
    <w:rsid w:val="006E47B2"/>
    <w:rsid w:val="006E47FE"/>
    <w:rsid w:val="006E4894"/>
    <w:rsid w:val="006E5EFE"/>
    <w:rsid w:val="006E6044"/>
    <w:rsid w:val="006E70B1"/>
    <w:rsid w:val="006E7560"/>
    <w:rsid w:val="006E7B59"/>
    <w:rsid w:val="006E7E32"/>
    <w:rsid w:val="006E7E50"/>
    <w:rsid w:val="006F0406"/>
    <w:rsid w:val="006F0895"/>
    <w:rsid w:val="006F09FB"/>
    <w:rsid w:val="006F0AFA"/>
    <w:rsid w:val="006F0B31"/>
    <w:rsid w:val="006F0DF3"/>
    <w:rsid w:val="006F165A"/>
    <w:rsid w:val="006F1B52"/>
    <w:rsid w:val="006F23ED"/>
    <w:rsid w:val="006F27A6"/>
    <w:rsid w:val="006F2805"/>
    <w:rsid w:val="006F3801"/>
    <w:rsid w:val="006F392B"/>
    <w:rsid w:val="006F39A4"/>
    <w:rsid w:val="006F42DE"/>
    <w:rsid w:val="006F4388"/>
    <w:rsid w:val="006F460A"/>
    <w:rsid w:val="006F4C93"/>
    <w:rsid w:val="006F4E77"/>
    <w:rsid w:val="006F51A4"/>
    <w:rsid w:val="006F5561"/>
    <w:rsid w:val="006F64F5"/>
    <w:rsid w:val="006F6AA4"/>
    <w:rsid w:val="006F7119"/>
    <w:rsid w:val="006F75A3"/>
    <w:rsid w:val="006F7B0D"/>
    <w:rsid w:val="0070033C"/>
    <w:rsid w:val="007004FE"/>
    <w:rsid w:val="0070112F"/>
    <w:rsid w:val="00701345"/>
    <w:rsid w:val="00701409"/>
    <w:rsid w:val="007016A4"/>
    <w:rsid w:val="007016C5"/>
    <w:rsid w:val="00701969"/>
    <w:rsid w:val="00701A83"/>
    <w:rsid w:val="00701B4D"/>
    <w:rsid w:val="00702171"/>
    <w:rsid w:val="00702292"/>
    <w:rsid w:val="00704426"/>
    <w:rsid w:val="007045CD"/>
    <w:rsid w:val="00704986"/>
    <w:rsid w:val="00705B33"/>
    <w:rsid w:val="00705F69"/>
    <w:rsid w:val="0070615E"/>
    <w:rsid w:val="00706C4B"/>
    <w:rsid w:val="00707999"/>
    <w:rsid w:val="00707CE9"/>
    <w:rsid w:val="00710A58"/>
    <w:rsid w:val="00710D45"/>
    <w:rsid w:val="007110A0"/>
    <w:rsid w:val="007116AC"/>
    <w:rsid w:val="007116E6"/>
    <w:rsid w:val="007121BE"/>
    <w:rsid w:val="007124A2"/>
    <w:rsid w:val="0071264D"/>
    <w:rsid w:val="007127A1"/>
    <w:rsid w:val="00712859"/>
    <w:rsid w:val="00712DAF"/>
    <w:rsid w:val="007133ED"/>
    <w:rsid w:val="007137BE"/>
    <w:rsid w:val="00713CBC"/>
    <w:rsid w:val="00713DA7"/>
    <w:rsid w:val="0071460F"/>
    <w:rsid w:val="00714A50"/>
    <w:rsid w:val="00714FF3"/>
    <w:rsid w:val="00715401"/>
    <w:rsid w:val="00715488"/>
    <w:rsid w:val="007157A8"/>
    <w:rsid w:val="007164DC"/>
    <w:rsid w:val="0071744C"/>
    <w:rsid w:val="00717681"/>
    <w:rsid w:val="007211A7"/>
    <w:rsid w:val="00722584"/>
    <w:rsid w:val="00722977"/>
    <w:rsid w:val="00722BCA"/>
    <w:rsid w:val="007230D6"/>
    <w:rsid w:val="00723DC0"/>
    <w:rsid w:val="00723E4B"/>
    <w:rsid w:val="00723EA6"/>
    <w:rsid w:val="00724127"/>
    <w:rsid w:val="00724137"/>
    <w:rsid w:val="00724553"/>
    <w:rsid w:val="007253AE"/>
    <w:rsid w:val="0072563F"/>
    <w:rsid w:val="007256D1"/>
    <w:rsid w:val="00726BB2"/>
    <w:rsid w:val="00727292"/>
    <w:rsid w:val="00727938"/>
    <w:rsid w:val="0073024C"/>
    <w:rsid w:val="007305DB"/>
    <w:rsid w:val="007306DE"/>
    <w:rsid w:val="0073075B"/>
    <w:rsid w:val="00730CA4"/>
    <w:rsid w:val="007312DE"/>
    <w:rsid w:val="007318C7"/>
    <w:rsid w:val="00732CFA"/>
    <w:rsid w:val="00732E2C"/>
    <w:rsid w:val="00733398"/>
    <w:rsid w:val="00733FCE"/>
    <w:rsid w:val="00734468"/>
    <w:rsid w:val="00735ECF"/>
    <w:rsid w:val="007363EF"/>
    <w:rsid w:val="007368A2"/>
    <w:rsid w:val="00736A2B"/>
    <w:rsid w:val="00736DE9"/>
    <w:rsid w:val="00736EF6"/>
    <w:rsid w:val="00736FF9"/>
    <w:rsid w:val="00737329"/>
    <w:rsid w:val="00740511"/>
    <w:rsid w:val="00740E93"/>
    <w:rsid w:val="007416CE"/>
    <w:rsid w:val="00742439"/>
    <w:rsid w:val="007424E5"/>
    <w:rsid w:val="00743A10"/>
    <w:rsid w:val="00743A94"/>
    <w:rsid w:val="00743F24"/>
    <w:rsid w:val="007442C7"/>
    <w:rsid w:val="00744772"/>
    <w:rsid w:val="00744A07"/>
    <w:rsid w:val="00744F44"/>
    <w:rsid w:val="00744FC6"/>
    <w:rsid w:val="0074507E"/>
    <w:rsid w:val="0074555A"/>
    <w:rsid w:val="00745BB5"/>
    <w:rsid w:val="00745E7B"/>
    <w:rsid w:val="007465A9"/>
    <w:rsid w:val="007466D8"/>
    <w:rsid w:val="007479E2"/>
    <w:rsid w:val="00747A23"/>
    <w:rsid w:val="00747AB1"/>
    <w:rsid w:val="00750DF1"/>
    <w:rsid w:val="00750ED6"/>
    <w:rsid w:val="00751A42"/>
    <w:rsid w:val="00751C2A"/>
    <w:rsid w:val="00752187"/>
    <w:rsid w:val="00752C59"/>
    <w:rsid w:val="00753C6F"/>
    <w:rsid w:val="00753E0F"/>
    <w:rsid w:val="00754040"/>
    <w:rsid w:val="007542D5"/>
    <w:rsid w:val="00754A0D"/>
    <w:rsid w:val="00754ACE"/>
    <w:rsid w:val="007552C1"/>
    <w:rsid w:val="00755D97"/>
    <w:rsid w:val="00755E0A"/>
    <w:rsid w:val="007562E2"/>
    <w:rsid w:val="00756380"/>
    <w:rsid w:val="007563CC"/>
    <w:rsid w:val="007568B2"/>
    <w:rsid w:val="00756E74"/>
    <w:rsid w:val="00756F28"/>
    <w:rsid w:val="007572F4"/>
    <w:rsid w:val="00757792"/>
    <w:rsid w:val="007577C2"/>
    <w:rsid w:val="007578FE"/>
    <w:rsid w:val="0076016D"/>
    <w:rsid w:val="00760260"/>
    <w:rsid w:val="007607AF"/>
    <w:rsid w:val="00760ABD"/>
    <w:rsid w:val="00760F6D"/>
    <w:rsid w:val="00760F71"/>
    <w:rsid w:val="0076101B"/>
    <w:rsid w:val="007613E6"/>
    <w:rsid w:val="0076216C"/>
    <w:rsid w:val="007623CA"/>
    <w:rsid w:val="00762F2B"/>
    <w:rsid w:val="0076328E"/>
    <w:rsid w:val="00763326"/>
    <w:rsid w:val="0076336E"/>
    <w:rsid w:val="00763F84"/>
    <w:rsid w:val="0076500F"/>
    <w:rsid w:val="0076501F"/>
    <w:rsid w:val="0076561E"/>
    <w:rsid w:val="00766154"/>
    <w:rsid w:val="007661B0"/>
    <w:rsid w:val="00766BA1"/>
    <w:rsid w:val="00766DEC"/>
    <w:rsid w:val="00766E37"/>
    <w:rsid w:val="00767206"/>
    <w:rsid w:val="007713EC"/>
    <w:rsid w:val="007719A4"/>
    <w:rsid w:val="00771CC4"/>
    <w:rsid w:val="00772605"/>
    <w:rsid w:val="00772C7E"/>
    <w:rsid w:val="00773215"/>
    <w:rsid w:val="00773353"/>
    <w:rsid w:val="00773B01"/>
    <w:rsid w:val="007742A2"/>
    <w:rsid w:val="00774993"/>
    <w:rsid w:val="00774E7A"/>
    <w:rsid w:val="00774F56"/>
    <w:rsid w:val="00775ABB"/>
    <w:rsid w:val="00775CDB"/>
    <w:rsid w:val="0077607C"/>
    <w:rsid w:val="007763A6"/>
    <w:rsid w:val="00776EDF"/>
    <w:rsid w:val="00777151"/>
    <w:rsid w:val="007775C2"/>
    <w:rsid w:val="007779D9"/>
    <w:rsid w:val="00777BCE"/>
    <w:rsid w:val="00780004"/>
    <w:rsid w:val="007801C3"/>
    <w:rsid w:val="00780A45"/>
    <w:rsid w:val="00781461"/>
    <w:rsid w:val="0078173E"/>
    <w:rsid w:val="00781A63"/>
    <w:rsid w:val="0078237B"/>
    <w:rsid w:val="007827A0"/>
    <w:rsid w:val="00783059"/>
    <w:rsid w:val="00783842"/>
    <w:rsid w:val="007838B2"/>
    <w:rsid w:val="00783C8D"/>
    <w:rsid w:val="00783CFB"/>
    <w:rsid w:val="00783E6A"/>
    <w:rsid w:val="00786676"/>
    <w:rsid w:val="007867E9"/>
    <w:rsid w:val="007874F0"/>
    <w:rsid w:val="007876E3"/>
    <w:rsid w:val="00790A2E"/>
    <w:rsid w:val="00791BC5"/>
    <w:rsid w:val="007926BA"/>
    <w:rsid w:val="007928AD"/>
    <w:rsid w:val="007929D1"/>
    <w:rsid w:val="0079304D"/>
    <w:rsid w:val="007938EF"/>
    <w:rsid w:val="00793A8D"/>
    <w:rsid w:val="00793F01"/>
    <w:rsid w:val="00794578"/>
    <w:rsid w:val="00794724"/>
    <w:rsid w:val="00794C4A"/>
    <w:rsid w:val="00795250"/>
    <w:rsid w:val="0079574E"/>
    <w:rsid w:val="00795C42"/>
    <w:rsid w:val="00795EC0"/>
    <w:rsid w:val="00795FCC"/>
    <w:rsid w:val="007968CE"/>
    <w:rsid w:val="00796963"/>
    <w:rsid w:val="00796B35"/>
    <w:rsid w:val="00796F86"/>
    <w:rsid w:val="007971C2"/>
    <w:rsid w:val="007976AA"/>
    <w:rsid w:val="00797E39"/>
    <w:rsid w:val="007A0174"/>
    <w:rsid w:val="007A092F"/>
    <w:rsid w:val="007A0B2E"/>
    <w:rsid w:val="007A0BB2"/>
    <w:rsid w:val="007A156B"/>
    <w:rsid w:val="007A15D4"/>
    <w:rsid w:val="007A17C5"/>
    <w:rsid w:val="007A1FD4"/>
    <w:rsid w:val="007A1FE2"/>
    <w:rsid w:val="007A293C"/>
    <w:rsid w:val="007A313A"/>
    <w:rsid w:val="007A3210"/>
    <w:rsid w:val="007A3329"/>
    <w:rsid w:val="007A3727"/>
    <w:rsid w:val="007A38A0"/>
    <w:rsid w:val="007A3BEE"/>
    <w:rsid w:val="007A3E48"/>
    <w:rsid w:val="007A5131"/>
    <w:rsid w:val="007A5169"/>
    <w:rsid w:val="007A5860"/>
    <w:rsid w:val="007A5BEB"/>
    <w:rsid w:val="007A672C"/>
    <w:rsid w:val="007A6D9D"/>
    <w:rsid w:val="007A7954"/>
    <w:rsid w:val="007A7AD9"/>
    <w:rsid w:val="007B000A"/>
    <w:rsid w:val="007B12F9"/>
    <w:rsid w:val="007B27FF"/>
    <w:rsid w:val="007B2C34"/>
    <w:rsid w:val="007B3A60"/>
    <w:rsid w:val="007B3BDE"/>
    <w:rsid w:val="007B3DEC"/>
    <w:rsid w:val="007B4019"/>
    <w:rsid w:val="007B4949"/>
    <w:rsid w:val="007B4FA8"/>
    <w:rsid w:val="007B66A0"/>
    <w:rsid w:val="007B6C5C"/>
    <w:rsid w:val="007B6E4E"/>
    <w:rsid w:val="007B71E9"/>
    <w:rsid w:val="007C16D1"/>
    <w:rsid w:val="007C1702"/>
    <w:rsid w:val="007C1BC2"/>
    <w:rsid w:val="007C1EFD"/>
    <w:rsid w:val="007C2A5D"/>
    <w:rsid w:val="007C2C1B"/>
    <w:rsid w:val="007C33FA"/>
    <w:rsid w:val="007C3B64"/>
    <w:rsid w:val="007C3CC7"/>
    <w:rsid w:val="007C3E3F"/>
    <w:rsid w:val="007C40CE"/>
    <w:rsid w:val="007C41D1"/>
    <w:rsid w:val="007C480F"/>
    <w:rsid w:val="007C48C7"/>
    <w:rsid w:val="007C48FC"/>
    <w:rsid w:val="007C549A"/>
    <w:rsid w:val="007C5528"/>
    <w:rsid w:val="007C585C"/>
    <w:rsid w:val="007C589B"/>
    <w:rsid w:val="007C5ACA"/>
    <w:rsid w:val="007C6541"/>
    <w:rsid w:val="007C69D6"/>
    <w:rsid w:val="007C7E15"/>
    <w:rsid w:val="007C7E41"/>
    <w:rsid w:val="007D03A3"/>
    <w:rsid w:val="007D0556"/>
    <w:rsid w:val="007D07D8"/>
    <w:rsid w:val="007D1017"/>
    <w:rsid w:val="007D12D9"/>
    <w:rsid w:val="007D1969"/>
    <w:rsid w:val="007D2712"/>
    <w:rsid w:val="007D2CEB"/>
    <w:rsid w:val="007D3591"/>
    <w:rsid w:val="007D35AF"/>
    <w:rsid w:val="007D42B9"/>
    <w:rsid w:val="007D4310"/>
    <w:rsid w:val="007D46A9"/>
    <w:rsid w:val="007D5189"/>
    <w:rsid w:val="007D5240"/>
    <w:rsid w:val="007D5493"/>
    <w:rsid w:val="007D58C1"/>
    <w:rsid w:val="007D6424"/>
    <w:rsid w:val="007D648C"/>
    <w:rsid w:val="007D6683"/>
    <w:rsid w:val="007D66E8"/>
    <w:rsid w:val="007D6AF6"/>
    <w:rsid w:val="007D779E"/>
    <w:rsid w:val="007D793C"/>
    <w:rsid w:val="007E0E95"/>
    <w:rsid w:val="007E0FBE"/>
    <w:rsid w:val="007E127D"/>
    <w:rsid w:val="007E13B2"/>
    <w:rsid w:val="007E1898"/>
    <w:rsid w:val="007E1E77"/>
    <w:rsid w:val="007E3ADD"/>
    <w:rsid w:val="007E3C1D"/>
    <w:rsid w:val="007E4533"/>
    <w:rsid w:val="007E45B6"/>
    <w:rsid w:val="007E482D"/>
    <w:rsid w:val="007E495A"/>
    <w:rsid w:val="007E4AA6"/>
    <w:rsid w:val="007E5205"/>
    <w:rsid w:val="007E57DA"/>
    <w:rsid w:val="007E6167"/>
    <w:rsid w:val="007E63B0"/>
    <w:rsid w:val="007E6A57"/>
    <w:rsid w:val="007E6F5F"/>
    <w:rsid w:val="007E6F8A"/>
    <w:rsid w:val="007E700B"/>
    <w:rsid w:val="007E74C5"/>
    <w:rsid w:val="007E775F"/>
    <w:rsid w:val="007E7CDB"/>
    <w:rsid w:val="007F00C7"/>
    <w:rsid w:val="007F0236"/>
    <w:rsid w:val="007F06BB"/>
    <w:rsid w:val="007F0BC3"/>
    <w:rsid w:val="007F0CC5"/>
    <w:rsid w:val="007F0E34"/>
    <w:rsid w:val="007F17D4"/>
    <w:rsid w:val="007F1CFD"/>
    <w:rsid w:val="007F24F7"/>
    <w:rsid w:val="007F2ABB"/>
    <w:rsid w:val="007F2C35"/>
    <w:rsid w:val="007F32C6"/>
    <w:rsid w:val="007F4126"/>
    <w:rsid w:val="007F427A"/>
    <w:rsid w:val="007F432C"/>
    <w:rsid w:val="007F44BB"/>
    <w:rsid w:val="007F6368"/>
    <w:rsid w:val="007F6420"/>
    <w:rsid w:val="007F7472"/>
    <w:rsid w:val="007F75F6"/>
    <w:rsid w:val="007F78F0"/>
    <w:rsid w:val="007F795C"/>
    <w:rsid w:val="007F798F"/>
    <w:rsid w:val="007F7B7F"/>
    <w:rsid w:val="008004BA"/>
    <w:rsid w:val="00800B41"/>
    <w:rsid w:val="00800CC0"/>
    <w:rsid w:val="00801310"/>
    <w:rsid w:val="00801737"/>
    <w:rsid w:val="00801CB4"/>
    <w:rsid w:val="00801E8A"/>
    <w:rsid w:val="00801F04"/>
    <w:rsid w:val="00802530"/>
    <w:rsid w:val="0080279B"/>
    <w:rsid w:val="00802864"/>
    <w:rsid w:val="00802B30"/>
    <w:rsid w:val="00802FCF"/>
    <w:rsid w:val="00803991"/>
    <w:rsid w:val="00803D04"/>
    <w:rsid w:val="008043DE"/>
    <w:rsid w:val="00804627"/>
    <w:rsid w:val="008046B5"/>
    <w:rsid w:val="0080498D"/>
    <w:rsid w:val="00804B54"/>
    <w:rsid w:val="0080606A"/>
    <w:rsid w:val="008065F0"/>
    <w:rsid w:val="008069FE"/>
    <w:rsid w:val="008071B5"/>
    <w:rsid w:val="00807673"/>
    <w:rsid w:val="00807C2F"/>
    <w:rsid w:val="00807CF1"/>
    <w:rsid w:val="00807FA5"/>
    <w:rsid w:val="00810790"/>
    <w:rsid w:val="0081095D"/>
    <w:rsid w:val="00810B67"/>
    <w:rsid w:val="008111BF"/>
    <w:rsid w:val="008113AA"/>
    <w:rsid w:val="00811427"/>
    <w:rsid w:val="00811C18"/>
    <w:rsid w:val="008124CF"/>
    <w:rsid w:val="0081255F"/>
    <w:rsid w:val="00812749"/>
    <w:rsid w:val="008129C6"/>
    <w:rsid w:val="00812DF9"/>
    <w:rsid w:val="00812E0A"/>
    <w:rsid w:val="0081352B"/>
    <w:rsid w:val="00813C7E"/>
    <w:rsid w:val="008140C1"/>
    <w:rsid w:val="00814514"/>
    <w:rsid w:val="00814872"/>
    <w:rsid w:val="00815EC3"/>
    <w:rsid w:val="00816036"/>
    <w:rsid w:val="00816432"/>
    <w:rsid w:val="00817969"/>
    <w:rsid w:val="008179ED"/>
    <w:rsid w:val="00820B77"/>
    <w:rsid w:val="00820E44"/>
    <w:rsid w:val="00822B0E"/>
    <w:rsid w:val="00822FDB"/>
    <w:rsid w:val="00823250"/>
    <w:rsid w:val="008237E2"/>
    <w:rsid w:val="008239FF"/>
    <w:rsid w:val="00823DB9"/>
    <w:rsid w:val="00824651"/>
    <w:rsid w:val="00824750"/>
    <w:rsid w:val="0082510D"/>
    <w:rsid w:val="008255E4"/>
    <w:rsid w:val="00825786"/>
    <w:rsid w:val="0082585B"/>
    <w:rsid w:val="00825A02"/>
    <w:rsid w:val="00825CB5"/>
    <w:rsid w:val="008260F0"/>
    <w:rsid w:val="00826FFD"/>
    <w:rsid w:val="00827043"/>
    <w:rsid w:val="008274F2"/>
    <w:rsid w:val="00827BAD"/>
    <w:rsid w:val="00830639"/>
    <w:rsid w:val="008309C9"/>
    <w:rsid w:val="00830BC7"/>
    <w:rsid w:val="00830E14"/>
    <w:rsid w:val="008313C7"/>
    <w:rsid w:val="00831AEC"/>
    <w:rsid w:val="008323C6"/>
    <w:rsid w:val="00832AB6"/>
    <w:rsid w:val="0083302C"/>
    <w:rsid w:val="00833263"/>
    <w:rsid w:val="008335E3"/>
    <w:rsid w:val="00833EAD"/>
    <w:rsid w:val="0083416F"/>
    <w:rsid w:val="008342AD"/>
    <w:rsid w:val="00834881"/>
    <w:rsid w:val="00834DCB"/>
    <w:rsid w:val="008351BA"/>
    <w:rsid w:val="00836673"/>
    <w:rsid w:val="0083682D"/>
    <w:rsid w:val="008370BD"/>
    <w:rsid w:val="00837874"/>
    <w:rsid w:val="00837F71"/>
    <w:rsid w:val="00840A08"/>
    <w:rsid w:val="00840C01"/>
    <w:rsid w:val="00840C42"/>
    <w:rsid w:val="00840DC7"/>
    <w:rsid w:val="008412EB"/>
    <w:rsid w:val="0084167C"/>
    <w:rsid w:val="008418C2"/>
    <w:rsid w:val="0084199E"/>
    <w:rsid w:val="00841B7F"/>
    <w:rsid w:val="0084254A"/>
    <w:rsid w:val="00843AF0"/>
    <w:rsid w:val="00844181"/>
    <w:rsid w:val="00844F10"/>
    <w:rsid w:val="00845186"/>
    <w:rsid w:val="0084530B"/>
    <w:rsid w:val="00845ABB"/>
    <w:rsid w:val="00845B94"/>
    <w:rsid w:val="00845BBC"/>
    <w:rsid w:val="008466EA"/>
    <w:rsid w:val="00846975"/>
    <w:rsid w:val="00846EED"/>
    <w:rsid w:val="00847415"/>
    <w:rsid w:val="0084752D"/>
    <w:rsid w:val="00847C9D"/>
    <w:rsid w:val="00847F2B"/>
    <w:rsid w:val="00850048"/>
    <w:rsid w:val="00850054"/>
    <w:rsid w:val="00850123"/>
    <w:rsid w:val="0085096A"/>
    <w:rsid w:val="0085096F"/>
    <w:rsid w:val="00850BF5"/>
    <w:rsid w:val="00850C80"/>
    <w:rsid w:val="008513D8"/>
    <w:rsid w:val="008520A5"/>
    <w:rsid w:val="00852C25"/>
    <w:rsid w:val="00852EC6"/>
    <w:rsid w:val="0085322D"/>
    <w:rsid w:val="00853643"/>
    <w:rsid w:val="00854DA1"/>
    <w:rsid w:val="00855688"/>
    <w:rsid w:val="00855D43"/>
    <w:rsid w:val="008561D7"/>
    <w:rsid w:val="00856D14"/>
    <w:rsid w:val="00857150"/>
    <w:rsid w:val="008572F8"/>
    <w:rsid w:val="008573D1"/>
    <w:rsid w:val="00857425"/>
    <w:rsid w:val="00860177"/>
    <w:rsid w:val="008607B4"/>
    <w:rsid w:val="00860B22"/>
    <w:rsid w:val="00861074"/>
    <w:rsid w:val="0086125F"/>
    <w:rsid w:val="008614E4"/>
    <w:rsid w:val="00862ED4"/>
    <w:rsid w:val="008631BB"/>
    <w:rsid w:val="008636FC"/>
    <w:rsid w:val="00863B3B"/>
    <w:rsid w:val="00863DB6"/>
    <w:rsid w:val="008644B9"/>
    <w:rsid w:val="00864DB4"/>
    <w:rsid w:val="0086518B"/>
    <w:rsid w:val="00865487"/>
    <w:rsid w:val="008657A3"/>
    <w:rsid w:val="00865876"/>
    <w:rsid w:val="00865A70"/>
    <w:rsid w:val="00865B86"/>
    <w:rsid w:val="00867062"/>
    <w:rsid w:val="0086739D"/>
    <w:rsid w:val="00867996"/>
    <w:rsid w:val="00867A98"/>
    <w:rsid w:val="00870368"/>
    <w:rsid w:val="00870DB9"/>
    <w:rsid w:val="00871063"/>
    <w:rsid w:val="00871164"/>
    <w:rsid w:val="00871372"/>
    <w:rsid w:val="008715D1"/>
    <w:rsid w:val="00871977"/>
    <w:rsid w:val="00871C2B"/>
    <w:rsid w:val="00871FDF"/>
    <w:rsid w:val="008723DB"/>
    <w:rsid w:val="00872FED"/>
    <w:rsid w:val="00873674"/>
    <w:rsid w:val="00873BC6"/>
    <w:rsid w:val="00874573"/>
    <w:rsid w:val="00874FB1"/>
    <w:rsid w:val="008751EF"/>
    <w:rsid w:val="0087542D"/>
    <w:rsid w:val="00875576"/>
    <w:rsid w:val="00875AB1"/>
    <w:rsid w:val="00875DB7"/>
    <w:rsid w:val="008765D2"/>
    <w:rsid w:val="00876BFF"/>
    <w:rsid w:val="008771F4"/>
    <w:rsid w:val="008778E3"/>
    <w:rsid w:val="008806D6"/>
    <w:rsid w:val="00880902"/>
    <w:rsid w:val="008816A9"/>
    <w:rsid w:val="00881E3C"/>
    <w:rsid w:val="00881FCF"/>
    <w:rsid w:val="00882D42"/>
    <w:rsid w:val="00882D4F"/>
    <w:rsid w:val="008836AE"/>
    <w:rsid w:val="00883F16"/>
    <w:rsid w:val="00883F78"/>
    <w:rsid w:val="00884908"/>
    <w:rsid w:val="0088538B"/>
    <w:rsid w:val="00885489"/>
    <w:rsid w:val="0088583B"/>
    <w:rsid w:val="00885C5F"/>
    <w:rsid w:val="008866DF"/>
    <w:rsid w:val="0088740E"/>
    <w:rsid w:val="008875D6"/>
    <w:rsid w:val="00890A7E"/>
    <w:rsid w:val="00890D4B"/>
    <w:rsid w:val="00891335"/>
    <w:rsid w:val="0089171E"/>
    <w:rsid w:val="00892762"/>
    <w:rsid w:val="00892A4E"/>
    <w:rsid w:val="00892A85"/>
    <w:rsid w:val="00892CA7"/>
    <w:rsid w:val="00892CE0"/>
    <w:rsid w:val="00893295"/>
    <w:rsid w:val="0089344A"/>
    <w:rsid w:val="008938A7"/>
    <w:rsid w:val="008938BC"/>
    <w:rsid w:val="00893F9C"/>
    <w:rsid w:val="0089413C"/>
    <w:rsid w:val="0089424C"/>
    <w:rsid w:val="008947A4"/>
    <w:rsid w:val="00894A27"/>
    <w:rsid w:val="00894C7D"/>
    <w:rsid w:val="00895647"/>
    <w:rsid w:val="00895F6F"/>
    <w:rsid w:val="00896025"/>
    <w:rsid w:val="00896A4C"/>
    <w:rsid w:val="00896BAE"/>
    <w:rsid w:val="00896CE3"/>
    <w:rsid w:val="00896D5C"/>
    <w:rsid w:val="00896EBA"/>
    <w:rsid w:val="00897045"/>
    <w:rsid w:val="00897119"/>
    <w:rsid w:val="0089741E"/>
    <w:rsid w:val="00897843"/>
    <w:rsid w:val="0089797F"/>
    <w:rsid w:val="00897B91"/>
    <w:rsid w:val="00897CF7"/>
    <w:rsid w:val="008A0A4A"/>
    <w:rsid w:val="008A1133"/>
    <w:rsid w:val="008A1410"/>
    <w:rsid w:val="008A1691"/>
    <w:rsid w:val="008A18E5"/>
    <w:rsid w:val="008A1BB7"/>
    <w:rsid w:val="008A1E53"/>
    <w:rsid w:val="008A21BB"/>
    <w:rsid w:val="008A22C0"/>
    <w:rsid w:val="008A23C9"/>
    <w:rsid w:val="008A2616"/>
    <w:rsid w:val="008A27E2"/>
    <w:rsid w:val="008A2C4B"/>
    <w:rsid w:val="008A374D"/>
    <w:rsid w:val="008A38CF"/>
    <w:rsid w:val="008A392E"/>
    <w:rsid w:val="008A39F8"/>
    <w:rsid w:val="008A3C0A"/>
    <w:rsid w:val="008A43E6"/>
    <w:rsid w:val="008A4A4A"/>
    <w:rsid w:val="008A628F"/>
    <w:rsid w:val="008A62B3"/>
    <w:rsid w:val="008A6B27"/>
    <w:rsid w:val="008A6F84"/>
    <w:rsid w:val="008A7165"/>
    <w:rsid w:val="008A72D8"/>
    <w:rsid w:val="008A7796"/>
    <w:rsid w:val="008A7CB2"/>
    <w:rsid w:val="008A7EB3"/>
    <w:rsid w:val="008A7F29"/>
    <w:rsid w:val="008B00D1"/>
    <w:rsid w:val="008B0313"/>
    <w:rsid w:val="008B0B3A"/>
    <w:rsid w:val="008B0EEE"/>
    <w:rsid w:val="008B1F7D"/>
    <w:rsid w:val="008B23B2"/>
    <w:rsid w:val="008B2880"/>
    <w:rsid w:val="008B3074"/>
    <w:rsid w:val="008B32A9"/>
    <w:rsid w:val="008B346B"/>
    <w:rsid w:val="008B49F0"/>
    <w:rsid w:val="008B4C37"/>
    <w:rsid w:val="008B4FDE"/>
    <w:rsid w:val="008B508F"/>
    <w:rsid w:val="008B50B0"/>
    <w:rsid w:val="008B51C6"/>
    <w:rsid w:val="008B550E"/>
    <w:rsid w:val="008B5589"/>
    <w:rsid w:val="008B5B4D"/>
    <w:rsid w:val="008B5C75"/>
    <w:rsid w:val="008B6718"/>
    <w:rsid w:val="008B6996"/>
    <w:rsid w:val="008B6BAB"/>
    <w:rsid w:val="008B6FE4"/>
    <w:rsid w:val="008B7C40"/>
    <w:rsid w:val="008B7D9B"/>
    <w:rsid w:val="008B7E2B"/>
    <w:rsid w:val="008C0083"/>
    <w:rsid w:val="008C0208"/>
    <w:rsid w:val="008C031F"/>
    <w:rsid w:val="008C04BB"/>
    <w:rsid w:val="008C0BF4"/>
    <w:rsid w:val="008C1757"/>
    <w:rsid w:val="008C1967"/>
    <w:rsid w:val="008C19E1"/>
    <w:rsid w:val="008C1B5F"/>
    <w:rsid w:val="008C1B94"/>
    <w:rsid w:val="008C1FB2"/>
    <w:rsid w:val="008C262A"/>
    <w:rsid w:val="008C2A01"/>
    <w:rsid w:val="008C2A31"/>
    <w:rsid w:val="008C2EDB"/>
    <w:rsid w:val="008C31E8"/>
    <w:rsid w:val="008C46E3"/>
    <w:rsid w:val="008C4E74"/>
    <w:rsid w:val="008C5364"/>
    <w:rsid w:val="008C54C7"/>
    <w:rsid w:val="008C6255"/>
    <w:rsid w:val="008C6C9A"/>
    <w:rsid w:val="008C6E65"/>
    <w:rsid w:val="008C701E"/>
    <w:rsid w:val="008C71B3"/>
    <w:rsid w:val="008C7800"/>
    <w:rsid w:val="008C7ABC"/>
    <w:rsid w:val="008D0869"/>
    <w:rsid w:val="008D12CE"/>
    <w:rsid w:val="008D15BC"/>
    <w:rsid w:val="008D1B64"/>
    <w:rsid w:val="008D1E83"/>
    <w:rsid w:val="008D1EB1"/>
    <w:rsid w:val="008D2251"/>
    <w:rsid w:val="008D2572"/>
    <w:rsid w:val="008D25B8"/>
    <w:rsid w:val="008D296B"/>
    <w:rsid w:val="008D2B5C"/>
    <w:rsid w:val="008D37E6"/>
    <w:rsid w:val="008D3DF0"/>
    <w:rsid w:val="008D4162"/>
    <w:rsid w:val="008D4704"/>
    <w:rsid w:val="008D4705"/>
    <w:rsid w:val="008D4B39"/>
    <w:rsid w:val="008D4E32"/>
    <w:rsid w:val="008D4E54"/>
    <w:rsid w:val="008D542C"/>
    <w:rsid w:val="008D54BB"/>
    <w:rsid w:val="008D5AD1"/>
    <w:rsid w:val="008D6220"/>
    <w:rsid w:val="008D6765"/>
    <w:rsid w:val="008D687A"/>
    <w:rsid w:val="008D6C56"/>
    <w:rsid w:val="008D71E4"/>
    <w:rsid w:val="008D7A8B"/>
    <w:rsid w:val="008E0984"/>
    <w:rsid w:val="008E12F7"/>
    <w:rsid w:val="008E166C"/>
    <w:rsid w:val="008E1754"/>
    <w:rsid w:val="008E1BF3"/>
    <w:rsid w:val="008E23DD"/>
    <w:rsid w:val="008E23EA"/>
    <w:rsid w:val="008E25B1"/>
    <w:rsid w:val="008E2638"/>
    <w:rsid w:val="008E2B85"/>
    <w:rsid w:val="008E38BC"/>
    <w:rsid w:val="008E3FF6"/>
    <w:rsid w:val="008E449B"/>
    <w:rsid w:val="008E4AF1"/>
    <w:rsid w:val="008E4C89"/>
    <w:rsid w:val="008E5044"/>
    <w:rsid w:val="008E51AF"/>
    <w:rsid w:val="008E52C6"/>
    <w:rsid w:val="008E548A"/>
    <w:rsid w:val="008E5680"/>
    <w:rsid w:val="008E59B1"/>
    <w:rsid w:val="008E6235"/>
    <w:rsid w:val="008E6C48"/>
    <w:rsid w:val="008E6E61"/>
    <w:rsid w:val="008E74A2"/>
    <w:rsid w:val="008E7572"/>
    <w:rsid w:val="008F003E"/>
    <w:rsid w:val="008F0336"/>
    <w:rsid w:val="008F044E"/>
    <w:rsid w:val="008F14A5"/>
    <w:rsid w:val="008F2976"/>
    <w:rsid w:val="008F2E25"/>
    <w:rsid w:val="008F464C"/>
    <w:rsid w:val="008F4B82"/>
    <w:rsid w:val="008F5001"/>
    <w:rsid w:val="008F527A"/>
    <w:rsid w:val="008F616A"/>
    <w:rsid w:val="008F69DD"/>
    <w:rsid w:val="008F6B05"/>
    <w:rsid w:val="008F710A"/>
    <w:rsid w:val="008F7132"/>
    <w:rsid w:val="008F7E02"/>
    <w:rsid w:val="009001A5"/>
    <w:rsid w:val="0090037F"/>
    <w:rsid w:val="009006A6"/>
    <w:rsid w:val="0090107B"/>
    <w:rsid w:val="00901153"/>
    <w:rsid w:val="009016D7"/>
    <w:rsid w:val="0090223A"/>
    <w:rsid w:val="009022F4"/>
    <w:rsid w:val="00902545"/>
    <w:rsid w:val="00902A13"/>
    <w:rsid w:val="009030AA"/>
    <w:rsid w:val="0090338B"/>
    <w:rsid w:val="0090378F"/>
    <w:rsid w:val="00903AC3"/>
    <w:rsid w:val="00903CE5"/>
    <w:rsid w:val="009040E0"/>
    <w:rsid w:val="0090412E"/>
    <w:rsid w:val="00904536"/>
    <w:rsid w:val="0090472F"/>
    <w:rsid w:val="0090478A"/>
    <w:rsid w:val="009049DF"/>
    <w:rsid w:val="00904ADD"/>
    <w:rsid w:val="00904E0B"/>
    <w:rsid w:val="00904F80"/>
    <w:rsid w:val="00905CE7"/>
    <w:rsid w:val="009061AA"/>
    <w:rsid w:val="009066C2"/>
    <w:rsid w:val="00906990"/>
    <w:rsid w:val="009102A7"/>
    <w:rsid w:val="00911BC1"/>
    <w:rsid w:val="00911D86"/>
    <w:rsid w:val="009125CA"/>
    <w:rsid w:val="00912B0C"/>
    <w:rsid w:val="00913045"/>
    <w:rsid w:val="00913205"/>
    <w:rsid w:val="00913411"/>
    <w:rsid w:val="0091366B"/>
    <w:rsid w:val="009138BA"/>
    <w:rsid w:val="009139C5"/>
    <w:rsid w:val="009144B5"/>
    <w:rsid w:val="009145B2"/>
    <w:rsid w:val="009146F6"/>
    <w:rsid w:val="00915863"/>
    <w:rsid w:val="0091626C"/>
    <w:rsid w:val="009167F0"/>
    <w:rsid w:val="00916ADF"/>
    <w:rsid w:val="00916ED7"/>
    <w:rsid w:val="00920A2D"/>
    <w:rsid w:val="00921A06"/>
    <w:rsid w:val="00921B91"/>
    <w:rsid w:val="00921CF8"/>
    <w:rsid w:val="009223CA"/>
    <w:rsid w:val="00922624"/>
    <w:rsid w:val="00922680"/>
    <w:rsid w:val="009228B0"/>
    <w:rsid w:val="00922C37"/>
    <w:rsid w:val="00922E70"/>
    <w:rsid w:val="009238F3"/>
    <w:rsid w:val="0092399F"/>
    <w:rsid w:val="009246C7"/>
    <w:rsid w:val="00924902"/>
    <w:rsid w:val="009249B4"/>
    <w:rsid w:val="009256EB"/>
    <w:rsid w:val="009259B7"/>
    <w:rsid w:val="00926E69"/>
    <w:rsid w:val="00927147"/>
    <w:rsid w:val="00927187"/>
    <w:rsid w:val="009274FC"/>
    <w:rsid w:val="009278E0"/>
    <w:rsid w:val="00927D21"/>
    <w:rsid w:val="00927EA2"/>
    <w:rsid w:val="00930763"/>
    <w:rsid w:val="00930C4F"/>
    <w:rsid w:val="00930EF7"/>
    <w:rsid w:val="0093125C"/>
    <w:rsid w:val="009317B8"/>
    <w:rsid w:val="00931EDE"/>
    <w:rsid w:val="00932BC9"/>
    <w:rsid w:val="00932D8E"/>
    <w:rsid w:val="00932FF2"/>
    <w:rsid w:val="00933719"/>
    <w:rsid w:val="0093374D"/>
    <w:rsid w:val="009338E4"/>
    <w:rsid w:val="00933BD9"/>
    <w:rsid w:val="00934170"/>
    <w:rsid w:val="0093487C"/>
    <w:rsid w:val="00935B71"/>
    <w:rsid w:val="009360D6"/>
    <w:rsid w:val="00936282"/>
    <w:rsid w:val="00936510"/>
    <w:rsid w:val="00936557"/>
    <w:rsid w:val="00936BA5"/>
    <w:rsid w:val="00936EBC"/>
    <w:rsid w:val="009376C7"/>
    <w:rsid w:val="00937929"/>
    <w:rsid w:val="00937958"/>
    <w:rsid w:val="009400A5"/>
    <w:rsid w:val="009408CC"/>
    <w:rsid w:val="00941336"/>
    <w:rsid w:val="00941502"/>
    <w:rsid w:val="009415DA"/>
    <w:rsid w:val="0094217C"/>
    <w:rsid w:val="00942216"/>
    <w:rsid w:val="00942C48"/>
    <w:rsid w:val="00943562"/>
    <w:rsid w:val="0094494A"/>
    <w:rsid w:val="00944FFC"/>
    <w:rsid w:val="00945057"/>
    <w:rsid w:val="00945476"/>
    <w:rsid w:val="009459C3"/>
    <w:rsid w:val="00945A42"/>
    <w:rsid w:val="00945E92"/>
    <w:rsid w:val="00945EC8"/>
    <w:rsid w:val="009466EE"/>
    <w:rsid w:val="0094698E"/>
    <w:rsid w:val="00947319"/>
    <w:rsid w:val="00947347"/>
    <w:rsid w:val="00947388"/>
    <w:rsid w:val="00947B72"/>
    <w:rsid w:val="009504B1"/>
    <w:rsid w:val="009511A3"/>
    <w:rsid w:val="00951936"/>
    <w:rsid w:val="00951C9A"/>
    <w:rsid w:val="00952A6F"/>
    <w:rsid w:val="00952EF0"/>
    <w:rsid w:val="00955021"/>
    <w:rsid w:val="00955946"/>
    <w:rsid w:val="00955DD8"/>
    <w:rsid w:val="0095602D"/>
    <w:rsid w:val="009565E7"/>
    <w:rsid w:val="009566B4"/>
    <w:rsid w:val="00956F5E"/>
    <w:rsid w:val="009575E1"/>
    <w:rsid w:val="00957838"/>
    <w:rsid w:val="00960710"/>
    <w:rsid w:val="0096089A"/>
    <w:rsid w:val="00960ADE"/>
    <w:rsid w:val="00960BC7"/>
    <w:rsid w:val="0096185A"/>
    <w:rsid w:val="00961A68"/>
    <w:rsid w:val="00961B21"/>
    <w:rsid w:val="00961C2F"/>
    <w:rsid w:val="00961F1B"/>
    <w:rsid w:val="00962129"/>
    <w:rsid w:val="009628E2"/>
    <w:rsid w:val="009632C9"/>
    <w:rsid w:val="009636FE"/>
    <w:rsid w:val="00964625"/>
    <w:rsid w:val="00964803"/>
    <w:rsid w:val="00964B56"/>
    <w:rsid w:val="00964BDB"/>
    <w:rsid w:val="00964EBE"/>
    <w:rsid w:val="009652D5"/>
    <w:rsid w:val="009662DC"/>
    <w:rsid w:val="009667EE"/>
    <w:rsid w:val="009668F1"/>
    <w:rsid w:val="0097042A"/>
    <w:rsid w:val="00970747"/>
    <w:rsid w:val="00970ABA"/>
    <w:rsid w:val="00970B28"/>
    <w:rsid w:val="00970F3F"/>
    <w:rsid w:val="00970F77"/>
    <w:rsid w:val="009720B6"/>
    <w:rsid w:val="009722BE"/>
    <w:rsid w:val="009724E6"/>
    <w:rsid w:val="00972EBB"/>
    <w:rsid w:val="0097316B"/>
    <w:rsid w:val="009732D8"/>
    <w:rsid w:val="0097354A"/>
    <w:rsid w:val="00973690"/>
    <w:rsid w:val="00973EB8"/>
    <w:rsid w:val="00973F66"/>
    <w:rsid w:val="00974F04"/>
    <w:rsid w:val="00974FAA"/>
    <w:rsid w:val="009764B7"/>
    <w:rsid w:val="009767F2"/>
    <w:rsid w:val="00976CBA"/>
    <w:rsid w:val="00976EF7"/>
    <w:rsid w:val="00977184"/>
    <w:rsid w:val="0097718F"/>
    <w:rsid w:val="00977FCE"/>
    <w:rsid w:val="00980087"/>
    <w:rsid w:val="0098013D"/>
    <w:rsid w:val="009802C9"/>
    <w:rsid w:val="00980420"/>
    <w:rsid w:val="00980D12"/>
    <w:rsid w:val="00980F17"/>
    <w:rsid w:val="00981505"/>
    <w:rsid w:val="009815E1"/>
    <w:rsid w:val="009819EB"/>
    <w:rsid w:val="00981D71"/>
    <w:rsid w:val="00981FA1"/>
    <w:rsid w:val="009829CB"/>
    <w:rsid w:val="00982AB5"/>
    <w:rsid w:val="00982C38"/>
    <w:rsid w:val="00983732"/>
    <w:rsid w:val="009840E2"/>
    <w:rsid w:val="009842E2"/>
    <w:rsid w:val="0098440F"/>
    <w:rsid w:val="00984584"/>
    <w:rsid w:val="00985234"/>
    <w:rsid w:val="00985872"/>
    <w:rsid w:val="00985951"/>
    <w:rsid w:val="00985ABF"/>
    <w:rsid w:val="00985C9C"/>
    <w:rsid w:val="00985DE8"/>
    <w:rsid w:val="0098622E"/>
    <w:rsid w:val="009863B3"/>
    <w:rsid w:val="009878A6"/>
    <w:rsid w:val="00987C22"/>
    <w:rsid w:val="00990029"/>
    <w:rsid w:val="00991646"/>
    <w:rsid w:val="00991685"/>
    <w:rsid w:val="00991EEE"/>
    <w:rsid w:val="009927FA"/>
    <w:rsid w:val="00992AFC"/>
    <w:rsid w:val="009930AD"/>
    <w:rsid w:val="00994479"/>
    <w:rsid w:val="0099661E"/>
    <w:rsid w:val="009967F2"/>
    <w:rsid w:val="009969A6"/>
    <w:rsid w:val="00997210"/>
    <w:rsid w:val="00997593"/>
    <w:rsid w:val="00997790"/>
    <w:rsid w:val="009979F1"/>
    <w:rsid w:val="00997CA5"/>
    <w:rsid w:val="009A070A"/>
    <w:rsid w:val="009A0748"/>
    <w:rsid w:val="009A1026"/>
    <w:rsid w:val="009A149C"/>
    <w:rsid w:val="009A1A0C"/>
    <w:rsid w:val="009A1A30"/>
    <w:rsid w:val="009A2169"/>
    <w:rsid w:val="009A21C2"/>
    <w:rsid w:val="009A2264"/>
    <w:rsid w:val="009A24E2"/>
    <w:rsid w:val="009A27EB"/>
    <w:rsid w:val="009A2FAA"/>
    <w:rsid w:val="009A3C9A"/>
    <w:rsid w:val="009A43F2"/>
    <w:rsid w:val="009A4B9C"/>
    <w:rsid w:val="009A584F"/>
    <w:rsid w:val="009A5875"/>
    <w:rsid w:val="009A5BFD"/>
    <w:rsid w:val="009A66D0"/>
    <w:rsid w:val="009B01FC"/>
    <w:rsid w:val="009B145E"/>
    <w:rsid w:val="009B1476"/>
    <w:rsid w:val="009B1772"/>
    <w:rsid w:val="009B1BFE"/>
    <w:rsid w:val="009B1ECF"/>
    <w:rsid w:val="009B23EA"/>
    <w:rsid w:val="009B2679"/>
    <w:rsid w:val="009B29B0"/>
    <w:rsid w:val="009B3807"/>
    <w:rsid w:val="009B3988"/>
    <w:rsid w:val="009B42E8"/>
    <w:rsid w:val="009B4A2C"/>
    <w:rsid w:val="009B4C6E"/>
    <w:rsid w:val="009B5CA3"/>
    <w:rsid w:val="009B6288"/>
    <w:rsid w:val="009B6414"/>
    <w:rsid w:val="009B69EC"/>
    <w:rsid w:val="009B6B77"/>
    <w:rsid w:val="009B7367"/>
    <w:rsid w:val="009C0547"/>
    <w:rsid w:val="009C0688"/>
    <w:rsid w:val="009C1400"/>
    <w:rsid w:val="009C1666"/>
    <w:rsid w:val="009C16F0"/>
    <w:rsid w:val="009C1B49"/>
    <w:rsid w:val="009C2B16"/>
    <w:rsid w:val="009C2E45"/>
    <w:rsid w:val="009C3099"/>
    <w:rsid w:val="009C34E1"/>
    <w:rsid w:val="009C369D"/>
    <w:rsid w:val="009C42AD"/>
    <w:rsid w:val="009C4AC2"/>
    <w:rsid w:val="009C4CCF"/>
    <w:rsid w:val="009C5151"/>
    <w:rsid w:val="009C5F8B"/>
    <w:rsid w:val="009C5F90"/>
    <w:rsid w:val="009C5FA9"/>
    <w:rsid w:val="009C6D13"/>
    <w:rsid w:val="009D0F90"/>
    <w:rsid w:val="009D17ED"/>
    <w:rsid w:val="009D1D38"/>
    <w:rsid w:val="009D221F"/>
    <w:rsid w:val="009D22C3"/>
    <w:rsid w:val="009D2316"/>
    <w:rsid w:val="009D27BE"/>
    <w:rsid w:val="009D2868"/>
    <w:rsid w:val="009D2FB7"/>
    <w:rsid w:val="009D35CC"/>
    <w:rsid w:val="009D37ED"/>
    <w:rsid w:val="009D3F76"/>
    <w:rsid w:val="009D473D"/>
    <w:rsid w:val="009D47B3"/>
    <w:rsid w:val="009D5144"/>
    <w:rsid w:val="009D5775"/>
    <w:rsid w:val="009D5834"/>
    <w:rsid w:val="009D5B22"/>
    <w:rsid w:val="009D5D7D"/>
    <w:rsid w:val="009D6000"/>
    <w:rsid w:val="009D6144"/>
    <w:rsid w:val="009D6832"/>
    <w:rsid w:val="009D68BE"/>
    <w:rsid w:val="009D7048"/>
    <w:rsid w:val="009D71D6"/>
    <w:rsid w:val="009E0BDD"/>
    <w:rsid w:val="009E0EA2"/>
    <w:rsid w:val="009E1FCA"/>
    <w:rsid w:val="009E207E"/>
    <w:rsid w:val="009E20C9"/>
    <w:rsid w:val="009E214D"/>
    <w:rsid w:val="009E28EC"/>
    <w:rsid w:val="009E315A"/>
    <w:rsid w:val="009E367D"/>
    <w:rsid w:val="009E4834"/>
    <w:rsid w:val="009E4841"/>
    <w:rsid w:val="009E4DD0"/>
    <w:rsid w:val="009E4E8A"/>
    <w:rsid w:val="009E5A46"/>
    <w:rsid w:val="009E5BC4"/>
    <w:rsid w:val="009E5F3A"/>
    <w:rsid w:val="009E6883"/>
    <w:rsid w:val="009E78E7"/>
    <w:rsid w:val="009E7983"/>
    <w:rsid w:val="009F0247"/>
    <w:rsid w:val="009F14D8"/>
    <w:rsid w:val="009F1BD2"/>
    <w:rsid w:val="009F264F"/>
    <w:rsid w:val="009F28AE"/>
    <w:rsid w:val="009F2AD6"/>
    <w:rsid w:val="009F2AE7"/>
    <w:rsid w:val="009F2C80"/>
    <w:rsid w:val="009F2E31"/>
    <w:rsid w:val="009F3413"/>
    <w:rsid w:val="009F35E2"/>
    <w:rsid w:val="009F3A84"/>
    <w:rsid w:val="009F3D92"/>
    <w:rsid w:val="009F3E45"/>
    <w:rsid w:val="009F3ED3"/>
    <w:rsid w:val="009F3F1F"/>
    <w:rsid w:val="009F4C13"/>
    <w:rsid w:val="009F4FB3"/>
    <w:rsid w:val="009F50AA"/>
    <w:rsid w:val="009F641D"/>
    <w:rsid w:val="009F6956"/>
    <w:rsid w:val="009F6CCF"/>
    <w:rsid w:val="009F71D1"/>
    <w:rsid w:val="009F736D"/>
    <w:rsid w:val="009F7617"/>
    <w:rsid w:val="009F76A5"/>
    <w:rsid w:val="009F77F9"/>
    <w:rsid w:val="009F7F34"/>
    <w:rsid w:val="00A00407"/>
    <w:rsid w:val="00A004B8"/>
    <w:rsid w:val="00A00809"/>
    <w:rsid w:val="00A00BB5"/>
    <w:rsid w:val="00A00D22"/>
    <w:rsid w:val="00A00D5D"/>
    <w:rsid w:val="00A00DD6"/>
    <w:rsid w:val="00A00F7F"/>
    <w:rsid w:val="00A017BA"/>
    <w:rsid w:val="00A01EFD"/>
    <w:rsid w:val="00A02044"/>
    <w:rsid w:val="00A026DF"/>
    <w:rsid w:val="00A02974"/>
    <w:rsid w:val="00A03A5F"/>
    <w:rsid w:val="00A03A6F"/>
    <w:rsid w:val="00A03EBF"/>
    <w:rsid w:val="00A040B4"/>
    <w:rsid w:val="00A04100"/>
    <w:rsid w:val="00A04FE8"/>
    <w:rsid w:val="00A050A3"/>
    <w:rsid w:val="00A050BA"/>
    <w:rsid w:val="00A05583"/>
    <w:rsid w:val="00A05A09"/>
    <w:rsid w:val="00A062B4"/>
    <w:rsid w:val="00A066DE"/>
    <w:rsid w:val="00A069AC"/>
    <w:rsid w:val="00A06E30"/>
    <w:rsid w:val="00A06ED5"/>
    <w:rsid w:val="00A0713C"/>
    <w:rsid w:val="00A0724E"/>
    <w:rsid w:val="00A075C8"/>
    <w:rsid w:val="00A07E68"/>
    <w:rsid w:val="00A10AAD"/>
    <w:rsid w:val="00A10B65"/>
    <w:rsid w:val="00A11406"/>
    <w:rsid w:val="00A11911"/>
    <w:rsid w:val="00A11CB7"/>
    <w:rsid w:val="00A12679"/>
    <w:rsid w:val="00A12F28"/>
    <w:rsid w:val="00A1385D"/>
    <w:rsid w:val="00A13BF1"/>
    <w:rsid w:val="00A13D1C"/>
    <w:rsid w:val="00A141E5"/>
    <w:rsid w:val="00A14362"/>
    <w:rsid w:val="00A1455C"/>
    <w:rsid w:val="00A14734"/>
    <w:rsid w:val="00A14C40"/>
    <w:rsid w:val="00A14F19"/>
    <w:rsid w:val="00A15581"/>
    <w:rsid w:val="00A155D4"/>
    <w:rsid w:val="00A1571E"/>
    <w:rsid w:val="00A1581B"/>
    <w:rsid w:val="00A1593F"/>
    <w:rsid w:val="00A15B57"/>
    <w:rsid w:val="00A15BD6"/>
    <w:rsid w:val="00A1642A"/>
    <w:rsid w:val="00A16967"/>
    <w:rsid w:val="00A16C34"/>
    <w:rsid w:val="00A17D65"/>
    <w:rsid w:val="00A17E44"/>
    <w:rsid w:val="00A20F3A"/>
    <w:rsid w:val="00A21088"/>
    <w:rsid w:val="00A21454"/>
    <w:rsid w:val="00A215FD"/>
    <w:rsid w:val="00A21F92"/>
    <w:rsid w:val="00A221B5"/>
    <w:rsid w:val="00A22462"/>
    <w:rsid w:val="00A22939"/>
    <w:rsid w:val="00A22EF7"/>
    <w:rsid w:val="00A2382C"/>
    <w:rsid w:val="00A23847"/>
    <w:rsid w:val="00A23879"/>
    <w:rsid w:val="00A23C5D"/>
    <w:rsid w:val="00A245D3"/>
    <w:rsid w:val="00A24D75"/>
    <w:rsid w:val="00A2536F"/>
    <w:rsid w:val="00A25B9E"/>
    <w:rsid w:val="00A25F06"/>
    <w:rsid w:val="00A263F4"/>
    <w:rsid w:val="00A26AF6"/>
    <w:rsid w:val="00A26F0C"/>
    <w:rsid w:val="00A300E2"/>
    <w:rsid w:val="00A308CD"/>
    <w:rsid w:val="00A30AF9"/>
    <w:rsid w:val="00A30D46"/>
    <w:rsid w:val="00A30DA0"/>
    <w:rsid w:val="00A30DB3"/>
    <w:rsid w:val="00A31A59"/>
    <w:rsid w:val="00A3214C"/>
    <w:rsid w:val="00A325B1"/>
    <w:rsid w:val="00A32738"/>
    <w:rsid w:val="00A337D5"/>
    <w:rsid w:val="00A33883"/>
    <w:rsid w:val="00A344A6"/>
    <w:rsid w:val="00A34D55"/>
    <w:rsid w:val="00A3516A"/>
    <w:rsid w:val="00A3574A"/>
    <w:rsid w:val="00A3647F"/>
    <w:rsid w:val="00A3648D"/>
    <w:rsid w:val="00A3753C"/>
    <w:rsid w:val="00A37943"/>
    <w:rsid w:val="00A403E9"/>
    <w:rsid w:val="00A406D0"/>
    <w:rsid w:val="00A406DC"/>
    <w:rsid w:val="00A40C92"/>
    <w:rsid w:val="00A4108E"/>
    <w:rsid w:val="00A41119"/>
    <w:rsid w:val="00A413E2"/>
    <w:rsid w:val="00A41411"/>
    <w:rsid w:val="00A41518"/>
    <w:rsid w:val="00A42AAA"/>
    <w:rsid w:val="00A4325C"/>
    <w:rsid w:val="00A4347E"/>
    <w:rsid w:val="00A434FE"/>
    <w:rsid w:val="00A4381E"/>
    <w:rsid w:val="00A4438A"/>
    <w:rsid w:val="00A44B54"/>
    <w:rsid w:val="00A461CF"/>
    <w:rsid w:val="00A4630E"/>
    <w:rsid w:val="00A46642"/>
    <w:rsid w:val="00A46B0B"/>
    <w:rsid w:val="00A46E51"/>
    <w:rsid w:val="00A473D7"/>
    <w:rsid w:val="00A47468"/>
    <w:rsid w:val="00A47474"/>
    <w:rsid w:val="00A47A93"/>
    <w:rsid w:val="00A47DE3"/>
    <w:rsid w:val="00A5071B"/>
    <w:rsid w:val="00A50AA0"/>
    <w:rsid w:val="00A50CF1"/>
    <w:rsid w:val="00A516AF"/>
    <w:rsid w:val="00A51EC4"/>
    <w:rsid w:val="00A5227A"/>
    <w:rsid w:val="00A527CF"/>
    <w:rsid w:val="00A53545"/>
    <w:rsid w:val="00A53BD7"/>
    <w:rsid w:val="00A5422A"/>
    <w:rsid w:val="00A54470"/>
    <w:rsid w:val="00A54EC0"/>
    <w:rsid w:val="00A5521A"/>
    <w:rsid w:val="00A55373"/>
    <w:rsid w:val="00A5588C"/>
    <w:rsid w:val="00A55A52"/>
    <w:rsid w:val="00A55AC2"/>
    <w:rsid w:val="00A55DE0"/>
    <w:rsid w:val="00A56283"/>
    <w:rsid w:val="00A5648F"/>
    <w:rsid w:val="00A565AA"/>
    <w:rsid w:val="00A56DDD"/>
    <w:rsid w:val="00A57581"/>
    <w:rsid w:val="00A57D03"/>
    <w:rsid w:val="00A57D42"/>
    <w:rsid w:val="00A57E1F"/>
    <w:rsid w:val="00A60BBB"/>
    <w:rsid w:val="00A60C83"/>
    <w:rsid w:val="00A60ED1"/>
    <w:rsid w:val="00A6165C"/>
    <w:rsid w:val="00A61EF5"/>
    <w:rsid w:val="00A62282"/>
    <w:rsid w:val="00A635C6"/>
    <w:rsid w:val="00A63755"/>
    <w:rsid w:val="00A637C0"/>
    <w:rsid w:val="00A63A99"/>
    <w:rsid w:val="00A63C32"/>
    <w:rsid w:val="00A640EA"/>
    <w:rsid w:val="00A64CA7"/>
    <w:rsid w:val="00A64FFF"/>
    <w:rsid w:val="00A654F6"/>
    <w:rsid w:val="00A654F7"/>
    <w:rsid w:val="00A654FD"/>
    <w:rsid w:val="00A65F1E"/>
    <w:rsid w:val="00A6721E"/>
    <w:rsid w:val="00A675AF"/>
    <w:rsid w:val="00A711F5"/>
    <w:rsid w:val="00A7130D"/>
    <w:rsid w:val="00A71ABB"/>
    <w:rsid w:val="00A722A9"/>
    <w:rsid w:val="00A72820"/>
    <w:rsid w:val="00A73340"/>
    <w:rsid w:val="00A739AD"/>
    <w:rsid w:val="00A73BE5"/>
    <w:rsid w:val="00A74035"/>
    <w:rsid w:val="00A7412B"/>
    <w:rsid w:val="00A74387"/>
    <w:rsid w:val="00A75170"/>
    <w:rsid w:val="00A75ACE"/>
    <w:rsid w:val="00A762EB"/>
    <w:rsid w:val="00A762F6"/>
    <w:rsid w:val="00A76C88"/>
    <w:rsid w:val="00A77186"/>
    <w:rsid w:val="00A774E8"/>
    <w:rsid w:val="00A77BA4"/>
    <w:rsid w:val="00A8051C"/>
    <w:rsid w:val="00A80964"/>
    <w:rsid w:val="00A80972"/>
    <w:rsid w:val="00A81A57"/>
    <w:rsid w:val="00A82905"/>
    <w:rsid w:val="00A82DD0"/>
    <w:rsid w:val="00A82E06"/>
    <w:rsid w:val="00A83111"/>
    <w:rsid w:val="00A83442"/>
    <w:rsid w:val="00A83A3D"/>
    <w:rsid w:val="00A84047"/>
    <w:rsid w:val="00A84883"/>
    <w:rsid w:val="00A84D52"/>
    <w:rsid w:val="00A84E46"/>
    <w:rsid w:val="00A8539C"/>
    <w:rsid w:val="00A855AA"/>
    <w:rsid w:val="00A85776"/>
    <w:rsid w:val="00A85982"/>
    <w:rsid w:val="00A85B82"/>
    <w:rsid w:val="00A867AA"/>
    <w:rsid w:val="00A86BFE"/>
    <w:rsid w:val="00A86D5A"/>
    <w:rsid w:val="00A879DE"/>
    <w:rsid w:val="00A87DA8"/>
    <w:rsid w:val="00A90123"/>
    <w:rsid w:val="00A9021C"/>
    <w:rsid w:val="00A9047C"/>
    <w:rsid w:val="00A90687"/>
    <w:rsid w:val="00A90D71"/>
    <w:rsid w:val="00A911F5"/>
    <w:rsid w:val="00A918EB"/>
    <w:rsid w:val="00A9191F"/>
    <w:rsid w:val="00A92458"/>
    <w:rsid w:val="00A927BC"/>
    <w:rsid w:val="00A934C1"/>
    <w:rsid w:val="00A93D91"/>
    <w:rsid w:val="00A93E6A"/>
    <w:rsid w:val="00A941DF"/>
    <w:rsid w:val="00A9468F"/>
    <w:rsid w:val="00A946D2"/>
    <w:rsid w:val="00A9481B"/>
    <w:rsid w:val="00A94A71"/>
    <w:rsid w:val="00A94E7D"/>
    <w:rsid w:val="00A95921"/>
    <w:rsid w:val="00A9674C"/>
    <w:rsid w:val="00A96C19"/>
    <w:rsid w:val="00A96E87"/>
    <w:rsid w:val="00A97225"/>
    <w:rsid w:val="00A972FF"/>
    <w:rsid w:val="00A97EDF"/>
    <w:rsid w:val="00A97FEF"/>
    <w:rsid w:val="00AA0782"/>
    <w:rsid w:val="00AA14B9"/>
    <w:rsid w:val="00AA1896"/>
    <w:rsid w:val="00AA22FC"/>
    <w:rsid w:val="00AA2661"/>
    <w:rsid w:val="00AA344D"/>
    <w:rsid w:val="00AA41FA"/>
    <w:rsid w:val="00AA46CB"/>
    <w:rsid w:val="00AA49A1"/>
    <w:rsid w:val="00AA517B"/>
    <w:rsid w:val="00AA51DF"/>
    <w:rsid w:val="00AA535D"/>
    <w:rsid w:val="00AA56B2"/>
    <w:rsid w:val="00AA6279"/>
    <w:rsid w:val="00AA64A9"/>
    <w:rsid w:val="00AA66E4"/>
    <w:rsid w:val="00AA6E00"/>
    <w:rsid w:val="00AA7700"/>
    <w:rsid w:val="00AA7916"/>
    <w:rsid w:val="00AA7B1B"/>
    <w:rsid w:val="00AB0683"/>
    <w:rsid w:val="00AB0E79"/>
    <w:rsid w:val="00AB179B"/>
    <w:rsid w:val="00AB197C"/>
    <w:rsid w:val="00AB199E"/>
    <w:rsid w:val="00AB1BA4"/>
    <w:rsid w:val="00AB1C64"/>
    <w:rsid w:val="00AB2382"/>
    <w:rsid w:val="00AB2DA9"/>
    <w:rsid w:val="00AB34F3"/>
    <w:rsid w:val="00AB358C"/>
    <w:rsid w:val="00AB3CBB"/>
    <w:rsid w:val="00AB40C7"/>
    <w:rsid w:val="00AB5052"/>
    <w:rsid w:val="00AB506C"/>
    <w:rsid w:val="00AB50B3"/>
    <w:rsid w:val="00AB510D"/>
    <w:rsid w:val="00AB519E"/>
    <w:rsid w:val="00AB5560"/>
    <w:rsid w:val="00AB5592"/>
    <w:rsid w:val="00AB607B"/>
    <w:rsid w:val="00AB60ED"/>
    <w:rsid w:val="00AB61BF"/>
    <w:rsid w:val="00AB6550"/>
    <w:rsid w:val="00AB6643"/>
    <w:rsid w:val="00AB67EF"/>
    <w:rsid w:val="00AB6D75"/>
    <w:rsid w:val="00AB6F49"/>
    <w:rsid w:val="00AB76A4"/>
    <w:rsid w:val="00AB7953"/>
    <w:rsid w:val="00AB7A3C"/>
    <w:rsid w:val="00AC0175"/>
    <w:rsid w:val="00AC027B"/>
    <w:rsid w:val="00AC0616"/>
    <w:rsid w:val="00AC0D48"/>
    <w:rsid w:val="00AC258E"/>
    <w:rsid w:val="00AC2F1A"/>
    <w:rsid w:val="00AC374B"/>
    <w:rsid w:val="00AC3F42"/>
    <w:rsid w:val="00AC55A7"/>
    <w:rsid w:val="00AC58FC"/>
    <w:rsid w:val="00AC5A37"/>
    <w:rsid w:val="00AC5A55"/>
    <w:rsid w:val="00AC5ED1"/>
    <w:rsid w:val="00AC67BE"/>
    <w:rsid w:val="00AC6AD9"/>
    <w:rsid w:val="00AC6E6A"/>
    <w:rsid w:val="00AC7008"/>
    <w:rsid w:val="00AC7112"/>
    <w:rsid w:val="00AC721B"/>
    <w:rsid w:val="00AC7AEF"/>
    <w:rsid w:val="00AC7D76"/>
    <w:rsid w:val="00AD00BD"/>
    <w:rsid w:val="00AD047E"/>
    <w:rsid w:val="00AD1CCC"/>
    <w:rsid w:val="00AD1E98"/>
    <w:rsid w:val="00AD2341"/>
    <w:rsid w:val="00AD26C7"/>
    <w:rsid w:val="00AD2DF6"/>
    <w:rsid w:val="00AD3384"/>
    <w:rsid w:val="00AD48BE"/>
    <w:rsid w:val="00AD48F9"/>
    <w:rsid w:val="00AD4ECF"/>
    <w:rsid w:val="00AD5427"/>
    <w:rsid w:val="00AD56F0"/>
    <w:rsid w:val="00AD5E69"/>
    <w:rsid w:val="00AD6029"/>
    <w:rsid w:val="00AD63F1"/>
    <w:rsid w:val="00AD6C4E"/>
    <w:rsid w:val="00AD79A8"/>
    <w:rsid w:val="00AD7AA1"/>
    <w:rsid w:val="00AD7DA8"/>
    <w:rsid w:val="00AD7FFB"/>
    <w:rsid w:val="00AE0016"/>
    <w:rsid w:val="00AE15D3"/>
    <w:rsid w:val="00AE16EC"/>
    <w:rsid w:val="00AE1DE3"/>
    <w:rsid w:val="00AE1EAA"/>
    <w:rsid w:val="00AE26FC"/>
    <w:rsid w:val="00AE3538"/>
    <w:rsid w:val="00AE3BF0"/>
    <w:rsid w:val="00AE413E"/>
    <w:rsid w:val="00AE47BB"/>
    <w:rsid w:val="00AE566D"/>
    <w:rsid w:val="00AE5831"/>
    <w:rsid w:val="00AE5C49"/>
    <w:rsid w:val="00AE5C50"/>
    <w:rsid w:val="00AE5ED8"/>
    <w:rsid w:val="00AE5F8A"/>
    <w:rsid w:val="00AE60E1"/>
    <w:rsid w:val="00AE77BF"/>
    <w:rsid w:val="00AE7B53"/>
    <w:rsid w:val="00AE7B86"/>
    <w:rsid w:val="00AF014A"/>
    <w:rsid w:val="00AF0CB4"/>
    <w:rsid w:val="00AF0D39"/>
    <w:rsid w:val="00AF1315"/>
    <w:rsid w:val="00AF1596"/>
    <w:rsid w:val="00AF2305"/>
    <w:rsid w:val="00AF2A93"/>
    <w:rsid w:val="00AF346B"/>
    <w:rsid w:val="00AF3E21"/>
    <w:rsid w:val="00AF4020"/>
    <w:rsid w:val="00AF46AA"/>
    <w:rsid w:val="00AF4700"/>
    <w:rsid w:val="00AF5D98"/>
    <w:rsid w:val="00AF67A1"/>
    <w:rsid w:val="00AF6AD9"/>
    <w:rsid w:val="00AF7307"/>
    <w:rsid w:val="00AF7FC2"/>
    <w:rsid w:val="00B0040F"/>
    <w:rsid w:val="00B00CB9"/>
    <w:rsid w:val="00B01E7C"/>
    <w:rsid w:val="00B02BB1"/>
    <w:rsid w:val="00B02C05"/>
    <w:rsid w:val="00B02E90"/>
    <w:rsid w:val="00B03124"/>
    <w:rsid w:val="00B03226"/>
    <w:rsid w:val="00B03A57"/>
    <w:rsid w:val="00B044C6"/>
    <w:rsid w:val="00B04E33"/>
    <w:rsid w:val="00B04F8B"/>
    <w:rsid w:val="00B0505C"/>
    <w:rsid w:val="00B057B6"/>
    <w:rsid w:val="00B05898"/>
    <w:rsid w:val="00B064D7"/>
    <w:rsid w:val="00B068F4"/>
    <w:rsid w:val="00B069D9"/>
    <w:rsid w:val="00B07031"/>
    <w:rsid w:val="00B07ABD"/>
    <w:rsid w:val="00B07CAB"/>
    <w:rsid w:val="00B11791"/>
    <w:rsid w:val="00B11A87"/>
    <w:rsid w:val="00B11C48"/>
    <w:rsid w:val="00B11FDE"/>
    <w:rsid w:val="00B11FF2"/>
    <w:rsid w:val="00B1218F"/>
    <w:rsid w:val="00B1220E"/>
    <w:rsid w:val="00B12615"/>
    <w:rsid w:val="00B1281D"/>
    <w:rsid w:val="00B1292C"/>
    <w:rsid w:val="00B12A0C"/>
    <w:rsid w:val="00B12A83"/>
    <w:rsid w:val="00B13213"/>
    <w:rsid w:val="00B14102"/>
    <w:rsid w:val="00B1453C"/>
    <w:rsid w:val="00B14CF4"/>
    <w:rsid w:val="00B15AE6"/>
    <w:rsid w:val="00B15BE4"/>
    <w:rsid w:val="00B16ADD"/>
    <w:rsid w:val="00B17011"/>
    <w:rsid w:val="00B172A3"/>
    <w:rsid w:val="00B17DBC"/>
    <w:rsid w:val="00B17FE6"/>
    <w:rsid w:val="00B20D57"/>
    <w:rsid w:val="00B20DE2"/>
    <w:rsid w:val="00B21172"/>
    <w:rsid w:val="00B2143E"/>
    <w:rsid w:val="00B214A8"/>
    <w:rsid w:val="00B21578"/>
    <w:rsid w:val="00B21709"/>
    <w:rsid w:val="00B2222C"/>
    <w:rsid w:val="00B228C2"/>
    <w:rsid w:val="00B22D38"/>
    <w:rsid w:val="00B22DD7"/>
    <w:rsid w:val="00B233C5"/>
    <w:rsid w:val="00B233F9"/>
    <w:rsid w:val="00B23576"/>
    <w:rsid w:val="00B2361D"/>
    <w:rsid w:val="00B236B8"/>
    <w:rsid w:val="00B23E2C"/>
    <w:rsid w:val="00B24301"/>
    <w:rsid w:val="00B24542"/>
    <w:rsid w:val="00B24F9D"/>
    <w:rsid w:val="00B251C3"/>
    <w:rsid w:val="00B26221"/>
    <w:rsid w:val="00B26540"/>
    <w:rsid w:val="00B26D0E"/>
    <w:rsid w:val="00B26DBE"/>
    <w:rsid w:val="00B27253"/>
    <w:rsid w:val="00B27291"/>
    <w:rsid w:val="00B27A34"/>
    <w:rsid w:val="00B309AF"/>
    <w:rsid w:val="00B30A76"/>
    <w:rsid w:val="00B30D99"/>
    <w:rsid w:val="00B30DB4"/>
    <w:rsid w:val="00B3163B"/>
    <w:rsid w:val="00B319AB"/>
    <w:rsid w:val="00B31D53"/>
    <w:rsid w:val="00B325CC"/>
    <w:rsid w:val="00B32C5E"/>
    <w:rsid w:val="00B32FC7"/>
    <w:rsid w:val="00B331D8"/>
    <w:rsid w:val="00B332C1"/>
    <w:rsid w:val="00B34B6B"/>
    <w:rsid w:val="00B34F63"/>
    <w:rsid w:val="00B35670"/>
    <w:rsid w:val="00B35757"/>
    <w:rsid w:val="00B3585D"/>
    <w:rsid w:val="00B36B4C"/>
    <w:rsid w:val="00B36CCD"/>
    <w:rsid w:val="00B36F6F"/>
    <w:rsid w:val="00B371FC"/>
    <w:rsid w:val="00B3720D"/>
    <w:rsid w:val="00B37378"/>
    <w:rsid w:val="00B37805"/>
    <w:rsid w:val="00B37F58"/>
    <w:rsid w:val="00B4012B"/>
    <w:rsid w:val="00B40146"/>
    <w:rsid w:val="00B4056F"/>
    <w:rsid w:val="00B4090E"/>
    <w:rsid w:val="00B409EA"/>
    <w:rsid w:val="00B40EDB"/>
    <w:rsid w:val="00B4226A"/>
    <w:rsid w:val="00B42E73"/>
    <w:rsid w:val="00B43126"/>
    <w:rsid w:val="00B438AE"/>
    <w:rsid w:val="00B43F85"/>
    <w:rsid w:val="00B447CB"/>
    <w:rsid w:val="00B44A01"/>
    <w:rsid w:val="00B44EF7"/>
    <w:rsid w:val="00B45494"/>
    <w:rsid w:val="00B45CE1"/>
    <w:rsid w:val="00B465FA"/>
    <w:rsid w:val="00B466D7"/>
    <w:rsid w:val="00B47D16"/>
    <w:rsid w:val="00B47ED7"/>
    <w:rsid w:val="00B50637"/>
    <w:rsid w:val="00B50EBD"/>
    <w:rsid w:val="00B52056"/>
    <w:rsid w:val="00B52415"/>
    <w:rsid w:val="00B526CB"/>
    <w:rsid w:val="00B5275C"/>
    <w:rsid w:val="00B53A21"/>
    <w:rsid w:val="00B53B49"/>
    <w:rsid w:val="00B54020"/>
    <w:rsid w:val="00B54588"/>
    <w:rsid w:val="00B54844"/>
    <w:rsid w:val="00B548FA"/>
    <w:rsid w:val="00B54A0A"/>
    <w:rsid w:val="00B54F44"/>
    <w:rsid w:val="00B55561"/>
    <w:rsid w:val="00B566A7"/>
    <w:rsid w:val="00B56FF3"/>
    <w:rsid w:val="00B5751D"/>
    <w:rsid w:val="00B57A7A"/>
    <w:rsid w:val="00B57AFD"/>
    <w:rsid w:val="00B57EA9"/>
    <w:rsid w:val="00B57FD0"/>
    <w:rsid w:val="00B60776"/>
    <w:rsid w:val="00B60781"/>
    <w:rsid w:val="00B608D2"/>
    <w:rsid w:val="00B61301"/>
    <w:rsid w:val="00B61450"/>
    <w:rsid w:val="00B61614"/>
    <w:rsid w:val="00B61837"/>
    <w:rsid w:val="00B61CA4"/>
    <w:rsid w:val="00B61D39"/>
    <w:rsid w:val="00B61F41"/>
    <w:rsid w:val="00B62981"/>
    <w:rsid w:val="00B62FD6"/>
    <w:rsid w:val="00B6313C"/>
    <w:rsid w:val="00B63151"/>
    <w:rsid w:val="00B63378"/>
    <w:rsid w:val="00B636FB"/>
    <w:rsid w:val="00B637AD"/>
    <w:rsid w:val="00B638F0"/>
    <w:rsid w:val="00B63D29"/>
    <w:rsid w:val="00B63F49"/>
    <w:rsid w:val="00B641F8"/>
    <w:rsid w:val="00B64399"/>
    <w:rsid w:val="00B64ECA"/>
    <w:rsid w:val="00B65AB5"/>
    <w:rsid w:val="00B6604E"/>
    <w:rsid w:val="00B66A52"/>
    <w:rsid w:val="00B676E8"/>
    <w:rsid w:val="00B67C94"/>
    <w:rsid w:val="00B67E64"/>
    <w:rsid w:val="00B70961"/>
    <w:rsid w:val="00B7146F"/>
    <w:rsid w:val="00B715EF"/>
    <w:rsid w:val="00B72089"/>
    <w:rsid w:val="00B7228A"/>
    <w:rsid w:val="00B73236"/>
    <w:rsid w:val="00B736DD"/>
    <w:rsid w:val="00B73827"/>
    <w:rsid w:val="00B73BC1"/>
    <w:rsid w:val="00B73FAD"/>
    <w:rsid w:val="00B74AF9"/>
    <w:rsid w:val="00B75A9D"/>
    <w:rsid w:val="00B75CDF"/>
    <w:rsid w:val="00B76111"/>
    <w:rsid w:val="00B7639E"/>
    <w:rsid w:val="00B7662E"/>
    <w:rsid w:val="00B76B12"/>
    <w:rsid w:val="00B76FCC"/>
    <w:rsid w:val="00B77350"/>
    <w:rsid w:val="00B777E4"/>
    <w:rsid w:val="00B77968"/>
    <w:rsid w:val="00B7796A"/>
    <w:rsid w:val="00B77A56"/>
    <w:rsid w:val="00B800D9"/>
    <w:rsid w:val="00B82086"/>
    <w:rsid w:val="00B82351"/>
    <w:rsid w:val="00B833D9"/>
    <w:rsid w:val="00B84943"/>
    <w:rsid w:val="00B8566C"/>
    <w:rsid w:val="00B86137"/>
    <w:rsid w:val="00B86431"/>
    <w:rsid w:val="00B8663D"/>
    <w:rsid w:val="00B86A6C"/>
    <w:rsid w:val="00B86C1B"/>
    <w:rsid w:val="00B8774F"/>
    <w:rsid w:val="00B879F0"/>
    <w:rsid w:val="00B87C3B"/>
    <w:rsid w:val="00B900B2"/>
    <w:rsid w:val="00B91263"/>
    <w:rsid w:val="00B92036"/>
    <w:rsid w:val="00B927E5"/>
    <w:rsid w:val="00B94095"/>
    <w:rsid w:val="00B95131"/>
    <w:rsid w:val="00B952A6"/>
    <w:rsid w:val="00B9588D"/>
    <w:rsid w:val="00B95ADD"/>
    <w:rsid w:val="00B966CD"/>
    <w:rsid w:val="00B96FAC"/>
    <w:rsid w:val="00B9706B"/>
    <w:rsid w:val="00B975F3"/>
    <w:rsid w:val="00B97674"/>
    <w:rsid w:val="00BA0027"/>
    <w:rsid w:val="00BA0A48"/>
    <w:rsid w:val="00BA0CAC"/>
    <w:rsid w:val="00BA10FF"/>
    <w:rsid w:val="00BA17B4"/>
    <w:rsid w:val="00BA18A1"/>
    <w:rsid w:val="00BA1D39"/>
    <w:rsid w:val="00BA1E11"/>
    <w:rsid w:val="00BA1FBA"/>
    <w:rsid w:val="00BA37D7"/>
    <w:rsid w:val="00BA4A16"/>
    <w:rsid w:val="00BA50E8"/>
    <w:rsid w:val="00BA5577"/>
    <w:rsid w:val="00BA69FB"/>
    <w:rsid w:val="00BA7384"/>
    <w:rsid w:val="00BB002C"/>
    <w:rsid w:val="00BB0148"/>
    <w:rsid w:val="00BB0189"/>
    <w:rsid w:val="00BB1F32"/>
    <w:rsid w:val="00BB3B42"/>
    <w:rsid w:val="00BB3F5C"/>
    <w:rsid w:val="00BB40EC"/>
    <w:rsid w:val="00BB49C4"/>
    <w:rsid w:val="00BB513C"/>
    <w:rsid w:val="00BB5947"/>
    <w:rsid w:val="00BB655E"/>
    <w:rsid w:val="00BB69A5"/>
    <w:rsid w:val="00BB69E7"/>
    <w:rsid w:val="00BB7046"/>
    <w:rsid w:val="00BB72D9"/>
    <w:rsid w:val="00BB75BE"/>
    <w:rsid w:val="00BB7F18"/>
    <w:rsid w:val="00BC002C"/>
    <w:rsid w:val="00BC025F"/>
    <w:rsid w:val="00BC0A79"/>
    <w:rsid w:val="00BC0DDE"/>
    <w:rsid w:val="00BC0EFB"/>
    <w:rsid w:val="00BC1002"/>
    <w:rsid w:val="00BC1733"/>
    <w:rsid w:val="00BC21EE"/>
    <w:rsid w:val="00BC24C6"/>
    <w:rsid w:val="00BC44EF"/>
    <w:rsid w:val="00BC4716"/>
    <w:rsid w:val="00BC4753"/>
    <w:rsid w:val="00BC4DB5"/>
    <w:rsid w:val="00BC5F29"/>
    <w:rsid w:val="00BC610E"/>
    <w:rsid w:val="00BC620A"/>
    <w:rsid w:val="00BC64E3"/>
    <w:rsid w:val="00BC65D8"/>
    <w:rsid w:val="00BC67C7"/>
    <w:rsid w:val="00BC6948"/>
    <w:rsid w:val="00BC7106"/>
    <w:rsid w:val="00BC7434"/>
    <w:rsid w:val="00BC74D1"/>
    <w:rsid w:val="00BD1415"/>
    <w:rsid w:val="00BD17FC"/>
    <w:rsid w:val="00BD19C2"/>
    <w:rsid w:val="00BD1C62"/>
    <w:rsid w:val="00BD1D96"/>
    <w:rsid w:val="00BD2012"/>
    <w:rsid w:val="00BD27A2"/>
    <w:rsid w:val="00BD316B"/>
    <w:rsid w:val="00BD396E"/>
    <w:rsid w:val="00BD3C64"/>
    <w:rsid w:val="00BD4653"/>
    <w:rsid w:val="00BD4B3C"/>
    <w:rsid w:val="00BD54EF"/>
    <w:rsid w:val="00BD560B"/>
    <w:rsid w:val="00BD622B"/>
    <w:rsid w:val="00BD637E"/>
    <w:rsid w:val="00BD6475"/>
    <w:rsid w:val="00BD75B5"/>
    <w:rsid w:val="00BD7C2F"/>
    <w:rsid w:val="00BE0B51"/>
    <w:rsid w:val="00BE1570"/>
    <w:rsid w:val="00BE2499"/>
    <w:rsid w:val="00BE344A"/>
    <w:rsid w:val="00BE34B4"/>
    <w:rsid w:val="00BE3555"/>
    <w:rsid w:val="00BE3702"/>
    <w:rsid w:val="00BE4F99"/>
    <w:rsid w:val="00BE4FB1"/>
    <w:rsid w:val="00BE52B1"/>
    <w:rsid w:val="00BE5C95"/>
    <w:rsid w:val="00BE5F27"/>
    <w:rsid w:val="00BE6288"/>
    <w:rsid w:val="00BE6721"/>
    <w:rsid w:val="00BF0223"/>
    <w:rsid w:val="00BF0271"/>
    <w:rsid w:val="00BF06DD"/>
    <w:rsid w:val="00BF12C4"/>
    <w:rsid w:val="00BF207D"/>
    <w:rsid w:val="00BF214A"/>
    <w:rsid w:val="00BF224A"/>
    <w:rsid w:val="00BF259B"/>
    <w:rsid w:val="00BF2C0E"/>
    <w:rsid w:val="00BF2FF3"/>
    <w:rsid w:val="00BF3BC1"/>
    <w:rsid w:val="00BF441A"/>
    <w:rsid w:val="00BF4A21"/>
    <w:rsid w:val="00BF5C52"/>
    <w:rsid w:val="00BF5C84"/>
    <w:rsid w:val="00BF5E81"/>
    <w:rsid w:val="00BF61F1"/>
    <w:rsid w:val="00BF65CA"/>
    <w:rsid w:val="00BF69CE"/>
    <w:rsid w:val="00BF7051"/>
    <w:rsid w:val="00BF7831"/>
    <w:rsid w:val="00C00525"/>
    <w:rsid w:val="00C00E14"/>
    <w:rsid w:val="00C01123"/>
    <w:rsid w:val="00C02055"/>
    <w:rsid w:val="00C020E9"/>
    <w:rsid w:val="00C02197"/>
    <w:rsid w:val="00C0236E"/>
    <w:rsid w:val="00C02CC2"/>
    <w:rsid w:val="00C03A44"/>
    <w:rsid w:val="00C03D80"/>
    <w:rsid w:val="00C04E16"/>
    <w:rsid w:val="00C04E99"/>
    <w:rsid w:val="00C0585E"/>
    <w:rsid w:val="00C0607F"/>
    <w:rsid w:val="00C06F95"/>
    <w:rsid w:val="00C079FA"/>
    <w:rsid w:val="00C105A8"/>
    <w:rsid w:val="00C107B3"/>
    <w:rsid w:val="00C10FDA"/>
    <w:rsid w:val="00C1110D"/>
    <w:rsid w:val="00C11523"/>
    <w:rsid w:val="00C11703"/>
    <w:rsid w:val="00C11920"/>
    <w:rsid w:val="00C11A50"/>
    <w:rsid w:val="00C11A94"/>
    <w:rsid w:val="00C12113"/>
    <w:rsid w:val="00C12114"/>
    <w:rsid w:val="00C122E5"/>
    <w:rsid w:val="00C124DB"/>
    <w:rsid w:val="00C127B1"/>
    <w:rsid w:val="00C127FE"/>
    <w:rsid w:val="00C12DEA"/>
    <w:rsid w:val="00C1335A"/>
    <w:rsid w:val="00C134B7"/>
    <w:rsid w:val="00C13860"/>
    <w:rsid w:val="00C138E3"/>
    <w:rsid w:val="00C14254"/>
    <w:rsid w:val="00C1432E"/>
    <w:rsid w:val="00C14700"/>
    <w:rsid w:val="00C14E32"/>
    <w:rsid w:val="00C14F07"/>
    <w:rsid w:val="00C15E87"/>
    <w:rsid w:val="00C167CA"/>
    <w:rsid w:val="00C17141"/>
    <w:rsid w:val="00C17202"/>
    <w:rsid w:val="00C175D0"/>
    <w:rsid w:val="00C17D9D"/>
    <w:rsid w:val="00C20104"/>
    <w:rsid w:val="00C2096B"/>
    <w:rsid w:val="00C20D8F"/>
    <w:rsid w:val="00C21753"/>
    <w:rsid w:val="00C21A8D"/>
    <w:rsid w:val="00C21E1E"/>
    <w:rsid w:val="00C21E2C"/>
    <w:rsid w:val="00C22C49"/>
    <w:rsid w:val="00C22D34"/>
    <w:rsid w:val="00C22D8B"/>
    <w:rsid w:val="00C2371A"/>
    <w:rsid w:val="00C2374A"/>
    <w:rsid w:val="00C23C0F"/>
    <w:rsid w:val="00C240D8"/>
    <w:rsid w:val="00C242C1"/>
    <w:rsid w:val="00C24473"/>
    <w:rsid w:val="00C24DB0"/>
    <w:rsid w:val="00C24E97"/>
    <w:rsid w:val="00C25541"/>
    <w:rsid w:val="00C26245"/>
    <w:rsid w:val="00C266E2"/>
    <w:rsid w:val="00C26B1C"/>
    <w:rsid w:val="00C274AA"/>
    <w:rsid w:val="00C27940"/>
    <w:rsid w:val="00C3036B"/>
    <w:rsid w:val="00C306D8"/>
    <w:rsid w:val="00C313BB"/>
    <w:rsid w:val="00C31BC7"/>
    <w:rsid w:val="00C32152"/>
    <w:rsid w:val="00C325AC"/>
    <w:rsid w:val="00C326B9"/>
    <w:rsid w:val="00C32965"/>
    <w:rsid w:val="00C32AFA"/>
    <w:rsid w:val="00C3426D"/>
    <w:rsid w:val="00C3436C"/>
    <w:rsid w:val="00C34393"/>
    <w:rsid w:val="00C34552"/>
    <w:rsid w:val="00C34BE9"/>
    <w:rsid w:val="00C364F1"/>
    <w:rsid w:val="00C36B99"/>
    <w:rsid w:val="00C36F4F"/>
    <w:rsid w:val="00C370FB"/>
    <w:rsid w:val="00C371C8"/>
    <w:rsid w:val="00C37CA5"/>
    <w:rsid w:val="00C37CAC"/>
    <w:rsid w:val="00C37EC9"/>
    <w:rsid w:val="00C37F63"/>
    <w:rsid w:val="00C4022D"/>
    <w:rsid w:val="00C403C8"/>
    <w:rsid w:val="00C40707"/>
    <w:rsid w:val="00C40FBF"/>
    <w:rsid w:val="00C414D5"/>
    <w:rsid w:val="00C415D1"/>
    <w:rsid w:val="00C41D59"/>
    <w:rsid w:val="00C42CFF"/>
    <w:rsid w:val="00C42FD4"/>
    <w:rsid w:val="00C431FF"/>
    <w:rsid w:val="00C43DF7"/>
    <w:rsid w:val="00C43E7A"/>
    <w:rsid w:val="00C44214"/>
    <w:rsid w:val="00C4454D"/>
    <w:rsid w:val="00C445D0"/>
    <w:rsid w:val="00C44ADA"/>
    <w:rsid w:val="00C44D47"/>
    <w:rsid w:val="00C45612"/>
    <w:rsid w:val="00C45BDF"/>
    <w:rsid w:val="00C46060"/>
    <w:rsid w:val="00C46792"/>
    <w:rsid w:val="00C46E62"/>
    <w:rsid w:val="00C5020D"/>
    <w:rsid w:val="00C50711"/>
    <w:rsid w:val="00C51711"/>
    <w:rsid w:val="00C51745"/>
    <w:rsid w:val="00C51883"/>
    <w:rsid w:val="00C51ABA"/>
    <w:rsid w:val="00C51E1F"/>
    <w:rsid w:val="00C523C6"/>
    <w:rsid w:val="00C525BA"/>
    <w:rsid w:val="00C53065"/>
    <w:rsid w:val="00C532FC"/>
    <w:rsid w:val="00C54204"/>
    <w:rsid w:val="00C54252"/>
    <w:rsid w:val="00C547AB"/>
    <w:rsid w:val="00C54BFE"/>
    <w:rsid w:val="00C54EFD"/>
    <w:rsid w:val="00C55124"/>
    <w:rsid w:val="00C55300"/>
    <w:rsid w:val="00C5548C"/>
    <w:rsid w:val="00C555F7"/>
    <w:rsid w:val="00C556E5"/>
    <w:rsid w:val="00C5587C"/>
    <w:rsid w:val="00C55B33"/>
    <w:rsid w:val="00C55EF8"/>
    <w:rsid w:val="00C56446"/>
    <w:rsid w:val="00C56726"/>
    <w:rsid w:val="00C56B7E"/>
    <w:rsid w:val="00C57054"/>
    <w:rsid w:val="00C574DA"/>
    <w:rsid w:val="00C57811"/>
    <w:rsid w:val="00C57823"/>
    <w:rsid w:val="00C602AF"/>
    <w:rsid w:val="00C60592"/>
    <w:rsid w:val="00C60863"/>
    <w:rsid w:val="00C60D47"/>
    <w:rsid w:val="00C6122E"/>
    <w:rsid w:val="00C61A90"/>
    <w:rsid w:val="00C61E64"/>
    <w:rsid w:val="00C62069"/>
    <w:rsid w:val="00C6285D"/>
    <w:rsid w:val="00C63086"/>
    <w:rsid w:val="00C6356E"/>
    <w:rsid w:val="00C639E3"/>
    <w:rsid w:val="00C63C5C"/>
    <w:rsid w:val="00C63D07"/>
    <w:rsid w:val="00C640E3"/>
    <w:rsid w:val="00C64333"/>
    <w:rsid w:val="00C6434D"/>
    <w:rsid w:val="00C650C3"/>
    <w:rsid w:val="00C6510C"/>
    <w:rsid w:val="00C65FA7"/>
    <w:rsid w:val="00C66E07"/>
    <w:rsid w:val="00C66FDC"/>
    <w:rsid w:val="00C67C41"/>
    <w:rsid w:val="00C70563"/>
    <w:rsid w:val="00C70C87"/>
    <w:rsid w:val="00C70CE9"/>
    <w:rsid w:val="00C70DF6"/>
    <w:rsid w:val="00C70FC2"/>
    <w:rsid w:val="00C71292"/>
    <w:rsid w:val="00C71484"/>
    <w:rsid w:val="00C716CA"/>
    <w:rsid w:val="00C71B5E"/>
    <w:rsid w:val="00C72305"/>
    <w:rsid w:val="00C7287F"/>
    <w:rsid w:val="00C72B1C"/>
    <w:rsid w:val="00C735A7"/>
    <w:rsid w:val="00C74628"/>
    <w:rsid w:val="00C74E30"/>
    <w:rsid w:val="00C7509B"/>
    <w:rsid w:val="00C759D6"/>
    <w:rsid w:val="00C75D84"/>
    <w:rsid w:val="00C75ED3"/>
    <w:rsid w:val="00C75FC4"/>
    <w:rsid w:val="00C76868"/>
    <w:rsid w:val="00C76EBF"/>
    <w:rsid w:val="00C76FAC"/>
    <w:rsid w:val="00C778C7"/>
    <w:rsid w:val="00C8034D"/>
    <w:rsid w:val="00C8035B"/>
    <w:rsid w:val="00C80590"/>
    <w:rsid w:val="00C80AEF"/>
    <w:rsid w:val="00C80B3C"/>
    <w:rsid w:val="00C81094"/>
    <w:rsid w:val="00C8155D"/>
    <w:rsid w:val="00C826F7"/>
    <w:rsid w:val="00C82A39"/>
    <w:rsid w:val="00C82AAB"/>
    <w:rsid w:val="00C83877"/>
    <w:rsid w:val="00C83BA3"/>
    <w:rsid w:val="00C8566F"/>
    <w:rsid w:val="00C859AE"/>
    <w:rsid w:val="00C85C65"/>
    <w:rsid w:val="00C85E0D"/>
    <w:rsid w:val="00C85EA6"/>
    <w:rsid w:val="00C85EB9"/>
    <w:rsid w:val="00C86153"/>
    <w:rsid w:val="00C86343"/>
    <w:rsid w:val="00C86A64"/>
    <w:rsid w:val="00C86C2F"/>
    <w:rsid w:val="00C86CEA"/>
    <w:rsid w:val="00C86EC3"/>
    <w:rsid w:val="00C86F32"/>
    <w:rsid w:val="00C87014"/>
    <w:rsid w:val="00C87A6F"/>
    <w:rsid w:val="00C87AAC"/>
    <w:rsid w:val="00C87C43"/>
    <w:rsid w:val="00C90570"/>
    <w:rsid w:val="00C90AB4"/>
    <w:rsid w:val="00C90E20"/>
    <w:rsid w:val="00C9118C"/>
    <w:rsid w:val="00C9271B"/>
    <w:rsid w:val="00C92B60"/>
    <w:rsid w:val="00C92B9C"/>
    <w:rsid w:val="00C939EC"/>
    <w:rsid w:val="00C93B0E"/>
    <w:rsid w:val="00C944FC"/>
    <w:rsid w:val="00C9566D"/>
    <w:rsid w:val="00C95BD9"/>
    <w:rsid w:val="00C966E7"/>
    <w:rsid w:val="00C96911"/>
    <w:rsid w:val="00C96A9B"/>
    <w:rsid w:val="00C97937"/>
    <w:rsid w:val="00C979D0"/>
    <w:rsid w:val="00C97F53"/>
    <w:rsid w:val="00CA03CC"/>
    <w:rsid w:val="00CA19EB"/>
    <w:rsid w:val="00CA2CEF"/>
    <w:rsid w:val="00CA2D7B"/>
    <w:rsid w:val="00CA2EC7"/>
    <w:rsid w:val="00CA32EF"/>
    <w:rsid w:val="00CA35B7"/>
    <w:rsid w:val="00CA410E"/>
    <w:rsid w:val="00CA43B0"/>
    <w:rsid w:val="00CA447E"/>
    <w:rsid w:val="00CA4CD6"/>
    <w:rsid w:val="00CA5385"/>
    <w:rsid w:val="00CA625B"/>
    <w:rsid w:val="00CA6619"/>
    <w:rsid w:val="00CA6A94"/>
    <w:rsid w:val="00CA72DD"/>
    <w:rsid w:val="00CB01D2"/>
    <w:rsid w:val="00CB0275"/>
    <w:rsid w:val="00CB0310"/>
    <w:rsid w:val="00CB08C4"/>
    <w:rsid w:val="00CB0CDF"/>
    <w:rsid w:val="00CB0E40"/>
    <w:rsid w:val="00CB0FE7"/>
    <w:rsid w:val="00CB15BB"/>
    <w:rsid w:val="00CB1B45"/>
    <w:rsid w:val="00CB1DDE"/>
    <w:rsid w:val="00CB27F5"/>
    <w:rsid w:val="00CB27FD"/>
    <w:rsid w:val="00CB37BB"/>
    <w:rsid w:val="00CB394A"/>
    <w:rsid w:val="00CB3A45"/>
    <w:rsid w:val="00CB4952"/>
    <w:rsid w:val="00CB4C68"/>
    <w:rsid w:val="00CB4E9C"/>
    <w:rsid w:val="00CB528D"/>
    <w:rsid w:val="00CB5761"/>
    <w:rsid w:val="00CB5F5B"/>
    <w:rsid w:val="00CB635C"/>
    <w:rsid w:val="00CB67E7"/>
    <w:rsid w:val="00CB6AF2"/>
    <w:rsid w:val="00CB6C05"/>
    <w:rsid w:val="00CB6CF8"/>
    <w:rsid w:val="00CB6E6B"/>
    <w:rsid w:val="00CB6ED1"/>
    <w:rsid w:val="00CB7261"/>
    <w:rsid w:val="00CB7321"/>
    <w:rsid w:val="00CB7E0A"/>
    <w:rsid w:val="00CC000F"/>
    <w:rsid w:val="00CC0146"/>
    <w:rsid w:val="00CC051E"/>
    <w:rsid w:val="00CC05C5"/>
    <w:rsid w:val="00CC0929"/>
    <w:rsid w:val="00CC2FF9"/>
    <w:rsid w:val="00CC3027"/>
    <w:rsid w:val="00CC326B"/>
    <w:rsid w:val="00CC390D"/>
    <w:rsid w:val="00CC3C10"/>
    <w:rsid w:val="00CC3D17"/>
    <w:rsid w:val="00CC421B"/>
    <w:rsid w:val="00CC4FB1"/>
    <w:rsid w:val="00CC52EA"/>
    <w:rsid w:val="00CC5552"/>
    <w:rsid w:val="00CC5AAE"/>
    <w:rsid w:val="00CC607A"/>
    <w:rsid w:val="00CC6563"/>
    <w:rsid w:val="00CC6C6B"/>
    <w:rsid w:val="00CC71D5"/>
    <w:rsid w:val="00CC7EB8"/>
    <w:rsid w:val="00CD1BC6"/>
    <w:rsid w:val="00CD1F7B"/>
    <w:rsid w:val="00CD23B6"/>
    <w:rsid w:val="00CD2453"/>
    <w:rsid w:val="00CD278E"/>
    <w:rsid w:val="00CD27EE"/>
    <w:rsid w:val="00CD3D0A"/>
    <w:rsid w:val="00CD4BF2"/>
    <w:rsid w:val="00CD655B"/>
    <w:rsid w:val="00CD6711"/>
    <w:rsid w:val="00CD6DD3"/>
    <w:rsid w:val="00CD7C97"/>
    <w:rsid w:val="00CD7E7D"/>
    <w:rsid w:val="00CD7EE9"/>
    <w:rsid w:val="00CE0350"/>
    <w:rsid w:val="00CE0532"/>
    <w:rsid w:val="00CE09D1"/>
    <w:rsid w:val="00CE0F41"/>
    <w:rsid w:val="00CE10BD"/>
    <w:rsid w:val="00CE1276"/>
    <w:rsid w:val="00CE1F17"/>
    <w:rsid w:val="00CE2596"/>
    <w:rsid w:val="00CE282D"/>
    <w:rsid w:val="00CE2BE6"/>
    <w:rsid w:val="00CE41E3"/>
    <w:rsid w:val="00CE4BCA"/>
    <w:rsid w:val="00CE4C9B"/>
    <w:rsid w:val="00CE4D56"/>
    <w:rsid w:val="00CE5366"/>
    <w:rsid w:val="00CE5C47"/>
    <w:rsid w:val="00CE6168"/>
    <w:rsid w:val="00CE61CD"/>
    <w:rsid w:val="00CE678E"/>
    <w:rsid w:val="00CE692E"/>
    <w:rsid w:val="00CE6D7E"/>
    <w:rsid w:val="00CE6DD2"/>
    <w:rsid w:val="00CE7C5B"/>
    <w:rsid w:val="00CE7F13"/>
    <w:rsid w:val="00CF0A69"/>
    <w:rsid w:val="00CF0B3D"/>
    <w:rsid w:val="00CF114D"/>
    <w:rsid w:val="00CF1E7B"/>
    <w:rsid w:val="00CF26BF"/>
    <w:rsid w:val="00CF272D"/>
    <w:rsid w:val="00CF3099"/>
    <w:rsid w:val="00CF30BD"/>
    <w:rsid w:val="00CF335D"/>
    <w:rsid w:val="00CF3550"/>
    <w:rsid w:val="00CF3A58"/>
    <w:rsid w:val="00CF3A63"/>
    <w:rsid w:val="00CF3FB2"/>
    <w:rsid w:val="00CF446F"/>
    <w:rsid w:val="00CF4764"/>
    <w:rsid w:val="00CF59F4"/>
    <w:rsid w:val="00CF5B07"/>
    <w:rsid w:val="00CF5EE0"/>
    <w:rsid w:val="00CF66A7"/>
    <w:rsid w:val="00CF6DB7"/>
    <w:rsid w:val="00CF77DB"/>
    <w:rsid w:val="00CF7D27"/>
    <w:rsid w:val="00CF7FF8"/>
    <w:rsid w:val="00D004BE"/>
    <w:rsid w:val="00D00852"/>
    <w:rsid w:val="00D00B08"/>
    <w:rsid w:val="00D00DBC"/>
    <w:rsid w:val="00D00EF5"/>
    <w:rsid w:val="00D0114B"/>
    <w:rsid w:val="00D02713"/>
    <w:rsid w:val="00D028FD"/>
    <w:rsid w:val="00D02E0A"/>
    <w:rsid w:val="00D03226"/>
    <w:rsid w:val="00D03449"/>
    <w:rsid w:val="00D034F4"/>
    <w:rsid w:val="00D03586"/>
    <w:rsid w:val="00D03B28"/>
    <w:rsid w:val="00D040DB"/>
    <w:rsid w:val="00D04519"/>
    <w:rsid w:val="00D0493E"/>
    <w:rsid w:val="00D05252"/>
    <w:rsid w:val="00D05726"/>
    <w:rsid w:val="00D059CE"/>
    <w:rsid w:val="00D059D0"/>
    <w:rsid w:val="00D05C9F"/>
    <w:rsid w:val="00D063F7"/>
    <w:rsid w:val="00D06A96"/>
    <w:rsid w:val="00D06C5B"/>
    <w:rsid w:val="00D07389"/>
    <w:rsid w:val="00D075C6"/>
    <w:rsid w:val="00D1049E"/>
    <w:rsid w:val="00D10C66"/>
    <w:rsid w:val="00D10CEB"/>
    <w:rsid w:val="00D10D4D"/>
    <w:rsid w:val="00D11163"/>
    <w:rsid w:val="00D114F4"/>
    <w:rsid w:val="00D114F6"/>
    <w:rsid w:val="00D11EE9"/>
    <w:rsid w:val="00D11FD6"/>
    <w:rsid w:val="00D12A06"/>
    <w:rsid w:val="00D1307F"/>
    <w:rsid w:val="00D130CF"/>
    <w:rsid w:val="00D13858"/>
    <w:rsid w:val="00D13C73"/>
    <w:rsid w:val="00D14000"/>
    <w:rsid w:val="00D141FF"/>
    <w:rsid w:val="00D146B3"/>
    <w:rsid w:val="00D14729"/>
    <w:rsid w:val="00D14B64"/>
    <w:rsid w:val="00D14FB9"/>
    <w:rsid w:val="00D1502F"/>
    <w:rsid w:val="00D154E7"/>
    <w:rsid w:val="00D1561D"/>
    <w:rsid w:val="00D159C1"/>
    <w:rsid w:val="00D15A7D"/>
    <w:rsid w:val="00D15DF1"/>
    <w:rsid w:val="00D15EB0"/>
    <w:rsid w:val="00D164BA"/>
    <w:rsid w:val="00D168F1"/>
    <w:rsid w:val="00D171F3"/>
    <w:rsid w:val="00D17E36"/>
    <w:rsid w:val="00D20042"/>
    <w:rsid w:val="00D2024B"/>
    <w:rsid w:val="00D20742"/>
    <w:rsid w:val="00D20910"/>
    <w:rsid w:val="00D2120E"/>
    <w:rsid w:val="00D213E9"/>
    <w:rsid w:val="00D214B8"/>
    <w:rsid w:val="00D219DF"/>
    <w:rsid w:val="00D21EFE"/>
    <w:rsid w:val="00D23376"/>
    <w:rsid w:val="00D2365A"/>
    <w:rsid w:val="00D236ED"/>
    <w:rsid w:val="00D237F8"/>
    <w:rsid w:val="00D23DEA"/>
    <w:rsid w:val="00D24630"/>
    <w:rsid w:val="00D24CB9"/>
    <w:rsid w:val="00D24EFB"/>
    <w:rsid w:val="00D2545F"/>
    <w:rsid w:val="00D25465"/>
    <w:rsid w:val="00D2558F"/>
    <w:rsid w:val="00D26E2B"/>
    <w:rsid w:val="00D2738F"/>
    <w:rsid w:val="00D30E72"/>
    <w:rsid w:val="00D3120E"/>
    <w:rsid w:val="00D31CD2"/>
    <w:rsid w:val="00D31CEC"/>
    <w:rsid w:val="00D3219B"/>
    <w:rsid w:val="00D33B6C"/>
    <w:rsid w:val="00D3454C"/>
    <w:rsid w:val="00D347A7"/>
    <w:rsid w:val="00D34ED3"/>
    <w:rsid w:val="00D34F4F"/>
    <w:rsid w:val="00D3507F"/>
    <w:rsid w:val="00D35D9A"/>
    <w:rsid w:val="00D36409"/>
    <w:rsid w:val="00D36FA2"/>
    <w:rsid w:val="00D370A6"/>
    <w:rsid w:val="00D3727B"/>
    <w:rsid w:val="00D376D9"/>
    <w:rsid w:val="00D37F45"/>
    <w:rsid w:val="00D37F9F"/>
    <w:rsid w:val="00D40888"/>
    <w:rsid w:val="00D40B81"/>
    <w:rsid w:val="00D40CF0"/>
    <w:rsid w:val="00D4105E"/>
    <w:rsid w:val="00D41685"/>
    <w:rsid w:val="00D427F5"/>
    <w:rsid w:val="00D42D05"/>
    <w:rsid w:val="00D42E24"/>
    <w:rsid w:val="00D43012"/>
    <w:rsid w:val="00D43FA7"/>
    <w:rsid w:val="00D4418C"/>
    <w:rsid w:val="00D44359"/>
    <w:rsid w:val="00D444E6"/>
    <w:rsid w:val="00D44A44"/>
    <w:rsid w:val="00D44EE2"/>
    <w:rsid w:val="00D454EE"/>
    <w:rsid w:val="00D46107"/>
    <w:rsid w:val="00D46139"/>
    <w:rsid w:val="00D46CC3"/>
    <w:rsid w:val="00D5056D"/>
    <w:rsid w:val="00D50640"/>
    <w:rsid w:val="00D50854"/>
    <w:rsid w:val="00D50899"/>
    <w:rsid w:val="00D50C37"/>
    <w:rsid w:val="00D517BF"/>
    <w:rsid w:val="00D51E1E"/>
    <w:rsid w:val="00D5282A"/>
    <w:rsid w:val="00D52C1F"/>
    <w:rsid w:val="00D54158"/>
    <w:rsid w:val="00D54C5D"/>
    <w:rsid w:val="00D54F18"/>
    <w:rsid w:val="00D553FC"/>
    <w:rsid w:val="00D55732"/>
    <w:rsid w:val="00D5656A"/>
    <w:rsid w:val="00D5688B"/>
    <w:rsid w:val="00D579A0"/>
    <w:rsid w:val="00D579A2"/>
    <w:rsid w:val="00D60001"/>
    <w:rsid w:val="00D6001F"/>
    <w:rsid w:val="00D60B96"/>
    <w:rsid w:val="00D60DAA"/>
    <w:rsid w:val="00D610C6"/>
    <w:rsid w:val="00D611BE"/>
    <w:rsid w:val="00D612C6"/>
    <w:rsid w:val="00D614AC"/>
    <w:rsid w:val="00D614DA"/>
    <w:rsid w:val="00D617BF"/>
    <w:rsid w:val="00D618AE"/>
    <w:rsid w:val="00D619D9"/>
    <w:rsid w:val="00D61F2D"/>
    <w:rsid w:val="00D62275"/>
    <w:rsid w:val="00D622C7"/>
    <w:rsid w:val="00D625B0"/>
    <w:rsid w:val="00D62772"/>
    <w:rsid w:val="00D62774"/>
    <w:rsid w:val="00D62AE7"/>
    <w:rsid w:val="00D63096"/>
    <w:rsid w:val="00D63D53"/>
    <w:rsid w:val="00D63D7F"/>
    <w:rsid w:val="00D63DA4"/>
    <w:rsid w:val="00D64A56"/>
    <w:rsid w:val="00D65340"/>
    <w:rsid w:val="00D65430"/>
    <w:rsid w:val="00D659EF"/>
    <w:rsid w:val="00D65C3F"/>
    <w:rsid w:val="00D65CEB"/>
    <w:rsid w:val="00D65D98"/>
    <w:rsid w:val="00D66BAB"/>
    <w:rsid w:val="00D677B8"/>
    <w:rsid w:val="00D677EB"/>
    <w:rsid w:val="00D67D1D"/>
    <w:rsid w:val="00D67F91"/>
    <w:rsid w:val="00D70C7D"/>
    <w:rsid w:val="00D70CEF"/>
    <w:rsid w:val="00D71E4E"/>
    <w:rsid w:val="00D71FBD"/>
    <w:rsid w:val="00D72181"/>
    <w:rsid w:val="00D7232E"/>
    <w:rsid w:val="00D72920"/>
    <w:rsid w:val="00D72A9F"/>
    <w:rsid w:val="00D72BB1"/>
    <w:rsid w:val="00D72D78"/>
    <w:rsid w:val="00D735EA"/>
    <w:rsid w:val="00D737AF"/>
    <w:rsid w:val="00D7396F"/>
    <w:rsid w:val="00D742AF"/>
    <w:rsid w:val="00D744A8"/>
    <w:rsid w:val="00D74505"/>
    <w:rsid w:val="00D7475A"/>
    <w:rsid w:val="00D74BD1"/>
    <w:rsid w:val="00D7523E"/>
    <w:rsid w:val="00D7545C"/>
    <w:rsid w:val="00D75573"/>
    <w:rsid w:val="00D75B7C"/>
    <w:rsid w:val="00D75CEE"/>
    <w:rsid w:val="00D7604D"/>
    <w:rsid w:val="00D76A33"/>
    <w:rsid w:val="00D77779"/>
    <w:rsid w:val="00D77CBB"/>
    <w:rsid w:val="00D8010A"/>
    <w:rsid w:val="00D80993"/>
    <w:rsid w:val="00D810D0"/>
    <w:rsid w:val="00D81796"/>
    <w:rsid w:val="00D81AF1"/>
    <w:rsid w:val="00D81C2D"/>
    <w:rsid w:val="00D824F6"/>
    <w:rsid w:val="00D82836"/>
    <w:rsid w:val="00D82D2A"/>
    <w:rsid w:val="00D83FBA"/>
    <w:rsid w:val="00D84087"/>
    <w:rsid w:val="00D843D7"/>
    <w:rsid w:val="00D84E4B"/>
    <w:rsid w:val="00D8514E"/>
    <w:rsid w:val="00D8534C"/>
    <w:rsid w:val="00D86F87"/>
    <w:rsid w:val="00D876B7"/>
    <w:rsid w:val="00D87A16"/>
    <w:rsid w:val="00D87A51"/>
    <w:rsid w:val="00D90345"/>
    <w:rsid w:val="00D906AD"/>
    <w:rsid w:val="00D91DAB"/>
    <w:rsid w:val="00D91ECF"/>
    <w:rsid w:val="00D920E4"/>
    <w:rsid w:val="00D921B3"/>
    <w:rsid w:val="00D92A4E"/>
    <w:rsid w:val="00D92D39"/>
    <w:rsid w:val="00D93D2D"/>
    <w:rsid w:val="00D9488A"/>
    <w:rsid w:val="00D95624"/>
    <w:rsid w:val="00D9569E"/>
    <w:rsid w:val="00D95A40"/>
    <w:rsid w:val="00D95BB2"/>
    <w:rsid w:val="00D968DE"/>
    <w:rsid w:val="00D97D5E"/>
    <w:rsid w:val="00DA0198"/>
    <w:rsid w:val="00DA146D"/>
    <w:rsid w:val="00DA2951"/>
    <w:rsid w:val="00DA29D8"/>
    <w:rsid w:val="00DA2C2C"/>
    <w:rsid w:val="00DA3A85"/>
    <w:rsid w:val="00DA3BE2"/>
    <w:rsid w:val="00DA4017"/>
    <w:rsid w:val="00DA486D"/>
    <w:rsid w:val="00DA4E2F"/>
    <w:rsid w:val="00DA54C6"/>
    <w:rsid w:val="00DA5B94"/>
    <w:rsid w:val="00DA5CF2"/>
    <w:rsid w:val="00DA6845"/>
    <w:rsid w:val="00DA6C32"/>
    <w:rsid w:val="00DA6CD6"/>
    <w:rsid w:val="00DA72DC"/>
    <w:rsid w:val="00DA782D"/>
    <w:rsid w:val="00DA7C27"/>
    <w:rsid w:val="00DA7C4E"/>
    <w:rsid w:val="00DB011B"/>
    <w:rsid w:val="00DB04FB"/>
    <w:rsid w:val="00DB0F75"/>
    <w:rsid w:val="00DB10F3"/>
    <w:rsid w:val="00DB16ED"/>
    <w:rsid w:val="00DB212A"/>
    <w:rsid w:val="00DB2163"/>
    <w:rsid w:val="00DB279E"/>
    <w:rsid w:val="00DB2AF4"/>
    <w:rsid w:val="00DB30A1"/>
    <w:rsid w:val="00DB390B"/>
    <w:rsid w:val="00DB3D50"/>
    <w:rsid w:val="00DB410E"/>
    <w:rsid w:val="00DB43B7"/>
    <w:rsid w:val="00DB43EE"/>
    <w:rsid w:val="00DB45F4"/>
    <w:rsid w:val="00DB4705"/>
    <w:rsid w:val="00DB52A7"/>
    <w:rsid w:val="00DB5AF2"/>
    <w:rsid w:val="00DB5BAB"/>
    <w:rsid w:val="00DB5C76"/>
    <w:rsid w:val="00DB61CA"/>
    <w:rsid w:val="00DB658D"/>
    <w:rsid w:val="00DB6A59"/>
    <w:rsid w:val="00DB6AAE"/>
    <w:rsid w:val="00DB7172"/>
    <w:rsid w:val="00DB732E"/>
    <w:rsid w:val="00DB7DBD"/>
    <w:rsid w:val="00DC0008"/>
    <w:rsid w:val="00DC0159"/>
    <w:rsid w:val="00DC020A"/>
    <w:rsid w:val="00DC0500"/>
    <w:rsid w:val="00DC09AD"/>
    <w:rsid w:val="00DC15EB"/>
    <w:rsid w:val="00DC247C"/>
    <w:rsid w:val="00DC2FDD"/>
    <w:rsid w:val="00DC35A4"/>
    <w:rsid w:val="00DC376C"/>
    <w:rsid w:val="00DC38A5"/>
    <w:rsid w:val="00DC38FB"/>
    <w:rsid w:val="00DC4172"/>
    <w:rsid w:val="00DC43D1"/>
    <w:rsid w:val="00DC46F3"/>
    <w:rsid w:val="00DC4C15"/>
    <w:rsid w:val="00DC4D11"/>
    <w:rsid w:val="00DC4D6B"/>
    <w:rsid w:val="00DC4EC4"/>
    <w:rsid w:val="00DC5090"/>
    <w:rsid w:val="00DC571D"/>
    <w:rsid w:val="00DC5D28"/>
    <w:rsid w:val="00DC6074"/>
    <w:rsid w:val="00DC62F4"/>
    <w:rsid w:val="00DC650C"/>
    <w:rsid w:val="00DC6D79"/>
    <w:rsid w:val="00DC7AFC"/>
    <w:rsid w:val="00DD0042"/>
    <w:rsid w:val="00DD053B"/>
    <w:rsid w:val="00DD07BD"/>
    <w:rsid w:val="00DD1096"/>
    <w:rsid w:val="00DD150E"/>
    <w:rsid w:val="00DD1653"/>
    <w:rsid w:val="00DD1675"/>
    <w:rsid w:val="00DD1854"/>
    <w:rsid w:val="00DD28A5"/>
    <w:rsid w:val="00DD294A"/>
    <w:rsid w:val="00DD2B27"/>
    <w:rsid w:val="00DD2F32"/>
    <w:rsid w:val="00DD3421"/>
    <w:rsid w:val="00DD4107"/>
    <w:rsid w:val="00DD46EB"/>
    <w:rsid w:val="00DD4F3B"/>
    <w:rsid w:val="00DD5463"/>
    <w:rsid w:val="00DD5B65"/>
    <w:rsid w:val="00DD5C06"/>
    <w:rsid w:val="00DD6054"/>
    <w:rsid w:val="00DD6422"/>
    <w:rsid w:val="00DD69DD"/>
    <w:rsid w:val="00DD6D90"/>
    <w:rsid w:val="00DD6FAF"/>
    <w:rsid w:val="00DD7765"/>
    <w:rsid w:val="00DD776A"/>
    <w:rsid w:val="00DD7994"/>
    <w:rsid w:val="00DD7A0F"/>
    <w:rsid w:val="00DD7E17"/>
    <w:rsid w:val="00DE0857"/>
    <w:rsid w:val="00DE0DC1"/>
    <w:rsid w:val="00DE0F2C"/>
    <w:rsid w:val="00DE1A7B"/>
    <w:rsid w:val="00DE261E"/>
    <w:rsid w:val="00DE2E2B"/>
    <w:rsid w:val="00DE3299"/>
    <w:rsid w:val="00DE32E2"/>
    <w:rsid w:val="00DE33F4"/>
    <w:rsid w:val="00DE35DB"/>
    <w:rsid w:val="00DE3E87"/>
    <w:rsid w:val="00DE4749"/>
    <w:rsid w:val="00DE4D37"/>
    <w:rsid w:val="00DE53CF"/>
    <w:rsid w:val="00DE556A"/>
    <w:rsid w:val="00DE5A72"/>
    <w:rsid w:val="00DE5FB6"/>
    <w:rsid w:val="00DE6119"/>
    <w:rsid w:val="00DE6AFA"/>
    <w:rsid w:val="00DE7144"/>
    <w:rsid w:val="00DE7CA2"/>
    <w:rsid w:val="00DF0E7A"/>
    <w:rsid w:val="00DF0E8E"/>
    <w:rsid w:val="00DF1007"/>
    <w:rsid w:val="00DF120D"/>
    <w:rsid w:val="00DF1225"/>
    <w:rsid w:val="00DF15CC"/>
    <w:rsid w:val="00DF2E9F"/>
    <w:rsid w:val="00DF3569"/>
    <w:rsid w:val="00DF39DA"/>
    <w:rsid w:val="00DF417B"/>
    <w:rsid w:val="00DF48FA"/>
    <w:rsid w:val="00DF4CD6"/>
    <w:rsid w:val="00DF55F9"/>
    <w:rsid w:val="00DF58F3"/>
    <w:rsid w:val="00DF59E5"/>
    <w:rsid w:val="00DF5DFA"/>
    <w:rsid w:val="00DF5F65"/>
    <w:rsid w:val="00DF641E"/>
    <w:rsid w:val="00DF64E9"/>
    <w:rsid w:val="00DF6A25"/>
    <w:rsid w:val="00E016E7"/>
    <w:rsid w:val="00E016E8"/>
    <w:rsid w:val="00E020FA"/>
    <w:rsid w:val="00E037AE"/>
    <w:rsid w:val="00E0380D"/>
    <w:rsid w:val="00E03B9D"/>
    <w:rsid w:val="00E040C4"/>
    <w:rsid w:val="00E041AF"/>
    <w:rsid w:val="00E05123"/>
    <w:rsid w:val="00E051CC"/>
    <w:rsid w:val="00E056DA"/>
    <w:rsid w:val="00E05DFC"/>
    <w:rsid w:val="00E06D98"/>
    <w:rsid w:val="00E06EB1"/>
    <w:rsid w:val="00E07301"/>
    <w:rsid w:val="00E0787A"/>
    <w:rsid w:val="00E10232"/>
    <w:rsid w:val="00E106B7"/>
    <w:rsid w:val="00E10991"/>
    <w:rsid w:val="00E11054"/>
    <w:rsid w:val="00E114C1"/>
    <w:rsid w:val="00E11976"/>
    <w:rsid w:val="00E12186"/>
    <w:rsid w:val="00E12BF8"/>
    <w:rsid w:val="00E12F6F"/>
    <w:rsid w:val="00E13384"/>
    <w:rsid w:val="00E14C21"/>
    <w:rsid w:val="00E15284"/>
    <w:rsid w:val="00E159E7"/>
    <w:rsid w:val="00E161A2"/>
    <w:rsid w:val="00E16413"/>
    <w:rsid w:val="00E164A3"/>
    <w:rsid w:val="00E16541"/>
    <w:rsid w:val="00E1655A"/>
    <w:rsid w:val="00E17C1F"/>
    <w:rsid w:val="00E17DE1"/>
    <w:rsid w:val="00E17E3F"/>
    <w:rsid w:val="00E20E63"/>
    <w:rsid w:val="00E214AD"/>
    <w:rsid w:val="00E216A6"/>
    <w:rsid w:val="00E218E3"/>
    <w:rsid w:val="00E22ABC"/>
    <w:rsid w:val="00E235BA"/>
    <w:rsid w:val="00E23688"/>
    <w:rsid w:val="00E23909"/>
    <w:rsid w:val="00E23FBC"/>
    <w:rsid w:val="00E24867"/>
    <w:rsid w:val="00E24EC1"/>
    <w:rsid w:val="00E262BA"/>
    <w:rsid w:val="00E2672F"/>
    <w:rsid w:val="00E2687D"/>
    <w:rsid w:val="00E26EC8"/>
    <w:rsid w:val="00E2749E"/>
    <w:rsid w:val="00E277F4"/>
    <w:rsid w:val="00E27A9B"/>
    <w:rsid w:val="00E301C5"/>
    <w:rsid w:val="00E306CE"/>
    <w:rsid w:val="00E30961"/>
    <w:rsid w:val="00E31622"/>
    <w:rsid w:val="00E31A15"/>
    <w:rsid w:val="00E32A0E"/>
    <w:rsid w:val="00E330FA"/>
    <w:rsid w:val="00E332F7"/>
    <w:rsid w:val="00E33F28"/>
    <w:rsid w:val="00E33F4A"/>
    <w:rsid w:val="00E34227"/>
    <w:rsid w:val="00E345A8"/>
    <w:rsid w:val="00E3475F"/>
    <w:rsid w:val="00E34850"/>
    <w:rsid w:val="00E34DCE"/>
    <w:rsid w:val="00E35B18"/>
    <w:rsid w:val="00E35C58"/>
    <w:rsid w:val="00E3605E"/>
    <w:rsid w:val="00E365C7"/>
    <w:rsid w:val="00E36796"/>
    <w:rsid w:val="00E3699A"/>
    <w:rsid w:val="00E36A15"/>
    <w:rsid w:val="00E36BB3"/>
    <w:rsid w:val="00E36F42"/>
    <w:rsid w:val="00E36F79"/>
    <w:rsid w:val="00E370C1"/>
    <w:rsid w:val="00E374E0"/>
    <w:rsid w:val="00E37C09"/>
    <w:rsid w:val="00E40104"/>
    <w:rsid w:val="00E40628"/>
    <w:rsid w:val="00E407D8"/>
    <w:rsid w:val="00E407E8"/>
    <w:rsid w:val="00E41900"/>
    <w:rsid w:val="00E426B2"/>
    <w:rsid w:val="00E42E80"/>
    <w:rsid w:val="00E42F25"/>
    <w:rsid w:val="00E43169"/>
    <w:rsid w:val="00E43235"/>
    <w:rsid w:val="00E4395F"/>
    <w:rsid w:val="00E43C91"/>
    <w:rsid w:val="00E43E32"/>
    <w:rsid w:val="00E43F92"/>
    <w:rsid w:val="00E44233"/>
    <w:rsid w:val="00E445EB"/>
    <w:rsid w:val="00E4490F"/>
    <w:rsid w:val="00E46126"/>
    <w:rsid w:val="00E46262"/>
    <w:rsid w:val="00E46630"/>
    <w:rsid w:val="00E469F2"/>
    <w:rsid w:val="00E46BC7"/>
    <w:rsid w:val="00E46BDA"/>
    <w:rsid w:val="00E47430"/>
    <w:rsid w:val="00E475F3"/>
    <w:rsid w:val="00E4775F"/>
    <w:rsid w:val="00E47816"/>
    <w:rsid w:val="00E47825"/>
    <w:rsid w:val="00E47971"/>
    <w:rsid w:val="00E5005B"/>
    <w:rsid w:val="00E50484"/>
    <w:rsid w:val="00E504E0"/>
    <w:rsid w:val="00E506CF"/>
    <w:rsid w:val="00E50ACE"/>
    <w:rsid w:val="00E51A07"/>
    <w:rsid w:val="00E51E65"/>
    <w:rsid w:val="00E523F8"/>
    <w:rsid w:val="00E52518"/>
    <w:rsid w:val="00E52A49"/>
    <w:rsid w:val="00E52D62"/>
    <w:rsid w:val="00E5389C"/>
    <w:rsid w:val="00E54E18"/>
    <w:rsid w:val="00E55337"/>
    <w:rsid w:val="00E5551B"/>
    <w:rsid w:val="00E555E3"/>
    <w:rsid w:val="00E5594E"/>
    <w:rsid w:val="00E55A50"/>
    <w:rsid w:val="00E55B78"/>
    <w:rsid w:val="00E55B7B"/>
    <w:rsid w:val="00E56FBE"/>
    <w:rsid w:val="00E60EFF"/>
    <w:rsid w:val="00E613C0"/>
    <w:rsid w:val="00E61993"/>
    <w:rsid w:val="00E6233B"/>
    <w:rsid w:val="00E6294C"/>
    <w:rsid w:val="00E62DCE"/>
    <w:rsid w:val="00E62EDB"/>
    <w:rsid w:val="00E6373C"/>
    <w:rsid w:val="00E64532"/>
    <w:rsid w:val="00E65561"/>
    <w:rsid w:val="00E65FB7"/>
    <w:rsid w:val="00E6635F"/>
    <w:rsid w:val="00E66CFE"/>
    <w:rsid w:val="00E67298"/>
    <w:rsid w:val="00E702CA"/>
    <w:rsid w:val="00E70524"/>
    <w:rsid w:val="00E7081A"/>
    <w:rsid w:val="00E70AD2"/>
    <w:rsid w:val="00E71001"/>
    <w:rsid w:val="00E710A9"/>
    <w:rsid w:val="00E712E2"/>
    <w:rsid w:val="00E716A2"/>
    <w:rsid w:val="00E717CF"/>
    <w:rsid w:val="00E71961"/>
    <w:rsid w:val="00E71DD2"/>
    <w:rsid w:val="00E72104"/>
    <w:rsid w:val="00E7373F"/>
    <w:rsid w:val="00E7564F"/>
    <w:rsid w:val="00E76078"/>
    <w:rsid w:val="00E768BC"/>
    <w:rsid w:val="00E76936"/>
    <w:rsid w:val="00E77C5A"/>
    <w:rsid w:val="00E77DDF"/>
    <w:rsid w:val="00E80334"/>
    <w:rsid w:val="00E807CB"/>
    <w:rsid w:val="00E814AC"/>
    <w:rsid w:val="00E81C52"/>
    <w:rsid w:val="00E8203E"/>
    <w:rsid w:val="00E824B9"/>
    <w:rsid w:val="00E829EF"/>
    <w:rsid w:val="00E82A7A"/>
    <w:rsid w:val="00E82D15"/>
    <w:rsid w:val="00E82DC5"/>
    <w:rsid w:val="00E836EA"/>
    <w:rsid w:val="00E83700"/>
    <w:rsid w:val="00E83A5B"/>
    <w:rsid w:val="00E83AAA"/>
    <w:rsid w:val="00E83E60"/>
    <w:rsid w:val="00E84331"/>
    <w:rsid w:val="00E8454A"/>
    <w:rsid w:val="00E846EB"/>
    <w:rsid w:val="00E84AFF"/>
    <w:rsid w:val="00E855C6"/>
    <w:rsid w:val="00E85A62"/>
    <w:rsid w:val="00E8630B"/>
    <w:rsid w:val="00E867B4"/>
    <w:rsid w:val="00E86B1C"/>
    <w:rsid w:val="00E875A6"/>
    <w:rsid w:val="00E8775E"/>
    <w:rsid w:val="00E8777A"/>
    <w:rsid w:val="00E87F29"/>
    <w:rsid w:val="00E90742"/>
    <w:rsid w:val="00E910F2"/>
    <w:rsid w:val="00E9139E"/>
    <w:rsid w:val="00E917E1"/>
    <w:rsid w:val="00E9193A"/>
    <w:rsid w:val="00E9253B"/>
    <w:rsid w:val="00E92676"/>
    <w:rsid w:val="00E92C22"/>
    <w:rsid w:val="00E92F00"/>
    <w:rsid w:val="00E93466"/>
    <w:rsid w:val="00E9369A"/>
    <w:rsid w:val="00E94437"/>
    <w:rsid w:val="00E94BFA"/>
    <w:rsid w:val="00E94FAC"/>
    <w:rsid w:val="00E950E7"/>
    <w:rsid w:val="00E95418"/>
    <w:rsid w:val="00E95683"/>
    <w:rsid w:val="00E95E07"/>
    <w:rsid w:val="00E966A8"/>
    <w:rsid w:val="00E97208"/>
    <w:rsid w:val="00E9758C"/>
    <w:rsid w:val="00E97592"/>
    <w:rsid w:val="00E978CB"/>
    <w:rsid w:val="00E97E83"/>
    <w:rsid w:val="00E97F4A"/>
    <w:rsid w:val="00EA00EA"/>
    <w:rsid w:val="00EA188F"/>
    <w:rsid w:val="00EA2A81"/>
    <w:rsid w:val="00EA2D0B"/>
    <w:rsid w:val="00EA3055"/>
    <w:rsid w:val="00EA35D6"/>
    <w:rsid w:val="00EA3964"/>
    <w:rsid w:val="00EA40C6"/>
    <w:rsid w:val="00EA4A3C"/>
    <w:rsid w:val="00EA4D58"/>
    <w:rsid w:val="00EA4EBE"/>
    <w:rsid w:val="00EA56D5"/>
    <w:rsid w:val="00EA5831"/>
    <w:rsid w:val="00EA6165"/>
    <w:rsid w:val="00EA6508"/>
    <w:rsid w:val="00EA7477"/>
    <w:rsid w:val="00EA77F3"/>
    <w:rsid w:val="00EA7A2C"/>
    <w:rsid w:val="00EA7A9D"/>
    <w:rsid w:val="00EB0981"/>
    <w:rsid w:val="00EB0E24"/>
    <w:rsid w:val="00EB1B11"/>
    <w:rsid w:val="00EB1F6B"/>
    <w:rsid w:val="00EB2A1C"/>
    <w:rsid w:val="00EB3081"/>
    <w:rsid w:val="00EB5D6A"/>
    <w:rsid w:val="00EB66D3"/>
    <w:rsid w:val="00EB6A3D"/>
    <w:rsid w:val="00EB6A89"/>
    <w:rsid w:val="00EB6AFB"/>
    <w:rsid w:val="00EB6F35"/>
    <w:rsid w:val="00EB7B01"/>
    <w:rsid w:val="00EC059E"/>
    <w:rsid w:val="00EC2220"/>
    <w:rsid w:val="00EC31D0"/>
    <w:rsid w:val="00EC3569"/>
    <w:rsid w:val="00EC3AE2"/>
    <w:rsid w:val="00EC3F55"/>
    <w:rsid w:val="00EC4841"/>
    <w:rsid w:val="00EC514E"/>
    <w:rsid w:val="00EC53C5"/>
    <w:rsid w:val="00EC558C"/>
    <w:rsid w:val="00EC5755"/>
    <w:rsid w:val="00EC5D63"/>
    <w:rsid w:val="00EC5D8C"/>
    <w:rsid w:val="00EC630E"/>
    <w:rsid w:val="00EC64F9"/>
    <w:rsid w:val="00EC68B1"/>
    <w:rsid w:val="00EC702A"/>
    <w:rsid w:val="00ED0125"/>
    <w:rsid w:val="00ED04CD"/>
    <w:rsid w:val="00ED0A9B"/>
    <w:rsid w:val="00ED0E62"/>
    <w:rsid w:val="00ED1007"/>
    <w:rsid w:val="00ED13C5"/>
    <w:rsid w:val="00ED17AA"/>
    <w:rsid w:val="00ED1D02"/>
    <w:rsid w:val="00ED25B5"/>
    <w:rsid w:val="00ED2AA8"/>
    <w:rsid w:val="00ED3192"/>
    <w:rsid w:val="00ED3862"/>
    <w:rsid w:val="00ED3931"/>
    <w:rsid w:val="00ED488F"/>
    <w:rsid w:val="00ED5E64"/>
    <w:rsid w:val="00ED7024"/>
    <w:rsid w:val="00ED7040"/>
    <w:rsid w:val="00ED723E"/>
    <w:rsid w:val="00ED7A13"/>
    <w:rsid w:val="00ED7F83"/>
    <w:rsid w:val="00EE00AB"/>
    <w:rsid w:val="00EE0B42"/>
    <w:rsid w:val="00EE0D2D"/>
    <w:rsid w:val="00EE12C4"/>
    <w:rsid w:val="00EE12F9"/>
    <w:rsid w:val="00EE1FF4"/>
    <w:rsid w:val="00EE2075"/>
    <w:rsid w:val="00EE2141"/>
    <w:rsid w:val="00EE2622"/>
    <w:rsid w:val="00EE2D90"/>
    <w:rsid w:val="00EE355E"/>
    <w:rsid w:val="00EE420D"/>
    <w:rsid w:val="00EE49D0"/>
    <w:rsid w:val="00EE4CBC"/>
    <w:rsid w:val="00EE4E2B"/>
    <w:rsid w:val="00EE5E32"/>
    <w:rsid w:val="00EE654F"/>
    <w:rsid w:val="00EE6C1F"/>
    <w:rsid w:val="00EE6E23"/>
    <w:rsid w:val="00EE6E7B"/>
    <w:rsid w:val="00EE78D0"/>
    <w:rsid w:val="00EE79C9"/>
    <w:rsid w:val="00EE7B36"/>
    <w:rsid w:val="00EF082D"/>
    <w:rsid w:val="00EF0EA4"/>
    <w:rsid w:val="00EF0FC1"/>
    <w:rsid w:val="00EF1443"/>
    <w:rsid w:val="00EF170F"/>
    <w:rsid w:val="00EF1BEA"/>
    <w:rsid w:val="00EF2176"/>
    <w:rsid w:val="00EF3F64"/>
    <w:rsid w:val="00EF43DD"/>
    <w:rsid w:val="00EF46BE"/>
    <w:rsid w:val="00EF4BB8"/>
    <w:rsid w:val="00EF5B82"/>
    <w:rsid w:val="00EF5DD7"/>
    <w:rsid w:val="00EF5E8E"/>
    <w:rsid w:val="00EF6E86"/>
    <w:rsid w:val="00F0000F"/>
    <w:rsid w:val="00F00643"/>
    <w:rsid w:val="00F00AF7"/>
    <w:rsid w:val="00F00F08"/>
    <w:rsid w:val="00F01066"/>
    <w:rsid w:val="00F01C58"/>
    <w:rsid w:val="00F01D5B"/>
    <w:rsid w:val="00F025E9"/>
    <w:rsid w:val="00F030AE"/>
    <w:rsid w:val="00F03273"/>
    <w:rsid w:val="00F033E6"/>
    <w:rsid w:val="00F03B1B"/>
    <w:rsid w:val="00F03D27"/>
    <w:rsid w:val="00F03F39"/>
    <w:rsid w:val="00F04C97"/>
    <w:rsid w:val="00F04D9B"/>
    <w:rsid w:val="00F04E1B"/>
    <w:rsid w:val="00F04E4E"/>
    <w:rsid w:val="00F05B19"/>
    <w:rsid w:val="00F05F9A"/>
    <w:rsid w:val="00F06A01"/>
    <w:rsid w:val="00F06D39"/>
    <w:rsid w:val="00F0726C"/>
    <w:rsid w:val="00F07270"/>
    <w:rsid w:val="00F075C6"/>
    <w:rsid w:val="00F07694"/>
    <w:rsid w:val="00F078E9"/>
    <w:rsid w:val="00F07BDD"/>
    <w:rsid w:val="00F10589"/>
    <w:rsid w:val="00F10A16"/>
    <w:rsid w:val="00F10CBA"/>
    <w:rsid w:val="00F10F5F"/>
    <w:rsid w:val="00F115DE"/>
    <w:rsid w:val="00F124C7"/>
    <w:rsid w:val="00F12D19"/>
    <w:rsid w:val="00F1412A"/>
    <w:rsid w:val="00F1464D"/>
    <w:rsid w:val="00F149D7"/>
    <w:rsid w:val="00F14A62"/>
    <w:rsid w:val="00F14A89"/>
    <w:rsid w:val="00F14AAD"/>
    <w:rsid w:val="00F14B4B"/>
    <w:rsid w:val="00F14ECC"/>
    <w:rsid w:val="00F1503D"/>
    <w:rsid w:val="00F1588F"/>
    <w:rsid w:val="00F15A29"/>
    <w:rsid w:val="00F15AB4"/>
    <w:rsid w:val="00F15CD8"/>
    <w:rsid w:val="00F168FF"/>
    <w:rsid w:val="00F16A74"/>
    <w:rsid w:val="00F16D81"/>
    <w:rsid w:val="00F171EE"/>
    <w:rsid w:val="00F173E9"/>
    <w:rsid w:val="00F17513"/>
    <w:rsid w:val="00F1789B"/>
    <w:rsid w:val="00F17AC0"/>
    <w:rsid w:val="00F2004B"/>
    <w:rsid w:val="00F21500"/>
    <w:rsid w:val="00F21B73"/>
    <w:rsid w:val="00F22344"/>
    <w:rsid w:val="00F22B7E"/>
    <w:rsid w:val="00F22DB4"/>
    <w:rsid w:val="00F22EF8"/>
    <w:rsid w:val="00F22F64"/>
    <w:rsid w:val="00F231F9"/>
    <w:rsid w:val="00F23645"/>
    <w:rsid w:val="00F24069"/>
    <w:rsid w:val="00F246B7"/>
    <w:rsid w:val="00F24E8B"/>
    <w:rsid w:val="00F2558E"/>
    <w:rsid w:val="00F25C32"/>
    <w:rsid w:val="00F260CA"/>
    <w:rsid w:val="00F262F7"/>
    <w:rsid w:val="00F266F2"/>
    <w:rsid w:val="00F26B8D"/>
    <w:rsid w:val="00F26DEA"/>
    <w:rsid w:val="00F27D3B"/>
    <w:rsid w:val="00F30766"/>
    <w:rsid w:val="00F30F57"/>
    <w:rsid w:val="00F320B0"/>
    <w:rsid w:val="00F3385A"/>
    <w:rsid w:val="00F343ED"/>
    <w:rsid w:val="00F34C43"/>
    <w:rsid w:val="00F34EFE"/>
    <w:rsid w:val="00F356E4"/>
    <w:rsid w:val="00F35F8A"/>
    <w:rsid w:val="00F368AB"/>
    <w:rsid w:val="00F369E4"/>
    <w:rsid w:val="00F36AFD"/>
    <w:rsid w:val="00F36E4A"/>
    <w:rsid w:val="00F36F9C"/>
    <w:rsid w:val="00F374EA"/>
    <w:rsid w:val="00F401F5"/>
    <w:rsid w:val="00F4090C"/>
    <w:rsid w:val="00F4168B"/>
    <w:rsid w:val="00F4169F"/>
    <w:rsid w:val="00F42328"/>
    <w:rsid w:val="00F42671"/>
    <w:rsid w:val="00F4280A"/>
    <w:rsid w:val="00F43630"/>
    <w:rsid w:val="00F43A95"/>
    <w:rsid w:val="00F443FB"/>
    <w:rsid w:val="00F444B8"/>
    <w:rsid w:val="00F4466C"/>
    <w:rsid w:val="00F447BA"/>
    <w:rsid w:val="00F45457"/>
    <w:rsid w:val="00F45BE1"/>
    <w:rsid w:val="00F46F0E"/>
    <w:rsid w:val="00F46F61"/>
    <w:rsid w:val="00F47735"/>
    <w:rsid w:val="00F478AE"/>
    <w:rsid w:val="00F47A98"/>
    <w:rsid w:val="00F503EB"/>
    <w:rsid w:val="00F505A5"/>
    <w:rsid w:val="00F50827"/>
    <w:rsid w:val="00F509C4"/>
    <w:rsid w:val="00F50A52"/>
    <w:rsid w:val="00F50CB0"/>
    <w:rsid w:val="00F516D5"/>
    <w:rsid w:val="00F536CA"/>
    <w:rsid w:val="00F537AE"/>
    <w:rsid w:val="00F53E57"/>
    <w:rsid w:val="00F54657"/>
    <w:rsid w:val="00F546BF"/>
    <w:rsid w:val="00F5484C"/>
    <w:rsid w:val="00F554D2"/>
    <w:rsid w:val="00F56219"/>
    <w:rsid w:val="00F564B1"/>
    <w:rsid w:val="00F56DC0"/>
    <w:rsid w:val="00F57176"/>
    <w:rsid w:val="00F5728B"/>
    <w:rsid w:val="00F573B3"/>
    <w:rsid w:val="00F57DF4"/>
    <w:rsid w:val="00F60452"/>
    <w:rsid w:val="00F60B19"/>
    <w:rsid w:val="00F612C8"/>
    <w:rsid w:val="00F6132E"/>
    <w:rsid w:val="00F615C8"/>
    <w:rsid w:val="00F61A87"/>
    <w:rsid w:val="00F61CFA"/>
    <w:rsid w:val="00F61DE6"/>
    <w:rsid w:val="00F622D4"/>
    <w:rsid w:val="00F62385"/>
    <w:rsid w:val="00F631A6"/>
    <w:rsid w:val="00F64354"/>
    <w:rsid w:val="00F64615"/>
    <w:rsid w:val="00F646E9"/>
    <w:rsid w:val="00F651B4"/>
    <w:rsid w:val="00F65222"/>
    <w:rsid w:val="00F654C0"/>
    <w:rsid w:val="00F65F5F"/>
    <w:rsid w:val="00F66A1E"/>
    <w:rsid w:val="00F66A3B"/>
    <w:rsid w:val="00F66FE7"/>
    <w:rsid w:val="00F67B01"/>
    <w:rsid w:val="00F67DF3"/>
    <w:rsid w:val="00F7000C"/>
    <w:rsid w:val="00F702FB"/>
    <w:rsid w:val="00F70676"/>
    <w:rsid w:val="00F707B6"/>
    <w:rsid w:val="00F70A50"/>
    <w:rsid w:val="00F71008"/>
    <w:rsid w:val="00F714F7"/>
    <w:rsid w:val="00F71582"/>
    <w:rsid w:val="00F71640"/>
    <w:rsid w:val="00F71B46"/>
    <w:rsid w:val="00F727B6"/>
    <w:rsid w:val="00F72B5B"/>
    <w:rsid w:val="00F73135"/>
    <w:rsid w:val="00F7329C"/>
    <w:rsid w:val="00F733D4"/>
    <w:rsid w:val="00F73552"/>
    <w:rsid w:val="00F739FE"/>
    <w:rsid w:val="00F73DE2"/>
    <w:rsid w:val="00F7458D"/>
    <w:rsid w:val="00F7487D"/>
    <w:rsid w:val="00F74D7C"/>
    <w:rsid w:val="00F750C2"/>
    <w:rsid w:val="00F753F1"/>
    <w:rsid w:val="00F75823"/>
    <w:rsid w:val="00F75A5D"/>
    <w:rsid w:val="00F76197"/>
    <w:rsid w:val="00F766F7"/>
    <w:rsid w:val="00F76ACC"/>
    <w:rsid w:val="00F77DC4"/>
    <w:rsid w:val="00F77FF6"/>
    <w:rsid w:val="00F80035"/>
    <w:rsid w:val="00F81978"/>
    <w:rsid w:val="00F82159"/>
    <w:rsid w:val="00F82309"/>
    <w:rsid w:val="00F82378"/>
    <w:rsid w:val="00F82428"/>
    <w:rsid w:val="00F8315E"/>
    <w:rsid w:val="00F84564"/>
    <w:rsid w:val="00F84A29"/>
    <w:rsid w:val="00F84DD3"/>
    <w:rsid w:val="00F8548B"/>
    <w:rsid w:val="00F85595"/>
    <w:rsid w:val="00F8591D"/>
    <w:rsid w:val="00F86079"/>
    <w:rsid w:val="00F86D2E"/>
    <w:rsid w:val="00F8727E"/>
    <w:rsid w:val="00F87EF0"/>
    <w:rsid w:val="00F904AC"/>
    <w:rsid w:val="00F905B5"/>
    <w:rsid w:val="00F90817"/>
    <w:rsid w:val="00F90912"/>
    <w:rsid w:val="00F90EB1"/>
    <w:rsid w:val="00F90F09"/>
    <w:rsid w:val="00F90FF9"/>
    <w:rsid w:val="00F913C1"/>
    <w:rsid w:val="00F913D6"/>
    <w:rsid w:val="00F91475"/>
    <w:rsid w:val="00F91690"/>
    <w:rsid w:val="00F91837"/>
    <w:rsid w:val="00F91A5D"/>
    <w:rsid w:val="00F91C08"/>
    <w:rsid w:val="00F92A5F"/>
    <w:rsid w:val="00F93133"/>
    <w:rsid w:val="00F93779"/>
    <w:rsid w:val="00F93B9E"/>
    <w:rsid w:val="00F941C1"/>
    <w:rsid w:val="00F95919"/>
    <w:rsid w:val="00F959BC"/>
    <w:rsid w:val="00F95EA3"/>
    <w:rsid w:val="00F961E1"/>
    <w:rsid w:val="00F96326"/>
    <w:rsid w:val="00F96859"/>
    <w:rsid w:val="00F97449"/>
    <w:rsid w:val="00F97AF6"/>
    <w:rsid w:val="00FA0008"/>
    <w:rsid w:val="00FA0626"/>
    <w:rsid w:val="00FA0FC5"/>
    <w:rsid w:val="00FA29EA"/>
    <w:rsid w:val="00FA2B5B"/>
    <w:rsid w:val="00FA48B4"/>
    <w:rsid w:val="00FA4D03"/>
    <w:rsid w:val="00FA5090"/>
    <w:rsid w:val="00FA5311"/>
    <w:rsid w:val="00FA5918"/>
    <w:rsid w:val="00FA5A06"/>
    <w:rsid w:val="00FA5A84"/>
    <w:rsid w:val="00FA6D74"/>
    <w:rsid w:val="00FA7091"/>
    <w:rsid w:val="00FA7126"/>
    <w:rsid w:val="00FA72A2"/>
    <w:rsid w:val="00FB0741"/>
    <w:rsid w:val="00FB078F"/>
    <w:rsid w:val="00FB0B31"/>
    <w:rsid w:val="00FB0BC1"/>
    <w:rsid w:val="00FB0E97"/>
    <w:rsid w:val="00FB108A"/>
    <w:rsid w:val="00FB1281"/>
    <w:rsid w:val="00FB2067"/>
    <w:rsid w:val="00FB2094"/>
    <w:rsid w:val="00FB2339"/>
    <w:rsid w:val="00FB2E28"/>
    <w:rsid w:val="00FB3AF9"/>
    <w:rsid w:val="00FB48D4"/>
    <w:rsid w:val="00FB537A"/>
    <w:rsid w:val="00FB5431"/>
    <w:rsid w:val="00FB5C50"/>
    <w:rsid w:val="00FB5FFA"/>
    <w:rsid w:val="00FB65C9"/>
    <w:rsid w:val="00FB6E71"/>
    <w:rsid w:val="00FB6F67"/>
    <w:rsid w:val="00FB7383"/>
    <w:rsid w:val="00FB7574"/>
    <w:rsid w:val="00FB7D7B"/>
    <w:rsid w:val="00FC0871"/>
    <w:rsid w:val="00FC0EAE"/>
    <w:rsid w:val="00FC13CF"/>
    <w:rsid w:val="00FC1D53"/>
    <w:rsid w:val="00FC1E38"/>
    <w:rsid w:val="00FC2012"/>
    <w:rsid w:val="00FC27B2"/>
    <w:rsid w:val="00FC2A55"/>
    <w:rsid w:val="00FC2D6A"/>
    <w:rsid w:val="00FC351C"/>
    <w:rsid w:val="00FC3A62"/>
    <w:rsid w:val="00FC3F69"/>
    <w:rsid w:val="00FC5373"/>
    <w:rsid w:val="00FC5473"/>
    <w:rsid w:val="00FC54A7"/>
    <w:rsid w:val="00FC54B3"/>
    <w:rsid w:val="00FC550B"/>
    <w:rsid w:val="00FC598F"/>
    <w:rsid w:val="00FC61B0"/>
    <w:rsid w:val="00FC63A0"/>
    <w:rsid w:val="00FC6722"/>
    <w:rsid w:val="00FC6AD3"/>
    <w:rsid w:val="00FC7ADD"/>
    <w:rsid w:val="00FD09B7"/>
    <w:rsid w:val="00FD0C47"/>
    <w:rsid w:val="00FD0C52"/>
    <w:rsid w:val="00FD0F5D"/>
    <w:rsid w:val="00FD1799"/>
    <w:rsid w:val="00FD1BC2"/>
    <w:rsid w:val="00FD1ED9"/>
    <w:rsid w:val="00FD2F7F"/>
    <w:rsid w:val="00FD3180"/>
    <w:rsid w:val="00FD3234"/>
    <w:rsid w:val="00FD3375"/>
    <w:rsid w:val="00FD3BF3"/>
    <w:rsid w:val="00FD3D3B"/>
    <w:rsid w:val="00FD4046"/>
    <w:rsid w:val="00FD4B06"/>
    <w:rsid w:val="00FD4D13"/>
    <w:rsid w:val="00FD5E9C"/>
    <w:rsid w:val="00FD605E"/>
    <w:rsid w:val="00FD672A"/>
    <w:rsid w:val="00FD68AD"/>
    <w:rsid w:val="00FD6928"/>
    <w:rsid w:val="00FD7992"/>
    <w:rsid w:val="00FD7995"/>
    <w:rsid w:val="00FD7F49"/>
    <w:rsid w:val="00FE003F"/>
    <w:rsid w:val="00FE04C3"/>
    <w:rsid w:val="00FE10EF"/>
    <w:rsid w:val="00FE13E1"/>
    <w:rsid w:val="00FE173E"/>
    <w:rsid w:val="00FE1917"/>
    <w:rsid w:val="00FE2DA8"/>
    <w:rsid w:val="00FE3380"/>
    <w:rsid w:val="00FE44B2"/>
    <w:rsid w:val="00FE48A5"/>
    <w:rsid w:val="00FE48A7"/>
    <w:rsid w:val="00FE49EB"/>
    <w:rsid w:val="00FE5127"/>
    <w:rsid w:val="00FE519C"/>
    <w:rsid w:val="00FE57C2"/>
    <w:rsid w:val="00FE5902"/>
    <w:rsid w:val="00FE5BA2"/>
    <w:rsid w:val="00FE6189"/>
    <w:rsid w:val="00FE660B"/>
    <w:rsid w:val="00FE67FE"/>
    <w:rsid w:val="00FE77CF"/>
    <w:rsid w:val="00FF0096"/>
    <w:rsid w:val="00FF00BE"/>
    <w:rsid w:val="00FF0611"/>
    <w:rsid w:val="00FF0BE4"/>
    <w:rsid w:val="00FF0DE8"/>
    <w:rsid w:val="00FF23F8"/>
    <w:rsid w:val="00FF261E"/>
    <w:rsid w:val="00FF2739"/>
    <w:rsid w:val="00FF2DBD"/>
    <w:rsid w:val="00FF32A1"/>
    <w:rsid w:val="00FF3392"/>
    <w:rsid w:val="00FF3D6E"/>
    <w:rsid w:val="00FF3D83"/>
    <w:rsid w:val="00FF41BA"/>
    <w:rsid w:val="00FF47CB"/>
    <w:rsid w:val="00FF4A84"/>
    <w:rsid w:val="00FF4AC8"/>
    <w:rsid w:val="00FF4E89"/>
    <w:rsid w:val="00FF510B"/>
    <w:rsid w:val="00FF5DE2"/>
    <w:rsid w:val="00FF60E9"/>
    <w:rsid w:val="00FF6A72"/>
    <w:rsid w:val="00FF7402"/>
    <w:rsid w:val="00FF7498"/>
    <w:rsid w:val="00FF7DDB"/>
    <w:rsid w:val="2FCCD66C"/>
    <w:rsid w:val="329CE45C"/>
    <w:rsid w:val="3EDBD4FF"/>
    <w:rsid w:val="44EC963C"/>
    <w:rsid w:val="7855E9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5D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uiPriority w:val="9"/>
    <w:qFormat/>
    <w:rsid w:val="003B4912"/>
    <w:pPr>
      <w:keepNext/>
      <w:keepLines/>
      <w:widowControl/>
      <w:numPr>
        <w:numId w:val="31"/>
      </w:numPr>
      <w:spacing w:line="480" w:lineRule="auto"/>
      <w:outlineLvl w:val="0"/>
    </w:pPr>
    <w:rPr>
      <w:rFonts w:eastAsiaTheme="majorEastAsia"/>
      <w:b/>
      <w:kern w:val="32"/>
      <w:szCs w:val="32"/>
    </w:rPr>
  </w:style>
  <w:style w:type="paragraph" w:styleId="Heading2">
    <w:name w:val="heading 2"/>
    <w:basedOn w:val="Normal"/>
    <w:next w:val="FERCparanumber"/>
    <w:uiPriority w:val="9"/>
    <w:unhideWhenUsed/>
    <w:qFormat/>
    <w:rsid w:val="003B4912"/>
    <w:pPr>
      <w:keepNext/>
      <w:keepLines/>
      <w:widowControl/>
      <w:numPr>
        <w:ilvl w:val="1"/>
        <w:numId w:val="31"/>
      </w:numPr>
      <w:spacing w:line="480" w:lineRule="auto"/>
      <w:outlineLvl w:val="1"/>
    </w:pPr>
    <w:rPr>
      <w:rFonts w:eastAsiaTheme="majorEastAsia"/>
      <w:b/>
      <w:kern w:val="32"/>
      <w:szCs w:val="26"/>
    </w:rPr>
  </w:style>
  <w:style w:type="paragraph" w:styleId="Heading3">
    <w:name w:val="heading 3"/>
    <w:basedOn w:val="Normal"/>
    <w:next w:val="FERCparanumber"/>
    <w:uiPriority w:val="9"/>
    <w:unhideWhenUsed/>
    <w:qFormat/>
    <w:rsid w:val="003B4912"/>
    <w:pPr>
      <w:keepNext/>
      <w:keepLines/>
      <w:widowControl/>
      <w:numPr>
        <w:ilvl w:val="2"/>
        <w:numId w:val="31"/>
      </w:numPr>
      <w:spacing w:line="480" w:lineRule="auto"/>
      <w:outlineLvl w:val="2"/>
    </w:pPr>
    <w:rPr>
      <w:rFonts w:eastAsiaTheme="majorEastAsia"/>
      <w:b/>
      <w:kern w:val="32"/>
      <w:szCs w:val="24"/>
    </w:rPr>
  </w:style>
  <w:style w:type="paragraph" w:styleId="Heading4">
    <w:name w:val="heading 4"/>
    <w:basedOn w:val="Normal"/>
    <w:next w:val="FERCparanumber"/>
    <w:uiPriority w:val="9"/>
    <w:unhideWhenUsed/>
    <w:qFormat/>
    <w:rsid w:val="003B4912"/>
    <w:pPr>
      <w:keepNext/>
      <w:keepLines/>
      <w:widowControl/>
      <w:numPr>
        <w:ilvl w:val="3"/>
        <w:numId w:val="31"/>
      </w:numPr>
      <w:spacing w:line="480" w:lineRule="auto"/>
      <w:outlineLvl w:val="3"/>
    </w:pPr>
    <w:rPr>
      <w:rFonts w:eastAsiaTheme="majorEastAsia"/>
      <w:b/>
      <w:iCs/>
      <w:kern w:val="32"/>
    </w:rPr>
  </w:style>
  <w:style w:type="paragraph" w:styleId="Heading5">
    <w:name w:val="heading 5"/>
    <w:basedOn w:val="Normal"/>
    <w:next w:val="FERCparanumber"/>
    <w:uiPriority w:val="9"/>
    <w:unhideWhenUsed/>
    <w:qFormat/>
    <w:rsid w:val="003B4912"/>
    <w:pPr>
      <w:keepNext/>
      <w:keepLines/>
      <w:widowControl/>
      <w:numPr>
        <w:ilvl w:val="4"/>
        <w:numId w:val="31"/>
      </w:numPr>
      <w:spacing w:line="480" w:lineRule="auto"/>
      <w:outlineLvl w:val="4"/>
    </w:pPr>
    <w:rPr>
      <w:rFonts w:eastAsiaTheme="majorEastAsia"/>
      <w:b/>
      <w:kern w:val="32"/>
    </w:rPr>
  </w:style>
  <w:style w:type="paragraph" w:styleId="Heading6">
    <w:name w:val="heading 6"/>
    <w:basedOn w:val="Normal"/>
    <w:next w:val="FERCparanumber"/>
    <w:uiPriority w:val="9"/>
    <w:unhideWhenUsed/>
    <w:qFormat/>
    <w:rsid w:val="003B4912"/>
    <w:pPr>
      <w:keepNext/>
      <w:keepLines/>
      <w:widowControl/>
      <w:numPr>
        <w:ilvl w:val="5"/>
        <w:numId w:val="31"/>
      </w:numPr>
      <w:spacing w:line="480" w:lineRule="auto"/>
      <w:outlineLvl w:val="5"/>
    </w:pPr>
    <w:rPr>
      <w:rFonts w:eastAsiaTheme="majorEastAsia"/>
      <w:b/>
      <w:kern w:val="32"/>
    </w:rPr>
  </w:style>
  <w:style w:type="paragraph" w:styleId="Heading7">
    <w:name w:val="heading 7"/>
    <w:basedOn w:val="Normal"/>
    <w:next w:val="FERCparanumber"/>
    <w:uiPriority w:val="9"/>
    <w:unhideWhenUsed/>
    <w:qFormat/>
    <w:rsid w:val="003B4912"/>
    <w:pPr>
      <w:keepNext/>
      <w:keepLines/>
      <w:widowControl/>
      <w:numPr>
        <w:ilvl w:val="6"/>
        <w:numId w:val="31"/>
      </w:numPr>
      <w:spacing w:line="480" w:lineRule="auto"/>
      <w:outlineLvl w:val="6"/>
    </w:pPr>
    <w:rPr>
      <w:rFonts w:eastAsiaTheme="majorEastAsia"/>
      <w:b/>
      <w:iCs/>
      <w:kern w:val="32"/>
    </w:rPr>
  </w:style>
  <w:style w:type="paragraph" w:styleId="Heading8">
    <w:name w:val="heading 8"/>
    <w:basedOn w:val="Normal"/>
    <w:next w:val="FERCparanumber"/>
    <w:uiPriority w:val="9"/>
    <w:unhideWhenUsed/>
    <w:qFormat/>
    <w:rsid w:val="003B4912"/>
    <w:pPr>
      <w:keepNext/>
      <w:keepLines/>
      <w:widowControl/>
      <w:numPr>
        <w:ilvl w:val="7"/>
        <w:numId w:val="31"/>
      </w:numPr>
      <w:spacing w:line="480" w:lineRule="auto"/>
      <w:outlineLvl w:val="7"/>
    </w:pPr>
    <w:rPr>
      <w:rFonts w:eastAsiaTheme="majorEastAsia"/>
      <w:b/>
      <w:kern w:val="32"/>
      <w:szCs w:val="21"/>
    </w:rPr>
  </w:style>
  <w:style w:type="paragraph" w:styleId="Heading9">
    <w:name w:val="heading 9"/>
    <w:basedOn w:val="Normal"/>
    <w:next w:val="FERCparanumber"/>
    <w:uiPriority w:val="9"/>
    <w:semiHidden/>
    <w:unhideWhenUsed/>
    <w:qFormat/>
    <w:rsid w:val="003B4912"/>
    <w:pPr>
      <w:keepNext/>
      <w:keepLines/>
      <w:widowControl/>
      <w:numPr>
        <w:ilvl w:val="8"/>
        <w:numId w:val="31"/>
      </w:numPr>
      <w:spacing w:line="480" w:lineRule="auto"/>
      <w:outlineLvl w:val="8"/>
    </w:pPr>
    <w:rPr>
      <w:rFonts w:eastAsiaTheme="majorEastAsia"/>
      <w:b/>
      <w:iCs/>
      <w:kern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224836"/>
    <w:pPr>
      <w:keepNext/>
      <w:keepLines/>
      <w:widowControl/>
      <w:autoSpaceDE w:val="0"/>
      <w:autoSpaceDN w:val="0"/>
      <w:adjustRightInd w:val="0"/>
      <w:spacing w:after="26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
    <w:basedOn w:val="DefaultParagraphFont"/>
    <w:uiPriority w:val="9"/>
    <w:rsid w:val="00EB5D6A"/>
    <w:rPr>
      <w:rFonts w:ascii="Times New Roman" w:eastAsiaTheme="majorEastAsia" w:hAnsi="Times New Roman" w:cs="Times New Roman"/>
      <w:b/>
      <w:kern w:val="32"/>
      <w:sz w:val="26"/>
      <w:szCs w:val="32"/>
    </w:rPr>
  </w:style>
  <w:style w:type="character" w:customStyle="1" w:styleId="a0">
    <w:basedOn w:val="DefaultParagraphFont"/>
    <w:uiPriority w:val="9"/>
    <w:rsid w:val="00EB5D6A"/>
    <w:rPr>
      <w:rFonts w:ascii="Times New Roman" w:eastAsiaTheme="majorEastAsia" w:hAnsi="Times New Roman" w:cs="Times New Roman"/>
      <w:b/>
      <w:kern w:val="32"/>
      <w:sz w:val="26"/>
      <w:szCs w:val="26"/>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unhideWhenUsed/>
    <w:qFormat/>
    <w:rsid w:val="00DD46EB"/>
    <w:pPr>
      <w:spacing w:after="260"/>
      <w:ind w:firstLine="720"/>
    </w:pPr>
    <w:rPr>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iPriority w:val="99"/>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C32965"/>
    <w:rPr>
      <w:color w:val="605E5C"/>
      <w:shd w:val="clear" w:color="auto" w:fill="E1DFDD"/>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46704E"/>
    <w:rPr>
      <w:rFonts w:ascii="Times New Roman" w:hAnsi="Times New Roman" w:cs="Times New Roman"/>
      <w:sz w:val="26"/>
      <w:szCs w:val="20"/>
    </w:rPr>
  </w:style>
  <w:style w:type="paragraph" w:styleId="Revision">
    <w:name w:val="Revision"/>
    <w:hidden/>
    <w:uiPriority w:val="99"/>
    <w:semiHidden/>
    <w:rsid w:val="00A64FFF"/>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9246C7"/>
    <w:rPr>
      <w:color w:val="2B579A"/>
      <w:shd w:val="clear" w:color="auto" w:fill="E1DFDD"/>
    </w:rPr>
  </w:style>
  <w:style w:type="character" w:styleId="FollowedHyperlink">
    <w:name w:val="FollowedHyperlink"/>
    <w:basedOn w:val="DefaultParagraphFont"/>
    <w:uiPriority w:val="99"/>
    <w:semiHidden/>
    <w:unhideWhenUsed/>
    <w:rsid w:val="005043BF"/>
    <w:rPr>
      <w:color w:val="954F72" w:themeColor="followedHyperlink"/>
      <w:u w:val="single"/>
    </w:rPr>
  </w:style>
  <w:style w:type="paragraph" w:customStyle="1" w:styleId="mytoc30">
    <w:name w:val="mytoc3"/>
    <w:basedOn w:val="Normal"/>
    <w:rsid w:val="00802B30"/>
    <w:pPr>
      <w:widowControl/>
      <w:spacing w:before="100" w:beforeAutospacing="1" w:after="100" w:afterAutospacing="1"/>
    </w:pPr>
    <w:rPr>
      <w:rFonts w:eastAsiaTheme="minorEastAsia"/>
      <w:sz w:val="24"/>
      <w:szCs w:val="24"/>
    </w:rPr>
  </w:style>
  <w:style w:type="character" w:styleId="Emphasis">
    <w:name w:val="Emphasis"/>
    <w:basedOn w:val="DefaultParagraphFont"/>
    <w:uiPriority w:val="20"/>
    <w:qFormat/>
    <w:rsid w:val="00EF170F"/>
    <w:rPr>
      <w:i/>
      <w:iCs/>
    </w:rPr>
  </w:style>
  <w:style w:type="character" w:customStyle="1" w:styleId="cfr">
    <w:name w:val="cfr"/>
    <w:basedOn w:val="DefaultParagraphFont"/>
    <w:rsid w:val="00EF170F"/>
  </w:style>
  <w:style w:type="character" w:customStyle="1" w:styleId="inline-paragraph-number">
    <w:name w:val="inline-paragraph-number"/>
    <w:basedOn w:val="DefaultParagraphFont"/>
    <w:rsid w:val="0013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2403">
      <w:bodyDiv w:val="1"/>
      <w:marLeft w:val="0"/>
      <w:marRight w:val="0"/>
      <w:marTop w:val="0"/>
      <w:marBottom w:val="0"/>
      <w:divBdr>
        <w:top w:val="none" w:sz="0" w:space="0" w:color="auto"/>
        <w:left w:val="none" w:sz="0" w:space="0" w:color="auto"/>
        <w:bottom w:val="none" w:sz="0" w:space="0" w:color="auto"/>
        <w:right w:val="none" w:sz="0" w:space="0" w:color="auto"/>
      </w:divBdr>
    </w:div>
    <w:div w:id="543104787">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8086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avid.faerberg@ferc.gov"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library.ferc.gov/eLibrary/filedownload?fileid=BB92A244-97DD-C8A7-96AC-8D897D6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1DC8B-2509-4FB4-A4B2-59CA54F8569C}">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3.xml><?xml version="1.0" encoding="utf-8"?>
<ds:datastoreItem xmlns:ds="http://schemas.openxmlformats.org/officeDocument/2006/customXml" ds:itemID="{C0D1D8D2-D09F-4903-88E7-66B5CD55BBEF}">
  <ds:schemaRefs>
    <ds:schemaRef ds:uri="http://schemas.microsoft.com/sharepoint/v3/contenttype/forms"/>
  </ds:schemaRefs>
</ds:datastoreItem>
</file>

<file path=customXml/itemProps4.xml><?xml version="1.0" encoding="utf-8"?>
<ds:datastoreItem xmlns:ds="http://schemas.openxmlformats.org/officeDocument/2006/customXml" ds:itemID="{8287D22C-127A-4F59-B4AF-5928F7CEDC57}">
  <ds:schemaRefs>
    <ds:schemaRef ds:uri="Microsoft.SharePoint.Taxonomy.ContentTypeSync"/>
  </ds:schemaRefs>
</ds:datastoreItem>
</file>

<file path=customXml/itemProps5.xml><?xml version="1.0" encoding="utf-8"?>
<ds:datastoreItem xmlns:ds="http://schemas.openxmlformats.org/officeDocument/2006/customXml" ds:itemID="{59975335-BA64-451A-A4A3-9425496E0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caa9e9-04ff-43fa-885f-d77fac387903}" enabled="0" method="" siteId="{19caa9e9-04ff-43fa-885f-d77fac3879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7125</Words>
  <Characters>40616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47646</CharactersWithSpaces>
  <SharedDoc>false</SharedDoc>
  <HyperlinkBase/>
  <HLinks>
    <vt:vector size="156" baseType="variant">
      <vt:variant>
        <vt:i4>8060938</vt:i4>
      </vt:variant>
      <vt:variant>
        <vt:i4>68</vt:i4>
      </vt:variant>
      <vt:variant>
        <vt:i4>0</vt:i4>
      </vt:variant>
      <vt:variant>
        <vt:i4>5</vt:i4>
      </vt:variant>
      <vt:variant>
        <vt:lpwstr>mailto:public.referenceroom@ferc.gov</vt:lpwstr>
      </vt:variant>
      <vt:variant>
        <vt:lpwstr/>
      </vt:variant>
      <vt:variant>
        <vt:i4>5636216</vt:i4>
      </vt:variant>
      <vt:variant>
        <vt:i4>65</vt:i4>
      </vt:variant>
      <vt:variant>
        <vt:i4>0</vt:i4>
      </vt:variant>
      <vt:variant>
        <vt:i4>5</vt:i4>
      </vt:variant>
      <vt:variant>
        <vt:lpwstr>mailto:ferconlinesupport@ferc.gov</vt:lpwstr>
      </vt:variant>
      <vt:variant>
        <vt:lpwstr/>
      </vt:variant>
      <vt:variant>
        <vt:i4>3735552</vt:i4>
      </vt:variant>
      <vt:variant>
        <vt:i4>62</vt:i4>
      </vt:variant>
      <vt:variant>
        <vt:i4>0</vt:i4>
      </vt:variant>
      <vt:variant>
        <vt:i4>5</vt:i4>
      </vt:variant>
      <vt:variant>
        <vt:lpwstr/>
      </vt:variant>
      <vt:variant>
        <vt:lpwstr>_bmk20</vt:lpwstr>
      </vt:variant>
      <vt:variant>
        <vt:i4>3145731</vt:i4>
      </vt:variant>
      <vt:variant>
        <vt:i4>59</vt:i4>
      </vt:variant>
      <vt:variant>
        <vt:i4>0</vt:i4>
      </vt:variant>
      <vt:variant>
        <vt:i4>5</vt:i4>
      </vt:variant>
      <vt:variant>
        <vt:lpwstr/>
      </vt:variant>
      <vt:variant>
        <vt:lpwstr>_bmk19</vt:lpwstr>
      </vt:variant>
      <vt:variant>
        <vt:i4>3211267</vt:i4>
      </vt:variant>
      <vt:variant>
        <vt:i4>56</vt:i4>
      </vt:variant>
      <vt:variant>
        <vt:i4>0</vt:i4>
      </vt:variant>
      <vt:variant>
        <vt:i4>5</vt:i4>
      </vt:variant>
      <vt:variant>
        <vt:lpwstr/>
      </vt:variant>
      <vt:variant>
        <vt:lpwstr>_bmk18</vt:lpwstr>
      </vt:variant>
      <vt:variant>
        <vt:i4>4063235</vt:i4>
      </vt:variant>
      <vt:variant>
        <vt:i4>53</vt:i4>
      </vt:variant>
      <vt:variant>
        <vt:i4>0</vt:i4>
      </vt:variant>
      <vt:variant>
        <vt:i4>5</vt:i4>
      </vt:variant>
      <vt:variant>
        <vt:lpwstr/>
      </vt:variant>
      <vt:variant>
        <vt:lpwstr>_bmk17</vt:lpwstr>
      </vt:variant>
      <vt:variant>
        <vt:i4>4128771</vt:i4>
      </vt:variant>
      <vt:variant>
        <vt:i4>50</vt:i4>
      </vt:variant>
      <vt:variant>
        <vt:i4>0</vt:i4>
      </vt:variant>
      <vt:variant>
        <vt:i4>5</vt:i4>
      </vt:variant>
      <vt:variant>
        <vt:lpwstr/>
      </vt:variant>
      <vt:variant>
        <vt:lpwstr>_bmk16</vt:lpwstr>
      </vt:variant>
      <vt:variant>
        <vt:i4>3932163</vt:i4>
      </vt:variant>
      <vt:variant>
        <vt:i4>47</vt:i4>
      </vt:variant>
      <vt:variant>
        <vt:i4>0</vt:i4>
      </vt:variant>
      <vt:variant>
        <vt:i4>5</vt:i4>
      </vt:variant>
      <vt:variant>
        <vt:lpwstr/>
      </vt:variant>
      <vt:variant>
        <vt:lpwstr>_bmk15</vt:lpwstr>
      </vt:variant>
      <vt:variant>
        <vt:i4>3997699</vt:i4>
      </vt:variant>
      <vt:variant>
        <vt:i4>44</vt:i4>
      </vt:variant>
      <vt:variant>
        <vt:i4>0</vt:i4>
      </vt:variant>
      <vt:variant>
        <vt:i4>5</vt:i4>
      </vt:variant>
      <vt:variant>
        <vt:lpwstr/>
      </vt:variant>
      <vt:variant>
        <vt:lpwstr>_bmk14</vt:lpwstr>
      </vt:variant>
      <vt:variant>
        <vt:i4>3801091</vt:i4>
      </vt:variant>
      <vt:variant>
        <vt:i4>41</vt:i4>
      </vt:variant>
      <vt:variant>
        <vt:i4>0</vt:i4>
      </vt:variant>
      <vt:variant>
        <vt:i4>5</vt:i4>
      </vt:variant>
      <vt:variant>
        <vt:lpwstr/>
      </vt:variant>
      <vt:variant>
        <vt:lpwstr>_bmk13</vt:lpwstr>
      </vt:variant>
      <vt:variant>
        <vt:i4>3866627</vt:i4>
      </vt:variant>
      <vt:variant>
        <vt:i4>38</vt:i4>
      </vt:variant>
      <vt:variant>
        <vt:i4>0</vt:i4>
      </vt:variant>
      <vt:variant>
        <vt:i4>5</vt:i4>
      </vt:variant>
      <vt:variant>
        <vt:lpwstr/>
      </vt:variant>
      <vt:variant>
        <vt:lpwstr>_bmk12</vt:lpwstr>
      </vt:variant>
      <vt:variant>
        <vt:i4>3670019</vt:i4>
      </vt:variant>
      <vt:variant>
        <vt:i4>35</vt:i4>
      </vt:variant>
      <vt:variant>
        <vt:i4>0</vt:i4>
      </vt:variant>
      <vt:variant>
        <vt:i4>5</vt:i4>
      </vt:variant>
      <vt:variant>
        <vt:lpwstr/>
      </vt:variant>
      <vt:variant>
        <vt:lpwstr>_bmk11</vt:lpwstr>
      </vt:variant>
      <vt:variant>
        <vt:i4>3735555</vt:i4>
      </vt:variant>
      <vt:variant>
        <vt:i4>32</vt:i4>
      </vt:variant>
      <vt:variant>
        <vt:i4>0</vt:i4>
      </vt:variant>
      <vt:variant>
        <vt:i4>5</vt:i4>
      </vt:variant>
      <vt:variant>
        <vt:lpwstr/>
      </vt:variant>
      <vt:variant>
        <vt:lpwstr>_bmk10</vt:lpwstr>
      </vt:variant>
      <vt:variant>
        <vt:i4>589874</vt:i4>
      </vt:variant>
      <vt:variant>
        <vt:i4>29</vt:i4>
      </vt:variant>
      <vt:variant>
        <vt:i4>0</vt:i4>
      </vt:variant>
      <vt:variant>
        <vt:i4>5</vt:i4>
      </vt:variant>
      <vt:variant>
        <vt:lpwstr/>
      </vt:variant>
      <vt:variant>
        <vt:lpwstr>_bmk9</vt:lpwstr>
      </vt:variant>
      <vt:variant>
        <vt:i4>589874</vt:i4>
      </vt:variant>
      <vt:variant>
        <vt:i4>26</vt:i4>
      </vt:variant>
      <vt:variant>
        <vt:i4>0</vt:i4>
      </vt:variant>
      <vt:variant>
        <vt:i4>5</vt:i4>
      </vt:variant>
      <vt:variant>
        <vt:lpwstr/>
      </vt:variant>
      <vt:variant>
        <vt:lpwstr>_bmk8</vt:lpwstr>
      </vt:variant>
      <vt:variant>
        <vt:i4>589874</vt:i4>
      </vt:variant>
      <vt:variant>
        <vt:i4>23</vt:i4>
      </vt:variant>
      <vt:variant>
        <vt:i4>0</vt:i4>
      </vt:variant>
      <vt:variant>
        <vt:i4>5</vt:i4>
      </vt:variant>
      <vt:variant>
        <vt:lpwstr/>
      </vt:variant>
      <vt:variant>
        <vt:lpwstr>_bmk7</vt:lpwstr>
      </vt:variant>
      <vt:variant>
        <vt:i4>589874</vt:i4>
      </vt:variant>
      <vt:variant>
        <vt:i4>20</vt:i4>
      </vt:variant>
      <vt:variant>
        <vt:i4>0</vt:i4>
      </vt:variant>
      <vt:variant>
        <vt:i4>5</vt:i4>
      </vt:variant>
      <vt:variant>
        <vt:lpwstr/>
      </vt:variant>
      <vt:variant>
        <vt:lpwstr>_bmk6</vt:lpwstr>
      </vt:variant>
      <vt:variant>
        <vt:i4>589874</vt:i4>
      </vt:variant>
      <vt:variant>
        <vt:i4>17</vt:i4>
      </vt:variant>
      <vt:variant>
        <vt:i4>0</vt:i4>
      </vt:variant>
      <vt:variant>
        <vt:i4>5</vt:i4>
      </vt:variant>
      <vt:variant>
        <vt:lpwstr/>
      </vt:variant>
      <vt:variant>
        <vt:lpwstr>_bmk5</vt:lpwstr>
      </vt:variant>
      <vt:variant>
        <vt:i4>589874</vt:i4>
      </vt:variant>
      <vt:variant>
        <vt:i4>14</vt:i4>
      </vt:variant>
      <vt:variant>
        <vt:i4>0</vt:i4>
      </vt:variant>
      <vt:variant>
        <vt:i4>5</vt:i4>
      </vt:variant>
      <vt:variant>
        <vt:lpwstr/>
      </vt:variant>
      <vt:variant>
        <vt:lpwstr>_bmk4</vt:lpwstr>
      </vt:variant>
      <vt:variant>
        <vt:i4>589874</vt:i4>
      </vt:variant>
      <vt:variant>
        <vt:i4>11</vt:i4>
      </vt:variant>
      <vt:variant>
        <vt:i4>0</vt:i4>
      </vt:variant>
      <vt:variant>
        <vt:i4>5</vt:i4>
      </vt:variant>
      <vt:variant>
        <vt:lpwstr/>
      </vt:variant>
      <vt:variant>
        <vt:lpwstr>_bmk3</vt:lpwstr>
      </vt:variant>
      <vt:variant>
        <vt:i4>589874</vt:i4>
      </vt:variant>
      <vt:variant>
        <vt:i4>8</vt:i4>
      </vt:variant>
      <vt:variant>
        <vt:i4>0</vt:i4>
      </vt:variant>
      <vt:variant>
        <vt:i4>5</vt:i4>
      </vt:variant>
      <vt:variant>
        <vt:lpwstr/>
      </vt:variant>
      <vt:variant>
        <vt:lpwstr>_bmk2</vt:lpwstr>
      </vt:variant>
      <vt:variant>
        <vt:i4>589874</vt:i4>
      </vt:variant>
      <vt:variant>
        <vt:i4>5</vt:i4>
      </vt:variant>
      <vt:variant>
        <vt:i4>0</vt:i4>
      </vt:variant>
      <vt:variant>
        <vt:i4>5</vt:i4>
      </vt:variant>
      <vt:variant>
        <vt:lpwstr/>
      </vt:variant>
      <vt:variant>
        <vt:lpwstr>_bmk1</vt:lpwstr>
      </vt:variant>
      <vt:variant>
        <vt:i4>5242920</vt:i4>
      </vt:variant>
      <vt:variant>
        <vt:i4>0</vt:i4>
      </vt:variant>
      <vt:variant>
        <vt:i4>0</vt:i4>
      </vt:variant>
      <vt:variant>
        <vt:i4>5</vt:i4>
      </vt:variant>
      <vt:variant>
        <vt:lpwstr>mailto:david.faerberg@ferc.gov</vt:lpwstr>
      </vt:variant>
      <vt:variant>
        <vt:lpwstr/>
      </vt:variant>
      <vt:variant>
        <vt:i4>2293867</vt:i4>
      </vt:variant>
      <vt:variant>
        <vt:i4>0</vt:i4>
      </vt:variant>
      <vt:variant>
        <vt:i4>0</vt:i4>
      </vt:variant>
      <vt:variant>
        <vt:i4>5</vt:i4>
      </vt:variant>
      <vt:variant>
        <vt:lpwstr>https://elibrary.ferc.gov/eLibrary/filedownload?fileid=BB92A244-97DD-C8A7-96AC-8D897D600000</vt:lpwstr>
      </vt:variant>
      <vt:variant>
        <vt:lpwstr/>
      </vt:variant>
      <vt:variant>
        <vt:i4>4915231</vt:i4>
      </vt:variant>
      <vt:variant>
        <vt:i4>3</vt:i4>
      </vt:variant>
      <vt:variant>
        <vt:i4>0</vt:i4>
      </vt:variant>
      <vt:variant>
        <vt:i4>5</vt:i4>
      </vt:variant>
      <vt:variant>
        <vt:lpwstr>https://www.archives.gov/federal-register/write/ibr/reg-text</vt:lpwstr>
      </vt:variant>
      <vt:variant>
        <vt:lpwstr/>
      </vt:variant>
      <vt:variant>
        <vt:i4>2752562</vt:i4>
      </vt:variant>
      <vt:variant>
        <vt:i4>0</vt:i4>
      </vt:variant>
      <vt:variant>
        <vt:i4>0</vt:i4>
      </vt:variant>
      <vt:variant>
        <vt:i4>5</vt:i4>
      </vt:variant>
      <vt:variant>
        <vt:lpwstr>https://www.archives.gov/files/federal-register/write/handbook/ibr.pdf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2026-05-22T16:57:00Z</dcterms:created>
  <dcterms:modified xsi:type="dcterms:W3CDTF">2026-05-22T16:57:00Z</dcterms:modified>
  <cp:category/>
  <dc:identifier/>
  <cp:contentStatus/>
  <cp:version/>
</cp:coreProperties>
</file>