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6756C" w14:textId="052F7B08" w:rsidR="0048764D" w:rsidRPr="004A30D2" w:rsidRDefault="00187D33" w:rsidP="00716AF5">
      <w:pPr>
        <w:spacing w:before="120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February 28, 2020</w:t>
      </w:r>
    </w:p>
    <w:p w14:paraId="68C3AD23" w14:textId="4B633DA2" w:rsidR="00716AF5" w:rsidRPr="00716AF5" w:rsidRDefault="005A029C" w:rsidP="000D5ADC">
      <w:pPr>
        <w:spacing w:before="240" w:after="240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Federal Energy Regulatory Commission Action on WEQ Version 003</w:t>
      </w:r>
      <w:r w:rsidR="00187D33">
        <w:rPr>
          <w:rFonts w:ascii="Times New Roman" w:hAnsi="Times New Roman"/>
          <w:smallCaps/>
        </w:rPr>
        <w:t>.2</w:t>
      </w:r>
      <w:r>
        <w:rPr>
          <w:rFonts w:ascii="Times New Roman" w:hAnsi="Times New Roman"/>
          <w:smallCaps/>
        </w:rPr>
        <w:t xml:space="preserve"> Standards</w:t>
      </w:r>
    </w:p>
    <w:p w14:paraId="35D61020" w14:textId="77777777" w:rsidR="00716AF5" w:rsidRPr="00716AF5" w:rsidRDefault="00716AF5" w:rsidP="00486216">
      <w:pPr>
        <w:spacing w:before="360" w:after="120"/>
        <w:jc w:val="both"/>
        <w:rPr>
          <w:rFonts w:ascii="Times New Roman" w:hAnsi="Times New Roman"/>
        </w:rPr>
      </w:pPr>
      <w:r w:rsidRPr="00716AF5">
        <w:rPr>
          <w:rFonts w:ascii="Times New Roman" w:hAnsi="Times New Roman"/>
        </w:rPr>
        <w:t xml:space="preserve">Dear </w:t>
      </w:r>
      <w:r w:rsidR="00405AA6">
        <w:rPr>
          <w:rFonts w:ascii="Times New Roman" w:hAnsi="Times New Roman"/>
        </w:rPr>
        <w:t xml:space="preserve">Members of the </w:t>
      </w:r>
      <w:r w:rsidR="005A029C">
        <w:rPr>
          <w:rFonts w:ascii="Times New Roman" w:hAnsi="Times New Roman"/>
        </w:rPr>
        <w:t>Wholesale Electric Quadrant</w:t>
      </w:r>
      <w:r w:rsidR="00F00A3F">
        <w:rPr>
          <w:rFonts w:ascii="Times New Roman" w:hAnsi="Times New Roman"/>
        </w:rPr>
        <w:t>,</w:t>
      </w:r>
    </w:p>
    <w:p w14:paraId="380E45FD" w14:textId="56FC6AEA" w:rsidR="00BB2147" w:rsidRDefault="005A029C" w:rsidP="005A029C">
      <w:pPr>
        <w:pStyle w:val="PlainText"/>
        <w:spacing w:before="120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As you may know, on </w:t>
      </w:r>
      <w:r w:rsidR="00187D33">
        <w:rPr>
          <w:rFonts w:eastAsia="Times New Roman" w:cs="Times New Roman"/>
          <w:sz w:val="20"/>
          <w:szCs w:val="20"/>
        </w:rPr>
        <w:t>February 4, 2020</w:t>
      </w:r>
      <w:r>
        <w:rPr>
          <w:rFonts w:eastAsia="Times New Roman" w:cs="Times New Roman"/>
          <w:sz w:val="20"/>
          <w:szCs w:val="20"/>
        </w:rPr>
        <w:t>,</w:t>
      </w:r>
      <w:r w:rsidRPr="00E416C0">
        <w:rPr>
          <w:rFonts w:eastAsia="Times New Roman" w:cs="Times New Roman"/>
          <w:sz w:val="20"/>
          <w:szCs w:val="20"/>
        </w:rPr>
        <w:t xml:space="preserve"> the Federal Energy Regulatory</w:t>
      </w:r>
      <w:r>
        <w:rPr>
          <w:rFonts w:eastAsia="Times New Roman" w:cs="Times New Roman"/>
          <w:sz w:val="20"/>
          <w:szCs w:val="20"/>
        </w:rPr>
        <w:t xml:space="preserve"> Commission (</w:t>
      </w:r>
      <w:r w:rsidRPr="00E416C0">
        <w:rPr>
          <w:rFonts w:eastAsia="Times New Roman" w:cs="Times New Roman"/>
          <w:sz w:val="20"/>
          <w:szCs w:val="20"/>
        </w:rPr>
        <w:t>Commission) issued FERC Order No. 676-</w:t>
      </w:r>
      <w:r w:rsidR="00187D33"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 xml:space="preserve">, </w:t>
      </w:r>
      <w:r w:rsidRPr="00E416C0">
        <w:rPr>
          <w:rFonts w:eastAsia="Times New Roman" w:cs="Times New Roman"/>
          <w:i/>
          <w:sz w:val="20"/>
          <w:szCs w:val="20"/>
        </w:rPr>
        <w:t>Standards for Business Practices and Communication Protocols for Public Utilities</w:t>
      </w:r>
      <w:r w:rsidRPr="00E416C0">
        <w:rPr>
          <w:rFonts w:eastAsia="Times New Roman" w:cs="Times New Roman"/>
          <w:sz w:val="20"/>
          <w:szCs w:val="20"/>
        </w:rPr>
        <w:t>, in Docket No</w:t>
      </w:r>
      <w:r w:rsidR="00187D33">
        <w:rPr>
          <w:rFonts w:eastAsia="Times New Roman" w:cs="Times New Roman"/>
          <w:sz w:val="20"/>
          <w:szCs w:val="20"/>
        </w:rPr>
        <w:t>s</w:t>
      </w:r>
      <w:r w:rsidRPr="00E416C0">
        <w:rPr>
          <w:rFonts w:eastAsia="Times New Roman" w:cs="Times New Roman"/>
          <w:sz w:val="20"/>
          <w:szCs w:val="20"/>
        </w:rPr>
        <w:t>. RM05-5-02</w:t>
      </w:r>
      <w:r w:rsidR="00187D33">
        <w:rPr>
          <w:rFonts w:eastAsia="Times New Roman" w:cs="Times New Roman"/>
          <w:sz w:val="20"/>
          <w:szCs w:val="20"/>
        </w:rPr>
        <w:t>5, RM05-5-026, and RM05-5-027</w:t>
      </w:r>
      <w:r>
        <w:rPr>
          <w:rFonts w:eastAsia="Times New Roman" w:cs="Times New Roman"/>
          <w:sz w:val="20"/>
          <w:szCs w:val="20"/>
        </w:rPr>
        <w:t xml:space="preserve"> (Order)</w:t>
      </w:r>
      <w:r w:rsidRPr="00E416C0">
        <w:rPr>
          <w:rFonts w:eastAsia="Times New Roman" w:cs="Times New Roman"/>
          <w:sz w:val="20"/>
          <w:szCs w:val="20"/>
        </w:rPr>
        <w:t>.</w:t>
      </w:r>
      <w:r w:rsidRPr="00E416C0">
        <w:rPr>
          <w:rStyle w:val="FootnoteReference"/>
          <w:rFonts w:eastAsia="Times New Roman" w:cs="Times New Roman"/>
          <w:sz w:val="20"/>
          <w:szCs w:val="20"/>
        </w:rPr>
        <w:footnoteReference w:id="1"/>
      </w:r>
      <w:r w:rsidRPr="00E416C0">
        <w:rPr>
          <w:rFonts w:eastAsia="Times New Roman" w:cs="Times New Roman"/>
          <w:sz w:val="20"/>
          <w:szCs w:val="20"/>
        </w:rPr>
        <w:t xml:space="preserve">  </w:t>
      </w:r>
      <w:r w:rsidR="00696360">
        <w:rPr>
          <w:rFonts w:eastAsia="Times New Roman" w:cs="Times New Roman"/>
          <w:sz w:val="20"/>
          <w:szCs w:val="20"/>
        </w:rPr>
        <w:t xml:space="preserve">The Order was published in the Federal Register on February 25, 2020.  In the Order, </w:t>
      </w:r>
      <w:r w:rsidR="00696360" w:rsidRPr="00DB142D">
        <w:rPr>
          <w:rFonts w:eastAsia="Times New Roman" w:cs="Times New Roman"/>
          <w:sz w:val="20"/>
          <w:szCs w:val="20"/>
        </w:rPr>
        <w:t>effective</w:t>
      </w:r>
      <w:r w:rsidR="00696360" w:rsidRPr="001165C3">
        <w:rPr>
          <w:rFonts w:eastAsia="Times New Roman" w:cs="Times New Roman"/>
          <w:sz w:val="20"/>
          <w:szCs w:val="20"/>
        </w:rPr>
        <w:t xml:space="preserve"> on</w:t>
      </w:r>
      <w:r w:rsidR="00696360">
        <w:rPr>
          <w:rFonts w:eastAsia="Times New Roman" w:cs="Times New Roman"/>
          <w:sz w:val="20"/>
          <w:szCs w:val="20"/>
        </w:rPr>
        <w:t xml:space="preserve"> April 27, 2020, </w:t>
      </w:r>
      <w:r>
        <w:rPr>
          <w:rFonts w:eastAsia="Times New Roman" w:cs="Times New Roman"/>
          <w:sz w:val="20"/>
          <w:szCs w:val="20"/>
        </w:rPr>
        <w:t>the Commission revise</w:t>
      </w:r>
      <w:r w:rsidR="00E24D96"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 xml:space="preserve"> its regulations to </w:t>
      </w:r>
      <w:r w:rsidRPr="00E416C0">
        <w:rPr>
          <w:rFonts w:eastAsia="Times New Roman" w:cs="Times New Roman"/>
          <w:bCs/>
          <w:iCs/>
          <w:sz w:val="20"/>
          <w:szCs w:val="20"/>
        </w:rPr>
        <w:t>incorporate by reference</w:t>
      </w:r>
      <w:r w:rsidRPr="00E416C0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the </w:t>
      </w:r>
      <w:r w:rsidRPr="00E416C0">
        <w:rPr>
          <w:rFonts w:eastAsia="Times New Roman" w:cs="Times New Roman"/>
          <w:sz w:val="20"/>
          <w:szCs w:val="20"/>
        </w:rPr>
        <w:t>NAESB WEQ Version 003</w:t>
      </w:r>
      <w:r w:rsidR="00947345">
        <w:rPr>
          <w:rFonts w:eastAsia="Times New Roman" w:cs="Times New Roman"/>
          <w:sz w:val="20"/>
          <w:szCs w:val="20"/>
        </w:rPr>
        <w:t>.2</w:t>
      </w:r>
      <w:r w:rsidRPr="00E416C0">
        <w:rPr>
          <w:rFonts w:eastAsia="Times New Roman" w:cs="Times New Roman"/>
          <w:sz w:val="20"/>
          <w:szCs w:val="20"/>
        </w:rPr>
        <w:t xml:space="preserve"> Business Practice Standards</w:t>
      </w:r>
      <w:r w:rsidR="00F8633F">
        <w:rPr>
          <w:rFonts w:eastAsia="Times New Roman" w:cs="Times New Roman"/>
          <w:sz w:val="20"/>
          <w:szCs w:val="20"/>
        </w:rPr>
        <w:t xml:space="preserve"> (Standards)</w:t>
      </w:r>
      <w:r>
        <w:rPr>
          <w:rFonts w:eastAsia="Times New Roman" w:cs="Times New Roman"/>
          <w:sz w:val="20"/>
          <w:szCs w:val="20"/>
        </w:rPr>
        <w:t xml:space="preserve"> </w:t>
      </w:r>
      <w:r w:rsidR="007F09BA">
        <w:rPr>
          <w:rFonts w:eastAsia="Times New Roman" w:cs="Times New Roman"/>
          <w:sz w:val="20"/>
          <w:szCs w:val="20"/>
        </w:rPr>
        <w:t xml:space="preserve">as proposed in the related </w:t>
      </w:r>
      <w:r w:rsidR="00696360">
        <w:rPr>
          <w:rFonts w:eastAsia="Times New Roman" w:cs="Times New Roman"/>
          <w:sz w:val="20"/>
          <w:szCs w:val="20"/>
        </w:rPr>
        <w:t xml:space="preserve">May 16, 2019 </w:t>
      </w:r>
      <w:r w:rsidR="007F09BA">
        <w:rPr>
          <w:rFonts w:eastAsia="Times New Roman" w:cs="Times New Roman"/>
          <w:sz w:val="20"/>
          <w:szCs w:val="20"/>
        </w:rPr>
        <w:t>Notice of Proposed Rulemaking (NOPR)</w:t>
      </w:r>
      <w:r w:rsidR="003E7087">
        <w:rPr>
          <w:rStyle w:val="FootnoteReference"/>
          <w:rFonts w:eastAsia="Times New Roman" w:cs="Times New Roman"/>
          <w:sz w:val="20"/>
          <w:szCs w:val="20"/>
        </w:rPr>
        <w:footnoteReference w:id="2"/>
      </w:r>
      <w:r w:rsidR="007F09BA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with certain exceptions.</w:t>
      </w:r>
      <w:r w:rsidR="0021379D">
        <w:rPr>
          <w:rFonts w:eastAsia="Times New Roman" w:cs="Times New Roman"/>
          <w:sz w:val="20"/>
          <w:szCs w:val="20"/>
        </w:rPr>
        <w:t xml:space="preserve">  </w:t>
      </w:r>
      <w:r w:rsidR="00AF3FFC">
        <w:rPr>
          <w:rFonts w:eastAsia="Times New Roman" w:cs="Times New Roman"/>
          <w:sz w:val="20"/>
          <w:szCs w:val="20"/>
        </w:rPr>
        <w:t xml:space="preserve">The Standards build upon </w:t>
      </w:r>
      <w:r w:rsidR="00E62141">
        <w:rPr>
          <w:rFonts w:eastAsia="Times New Roman" w:cs="Times New Roman"/>
          <w:sz w:val="20"/>
          <w:szCs w:val="20"/>
        </w:rPr>
        <w:t>NAESB WEQ Version 003.1, and include, in their entirety, the modifications in this version, with the addition of certain revisions and corrections.</w:t>
      </w:r>
      <w:r w:rsidR="00654CB5">
        <w:rPr>
          <w:rFonts w:eastAsia="Times New Roman" w:cs="Times New Roman"/>
          <w:sz w:val="20"/>
          <w:szCs w:val="20"/>
        </w:rPr>
        <w:t xml:space="preserve">  </w:t>
      </w:r>
      <w:r w:rsidR="00696360">
        <w:rPr>
          <w:rFonts w:eastAsia="Times New Roman" w:cs="Times New Roman"/>
          <w:sz w:val="20"/>
          <w:szCs w:val="20"/>
        </w:rPr>
        <w:t xml:space="preserve">The Standards contained within the Order mark a development period from </w:t>
      </w:r>
      <w:r w:rsidR="00BB2147">
        <w:rPr>
          <w:rFonts w:eastAsia="Times New Roman" w:cs="Times New Roman"/>
          <w:sz w:val="20"/>
          <w:szCs w:val="20"/>
        </w:rPr>
        <w:t xml:space="preserve">September 2011 through </w:t>
      </w:r>
      <w:r w:rsidR="00E62141">
        <w:rPr>
          <w:rFonts w:eastAsia="Times New Roman" w:cs="Times New Roman"/>
          <w:sz w:val="20"/>
          <w:szCs w:val="20"/>
        </w:rPr>
        <w:t xml:space="preserve">December </w:t>
      </w:r>
      <w:r w:rsidR="00BB2147">
        <w:rPr>
          <w:rFonts w:eastAsia="Times New Roman" w:cs="Times New Roman"/>
          <w:sz w:val="20"/>
          <w:szCs w:val="20"/>
        </w:rPr>
        <w:t xml:space="preserve">2017 and support </w:t>
      </w:r>
      <w:r w:rsidR="00F8633F" w:rsidRPr="00E416C0">
        <w:rPr>
          <w:rFonts w:eastAsia="Times New Roman" w:cs="Times New Roman"/>
          <w:sz w:val="20"/>
          <w:szCs w:val="20"/>
        </w:rPr>
        <w:t>FERC Order Nos</w:t>
      </w:r>
      <w:r w:rsidR="00F8633F" w:rsidRPr="00893D57">
        <w:rPr>
          <w:rFonts w:eastAsia="Times New Roman" w:cs="Times New Roman"/>
          <w:sz w:val="20"/>
          <w:szCs w:val="20"/>
        </w:rPr>
        <w:t xml:space="preserve">. 890, 890-A, 890-B, </w:t>
      </w:r>
      <w:r w:rsidR="00AB6568">
        <w:rPr>
          <w:rFonts w:eastAsia="Times New Roman" w:cs="Times New Roman"/>
          <w:sz w:val="20"/>
          <w:szCs w:val="20"/>
        </w:rPr>
        <w:t>888, 768, 764,</w:t>
      </w:r>
      <w:r w:rsidR="00F8633F" w:rsidRPr="00893D57">
        <w:rPr>
          <w:rFonts w:eastAsia="Times New Roman" w:cs="Times New Roman"/>
          <w:sz w:val="20"/>
          <w:szCs w:val="20"/>
        </w:rPr>
        <w:t xml:space="preserve">676-E, </w:t>
      </w:r>
      <w:r w:rsidR="004E1458">
        <w:rPr>
          <w:rFonts w:eastAsia="Times New Roman" w:cs="Times New Roman"/>
          <w:sz w:val="20"/>
          <w:szCs w:val="20"/>
        </w:rPr>
        <w:t xml:space="preserve">and </w:t>
      </w:r>
      <w:r w:rsidR="00BB2147" w:rsidRPr="00893D57">
        <w:rPr>
          <w:rFonts w:eastAsia="Times New Roman" w:cs="Times New Roman"/>
          <w:sz w:val="20"/>
          <w:szCs w:val="20"/>
        </w:rPr>
        <w:t>676-H</w:t>
      </w:r>
      <w:r w:rsidR="00F8633F" w:rsidRPr="00E416C0">
        <w:rPr>
          <w:rFonts w:eastAsia="Times New Roman" w:cs="Times New Roman"/>
          <w:sz w:val="20"/>
          <w:szCs w:val="20"/>
        </w:rPr>
        <w:t>.</w:t>
      </w:r>
      <w:r w:rsidR="00F8633F">
        <w:rPr>
          <w:rFonts w:eastAsia="Times New Roman" w:cs="Times New Roman"/>
          <w:sz w:val="20"/>
          <w:szCs w:val="20"/>
        </w:rPr>
        <w:t xml:space="preserve"> </w:t>
      </w:r>
      <w:r w:rsidR="00F8633F">
        <w:rPr>
          <w:sz w:val="20"/>
          <w:szCs w:val="20"/>
        </w:rPr>
        <w:t>This body of S</w:t>
      </w:r>
      <w:r w:rsidRPr="00E416C0">
        <w:rPr>
          <w:sz w:val="20"/>
          <w:szCs w:val="20"/>
        </w:rPr>
        <w:t xml:space="preserve">tandards </w:t>
      </w:r>
      <w:r w:rsidR="00F74F93">
        <w:rPr>
          <w:sz w:val="20"/>
          <w:szCs w:val="20"/>
        </w:rPr>
        <w:t xml:space="preserve">is the result of </w:t>
      </w:r>
      <w:r w:rsidR="00366F38">
        <w:rPr>
          <w:sz w:val="20"/>
          <w:szCs w:val="20"/>
        </w:rPr>
        <w:t>a significant effort by the industry</w:t>
      </w:r>
      <w:r w:rsidR="00DF0513">
        <w:rPr>
          <w:sz w:val="20"/>
          <w:szCs w:val="20"/>
        </w:rPr>
        <w:t xml:space="preserve">, and NAESB </w:t>
      </w:r>
      <w:r w:rsidR="00891F28">
        <w:rPr>
          <w:sz w:val="20"/>
          <w:szCs w:val="20"/>
        </w:rPr>
        <w:t>would like to thank the numerous</w:t>
      </w:r>
      <w:r w:rsidR="00846931">
        <w:rPr>
          <w:sz w:val="20"/>
          <w:szCs w:val="20"/>
        </w:rPr>
        <w:t xml:space="preserve"> industry volunteers who contributed to the </w:t>
      </w:r>
      <w:r w:rsidR="00366F38">
        <w:rPr>
          <w:sz w:val="20"/>
          <w:szCs w:val="20"/>
        </w:rPr>
        <w:t>development of these Standards.</w:t>
      </w:r>
    </w:p>
    <w:p w14:paraId="0344F41F" w14:textId="58C4C455" w:rsidR="00383B7D" w:rsidRDefault="00F8633F" w:rsidP="004C7478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Although the Order adopts a large majority of the Standards, certain </w:t>
      </w:r>
      <w:r w:rsidR="00AF3FFC">
        <w:rPr>
          <w:rFonts w:eastAsia="Times New Roman" w:cs="Times New Roman"/>
          <w:sz w:val="20"/>
          <w:szCs w:val="20"/>
        </w:rPr>
        <w:t xml:space="preserve">enumerated </w:t>
      </w:r>
      <w:r>
        <w:rPr>
          <w:rFonts w:eastAsia="Times New Roman" w:cs="Times New Roman"/>
          <w:sz w:val="20"/>
          <w:szCs w:val="20"/>
        </w:rPr>
        <w:t>exceptions were made</w:t>
      </w:r>
      <w:r w:rsidR="00A67250">
        <w:rPr>
          <w:rFonts w:eastAsia="Times New Roman" w:cs="Times New Roman"/>
          <w:sz w:val="20"/>
          <w:szCs w:val="20"/>
        </w:rPr>
        <w:t>.</w:t>
      </w:r>
      <w:r w:rsidR="00567F83">
        <w:rPr>
          <w:rFonts w:eastAsia="Times New Roman" w:cs="Times New Roman"/>
          <w:sz w:val="20"/>
          <w:szCs w:val="20"/>
        </w:rPr>
        <w:t xml:space="preserve">  </w:t>
      </w:r>
      <w:r w:rsidR="00383B7D">
        <w:rPr>
          <w:rFonts w:eastAsia="Times New Roman" w:cs="Times New Roman"/>
          <w:sz w:val="20"/>
          <w:szCs w:val="20"/>
        </w:rPr>
        <w:t>Specifically</w:t>
      </w:r>
      <w:r w:rsidR="000F4D9F">
        <w:rPr>
          <w:rFonts w:eastAsia="Times New Roman" w:cs="Times New Roman"/>
          <w:sz w:val="20"/>
          <w:szCs w:val="20"/>
        </w:rPr>
        <w:t>,</w:t>
      </w:r>
      <w:r w:rsidR="00383B7D">
        <w:rPr>
          <w:rFonts w:eastAsia="Times New Roman" w:cs="Times New Roman"/>
          <w:sz w:val="20"/>
          <w:szCs w:val="20"/>
        </w:rPr>
        <w:t xml:space="preserve"> the preamble text included as part of WEQ-001-9 and WEQ-001-10, </w:t>
      </w:r>
      <w:r w:rsidR="009E3707">
        <w:rPr>
          <w:rFonts w:eastAsia="Times New Roman" w:cs="Times New Roman"/>
          <w:sz w:val="20"/>
          <w:szCs w:val="20"/>
        </w:rPr>
        <w:t xml:space="preserve">the reservation of the </w:t>
      </w:r>
      <w:r w:rsidR="00B36F13">
        <w:rPr>
          <w:rFonts w:eastAsia="Times New Roman" w:cs="Times New Roman"/>
          <w:sz w:val="20"/>
          <w:szCs w:val="20"/>
        </w:rPr>
        <w:t>WEQ-006 Manual Time Error Correction</w:t>
      </w:r>
      <w:r w:rsidR="000F4D9F">
        <w:rPr>
          <w:rFonts w:eastAsia="Times New Roman" w:cs="Times New Roman"/>
          <w:sz w:val="20"/>
          <w:szCs w:val="20"/>
        </w:rPr>
        <w:t xml:space="preserve"> </w:t>
      </w:r>
      <w:r w:rsidR="00682417">
        <w:rPr>
          <w:rFonts w:eastAsia="Times New Roman" w:cs="Times New Roman"/>
          <w:sz w:val="20"/>
          <w:szCs w:val="20"/>
        </w:rPr>
        <w:t>Business Practice Standards</w:t>
      </w:r>
      <w:r w:rsidR="00D27F51">
        <w:rPr>
          <w:rFonts w:eastAsia="Times New Roman" w:cs="Times New Roman"/>
          <w:sz w:val="20"/>
          <w:szCs w:val="20"/>
        </w:rPr>
        <w:t xml:space="preserve"> and </w:t>
      </w:r>
      <w:r w:rsidR="00BA576D">
        <w:rPr>
          <w:rFonts w:eastAsia="Times New Roman" w:cs="Times New Roman"/>
          <w:sz w:val="20"/>
          <w:szCs w:val="20"/>
        </w:rPr>
        <w:t xml:space="preserve">three </w:t>
      </w:r>
      <w:r w:rsidR="00D27F51">
        <w:rPr>
          <w:rFonts w:eastAsia="Times New Roman" w:cs="Times New Roman"/>
          <w:sz w:val="20"/>
          <w:szCs w:val="20"/>
        </w:rPr>
        <w:t xml:space="preserve">defined terms associated with the reservation, </w:t>
      </w:r>
      <w:r w:rsidR="00B36F13">
        <w:rPr>
          <w:rFonts w:eastAsia="Times New Roman" w:cs="Times New Roman"/>
          <w:sz w:val="20"/>
          <w:szCs w:val="20"/>
        </w:rPr>
        <w:t xml:space="preserve">and </w:t>
      </w:r>
      <w:r w:rsidR="000F4D9F">
        <w:rPr>
          <w:rFonts w:eastAsia="Times New Roman" w:cs="Times New Roman"/>
          <w:sz w:val="20"/>
          <w:szCs w:val="20"/>
        </w:rPr>
        <w:t xml:space="preserve">certain portions of </w:t>
      </w:r>
      <w:r w:rsidR="00B36F13" w:rsidRPr="00893D57">
        <w:rPr>
          <w:rFonts w:eastAsia="Times New Roman" w:cs="Times New Roman"/>
          <w:sz w:val="20"/>
          <w:szCs w:val="20"/>
        </w:rPr>
        <w:t>WEQ-023 Modeling</w:t>
      </w:r>
      <w:r w:rsidR="009E3707">
        <w:rPr>
          <w:rFonts w:eastAsia="Times New Roman" w:cs="Times New Roman"/>
          <w:sz w:val="20"/>
          <w:szCs w:val="20"/>
        </w:rPr>
        <w:t xml:space="preserve"> Business Practice Standards</w:t>
      </w:r>
      <w:r w:rsidR="00B36F13">
        <w:rPr>
          <w:rFonts w:eastAsia="Times New Roman" w:cs="Times New Roman"/>
          <w:sz w:val="20"/>
          <w:szCs w:val="20"/>
        </w:rPr>
        <w:t>.</w:t>
      </w:r>
    </w:p>
    <w:p w14:paraId="2711BCF3" w14:textId="6962D196" w:rsidR="00383B7D" w:rsidRDefault="00B36F13" w:rsidP="00383B7D">
      <w:pPr>
        <w:pStyle w:val="PlainText"/>
        <w:numPr>
          <w:ilvl w:val="0"/>
          <w:numId w:val="25"/>
        </w:numPr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NAESB standards WEQ-001-9 and WEQ-001-10 address redirects on a firm and non-firm basis, respectively.  </w:t>
      </w:r>
      <w:r w:rsidR="003E57D9">
        <w:rPr>
          <w:rFonts w:eastAsia="Times New Roman" w:cs="Times New Roman"/>
          <w:sz w:val="20"/>
          <w:szCs w:val="20"/>
        </w:rPr>
        <w:t>In declining to incorporate by reference the preamble to WEQ-001-9, the</w:t>
      </w:r>
      <w:r w:rsidR="009E3532">
        <w:rPr>
          <w:rFonts w:eastAsia="Times New Roman" w:cs="Times New Roman"/>
          <w:sz w:val="20"/>
          <w:szCs w:val="20"/>
        </w:rPr>
        <w:t xml:space="preserve"> Commission stated </w:t>
      </w:r>
      <w:r w:rsidR="00D05971">
        <w:rPr>
          <w:rFonts w:eastAsia="Times New Roman" w:cs="Times New Roman"/>
          <w:sz w:val="20"/>
          <w:szCs w:val="20"/>
        </w:rPr>
        <w:t>the text appears</w:t>
      </w:r>
      <w:r w:rsidR="009E3532">
        <w:rPr>
          <w:rFonts w:eastAsia="Times New Roman" w:cs="Times New Roman"/>
          <w:sz w:val="20"/>
          <w:szCs w:val="20"/>
        </w:rPr>
        <w:t xml:space="preserve"> to exempt redirects from conditional firm parents from the remainder of the redirect standards and permits transmission providers to implement their own procedures for redirect requests</w:t>
      </w:r>
      <w:r w:rsidR="00D05971">
        <w:rPr>
          <w:rFonts w:eastAsia="Times New Roman" w:cs="Times New Roman"/>
          <w:sz w:val="20"/>
          <w:szCs w:val="20"/>
        </w:rPr>
        <w:t xml:space="preserve"> from conditional firm parents.</w:t>
      </w:r>
      <w:r w:rsidR="009E3532">
        <w:rPr>
          <w:rFonts w:eastAsia="Times New Roman" w:cs="Times New Roman"/>
          <w:sz w:val="20"/>
          <w:szCs w:val="20"/>
        </w:rPr>
        <w:t xml:space="preserve">  </w:t>
      </w:r>
      <w:r w:rsidR="00261912">
        <w:rPr>
          <w:rFonts w:eastAsia="Times New Roman" w:cs="Times New Roman"/>
          <w:sz w:val="20"/>
          <w:szCs w:val="20"/>
        </w:rPr>
        <w:t xml:space="preserve">The Commission </w:t>
      </w:r>
      <w:r w:rsidR="006920E5">
        <w:rPr>
          <w:rFonts w:eastAsia="Times New Roman" w:cs="Times New Roman"/>
          <w:sz w:val="20"/>
          <w:szCs w:val="20"/>
        </w:rPr>
        <w:t xml:space="preserve">declined to incorporate by reference the preamble included at the beginning of WEQ-001-10 </w:t>
      </w:r>
      <w:r w:rsidR="00261912">
        <w:rPr>
          <w:rFonts w:eastAsia="Times New Roman" w:cs="Times New Roman"/>
          <w:sz w:val="20"/>
          <w:szCs w:val="20"/>
        </w:rPr>
        <w:t>for these same reasons</w:t>
      </w:r>
      <w:r w:rsidR="006920E5">
        <w:rPr>
          <w:rFonts w:eastAsia="Times New Roman" w:cs="Times New Roman"/>
          <w:sz w:val="20"/>
          <w:szCs w:val="20"/>
        </w:rPr>
        <w:t>.</w:t>
      </w:r>
    </w:p>
    <w:p w14:paraId="5A85A257" w14:textId="1A2543E2" w:rsidR="00567F83" w:rsidRDefault="007A5003" w:rsidP="00383B7D">
      <w:pPr>
        <w:pStyle w:val="PlainText"/>
        <w:numPr>
          <w:ilvl w:val="0"/>
          <w:numId w:val="25"/>
        </w:numPr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In</w:t>
      </w:r>
      <w:r w:rsidR="00567F83">
        <w:rPr>
          <w:rFonts w:eastAsia="Times New Roman" w:cs="Times New Roman"/>
          <w:sz w:val="20"/>
          <w:szCs w:val="20"/>
        </w:rPr>
        <w:t xml:space="preserve"> NAESB WEQ Version 003.2 Business Practice Standards, NAESB reserved</w:t>
      </w:r>
      <w:r w:rsidR="0057087E">
        <w:rPr>
          <w:rFonts w:eastAsia="Times New Roman" w:cs="Times New Roman"/>
          <w:sz w:val="20"/>
          <w:szCs w:val="20"/>
        </w:rPr>
        <w:t xml:space="preserve"> </w:t>
      </w:r>
      <w:r w:rsidR="00567F83">
        <w:rPr>
          <w:rFonts w:eastAsia="Times New Roman" w:cs="Times New Roman"/>
          <w:sz w:val="20"/>
          <w:szCs w:val="20"/>
        </w:rPr>
        <w:t>the entirety of the standards language in WEQ-006 Manual Time Error Correction</w:t>
      </w:r>
      <w:r w:rsidR="008E0405">
        <w:rPr>
          <w:rFonts w:eastAsia="Times New Roman" w:cs="Times New Roman"/>
          <w:sz w:val="20"/>
          <w:szCs w:val="20"/>
        </w:rPr>
        <w:t xml:space="preserve"> </w:t>
      </w:r>
      <w:r w:rsidR="00B64D7C">
        <w:rPr>
          <w:rFonts w:eastAsia="Times New Roman" w:cs="Times New Roman"/>
          <w:sz w:val="20"/>
          <w:szCs w:val="20"/>
        </w:rPr>
        <w:t xml:space="preserve">Business Practice Standards </w:t>
      </w:r>
      <w:r w:rsidR="008E0405">
        <w:rPr>
          <w:rFonts w:eastAsia="Times New Roman" w:cs="Times New Roman"/>
          <w:sz w:val="20"/>
          <w:szCs w:val="20"/>
        </w:rPr>
        <w:t xml:space="preserve">as part of coordination </w:t>
      </w:r>
      <w:r>
        <w:rPr>
          <w:rFonts w:eastAsia="Times New Roman" w:cs="Times New Roman"/>
          <w:sz w:val="20"/>
          <w:szCs w:val="20"/>
        </w:rPr>
        <w:t xml:space="preserve">efforts </w:t>
      </w:r>
      <w:r w:rsidR="008E0405">
        <w:rPr>
          <w:rFonts w:eastAsia="Times New Roman" w:cs="Times New Roman"/>
          <w:sz w:val="20"/>
          <w:szCs w:val="20"/>
        </w:rPr>
        <w:t>with the North American Electric Reliability Corporation</w:t>
      </w:r>
      <w:r w:rsidR="00567F83">
        <w:rPr>
          <w:rFonts w:eastAsia="Times New Roman" w:cs="Times New Roman"/>
          <w:sz w:val="20"/>
          <w:szCs w:val="20"/>
        </w:rPr>
        <w:t>.</w:t>
      </w:r>
      <w:r w:rsidR="008E0405">
        <w:rPr>
          <w:rFonts w:eastAsia="Times New Roman" w:cs="Times New Roman"/>
          <w:sz w:val="20"/>
          <w:szCs w:val="20"/>
        </w:rPr>
        <w:t xml:space="preserve">  </w:t>
      </w:r>
      <w:r w:rsidR="008E0405" w:rsidRPr="00893D57">
        <w:rPr>
          <w:rFonts w:eastAsia="Times New Roman" w:cs="Times New Roman"/>
          <w:sz w:val="20"/>
          <w:szCs w:val="20"/>
        </w:rPr>
        <w:t xml:space="preserve">The Commission declined to adopt </w:t>
      </w:r>
      <w:r w:rsidR="00296285" w:rsidRPr="00893D57">
        <w:rPr>
          <w:rFonts w:eastAsia="Times New Roman" w:cs="Times New Roman"/>
          <w:sz w:val="20"/>
          <w:szCs w:val="20"/>
        </w:rPr>
        <w:t>the reservation and remove the incorporation by reference to the standards, stating that sufficient justification for retiring Time Error Correction as a business standard had not been provided.</w:t>
      </w:r>
      <w:r w:rsidR="00FB299D" w:rsidRPr="00893D57">
        <w:rPr>
          <w:rFonts w:eastAsia="Times New Roman" w:cs="Times New Roman"/>
          <w:sz w:val="20"/>
          <w:szCs w:val="20"/>
        </w:rPr>
        <w:t xml:space="preserve">  In doing so, the Commission also declined to adopt the elimination of </w:t>
      </w:r>
      <w:r w:rsidR="00B67CC6">
        <w:rPr>
          <w:rFonts w:eastAsia="Times New Roman" w:cs="Times New Roman"/>
          <w:sz w:val="20"/>
          <w:szCs w:val="20"/>
        </w:rPr>
        <w:t xml:space="preserve">some related </w:t>
      </w:r>
      <w:r w:rsidR="00FB299D" w:rsidRPr="00893D57">
        <w:rPr>
          <w:rFonts w:eastAsia="Times New Roman" w:cs="Times New Roman"/>
          <w:sz w:val="20"/>
          <w:szCs w:val="20"/>
        </w:rPr>
        <w:t>defined terms in Standard WEQ-000.</w:t>
      </w:r>
      <w:r w:rsidR="00D27F51" w:rsidRPr="00893D57">
        <w:rPr>
          <w:rFonts w:eastAsia="Times New Roman" w:cs="Times New Roman"/>
          <w:sz w:val="20"/>
          <w:szCs w:val="20"/>
        </w:rPr>
        <w:t xml:space="preserve">  As part of the final rule, the Commission incorporated by reference WEQ-006 Version 003.1 Standard for Time Error Correction</w:t>
      </w:r>
      <w:r w:rsidR="00B67CC6">
        <w:rPr>
          <w:rFonts w:eastAsia="Times New Roman" w:cs="Times New Roman"/>
          <w:sz w:val="20"/>
          <w:szCs w:val="20"/>
        </w:rPr>
        <w:t xml:space="preserve"> and the definitions f</w:t>
      </w:r>
      <w:r w:rsidR="00043CF6">
        <w:rPr>
          <w:rFonts w:eastAsia="Times New Roman" w:cs="Times New Roman"/>
          <w:sz w:val="20"/>
          <w:szCs w:val="20"/>
        </w:rPr>
        <w:t>rom NAESB WEQ Version 003.1 for</w:t>
      </w:r>
      <w:r w:rsidR="00B67CC6">
        <w:rPr>
          <w:rFonts w:eastAsia="Times New Roman" w:cs="Times New Roman"/>
          <w:sz w:val="20"/>
          <w:szCs w:val="20"/>
        </w:rPr>
        <w:t xml:space="preserve"> Interconnection Time Monitor, Time Error, and Time Error Correction</w:t>
      </w:r>
      <w:r w:rsidR="00D27F51" w:rsidRPr="00893D57">
        <w:rPr>
          <w:rFonts w:eastAsia="Times New Roman" w:cs="Times New Roman"/>
          <w:sz w:val="20"/>
          <w:szCs w:val="20"/>
        </w:rPr>
        <w:t>.</w:t>
      </w:r>
      <w:r w:rsidR="008E0405">
        <w:rPr>
          <w:rFonts w:eastAsia="Times New Roman" w:cs="Times New Roman"/>
          <w:sz w:val="20"/>
          <w:szCs w:val="20"/>
        </w:rPr>
        <w:t xml:space="preserve">  The Commission </w:t>
      </w:r>
      <w:r w:rsidR="00D27F51">
        <w:rPr>
          <w:rFonts w:eastAsia="Times New Roman" w:cs="Times New Roman"/>
          <w:sz w:val="20"/>
          <w:szCs w:val="20"/>
        </w:rPr>
        <w:t>advise</w:t>
      </w:r>
      <w:r w:rsidR="00EA3D86">
        <w:rPr>
          <w:rFonts w:eastAsia="Times New Roman" w:cs="Times New Roman"/>
          <w:sz w:val="20"/>
          <w:szCs w:val="20"/>
        </w:rPr>
        <w:t>d</w:t>
      </w:r>
      <w:r w:rsidR="008E0405">
        <w:rPr>
          <w:rFonts w:eastAsia="Times New Roman" w:cs="Times New Roman"/>
          <w:sz w:val="20"/>
          <w:szCs w:val="20"/>
        </w:rPr>
        <w:t xml:space="preserve"> public utilities work through </w:t>
      </w:r>
      <w:r w:rsidR="00A25B22">
        <w:rPr>
          <w:rFonts w:eastAsia="Times New Roman" w:cs="Times New Roman"/>
          <w:sz w:val="20"/>
          <w:szCs w:val="20"/>
        </w:rPr>
        <w:t xml:space="preserve">the </w:t>
      </w:r>
      <w:r w:rsidR="008E0405">
        <w:rPr>
          <w:rFonts w:eastAsia="Times New Roman" w:cs="Times New Roman"/>
          <w:sz w:val="20"/>
          <w:szCs w:val="20"/>
        </w:rPr>
        <w:t xml:space="preserve">NAESB </w:t>
      </w:r>
      <w:r w:rsidR="00A25B22">
        <w:rPr>
          <w:rFonts w:eastAsia="Times New Roman" w:cs="Times New Roman"/>
          <w:sz w:val="20"/>
          <w:szCs w:val="20"/>
        </w:rPr>
        <w:t xml:space="preserve">business practices development processes </w:t>
      </w:r>
      <w:r w:rsidR="00383B7D">
        <w:rPr>
          <w:rFonts w:eastAsia="Times New Roman" w:cs="Times New Roman"/>
          <w:sz w:val="20"/>
          <w:szCs w:val="20"/>
        </w:rPr>
        <w:t>to revisit the rationale for reserving the standards and determine whether the</w:t>
      </w:r>
      <w:r w:rsidR="0057087E">
        <w:rPr>
          <w:rFonts w:eastAsia="Times New Roman" w:cs="Times New Roman"/>
          <w:sz w:val="20"/>
          <w:szCs w:val="20"/>
        </w:rPr>
        <w:t xml:space="preserve"> standards language</w:t>
      </w:r>
      <w:r w:rsidR="00383B7D">
        <w:rPr>
          <w:rFonts w:eastAsia="Times New Roman" w:cs="Times New Roman"/>
          <w:sz w:val="20"/>
          <w:szCs w:val="20"/>
        </w:rPr>
        <w:t xml:space="preserve"> should be retained or revised.</w:t>
      </w:r>
    </w:p>
    <w:p w14:paraId="466A9B31" w14:textId="1666FDD9" w:rsidR="000F4D9F" w:rsidRDefault="00D22B48" w:rsidP="00383B7D">
      <w:pPr>
        <w:pStyle w:val="PlainText"/>
        <w:numPr>
          <w:ilvl w:val="0"/>
          <w:numId w:val="25"/>
        </w:numPr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Regarding </w:t>
      </w:r>
      <w:r w:rsidRPr="00893D57">
        <w:rPr>
          <w:rFonts w:eastAsia="Times New Roman" w:cs="Times New Roman"/>
          <w:sz w:val="20"/>
          <w:szCs w:val="20"/>
        </w:rPr>
        <w:t>WEQ-023 Modeling</w:t>
      </w:r>
      <w:r w:rsidR="00EA3D86">
        <w:rPr>
          <w:rFonts w:eastAsia="Times New Roman" w:cs="Times New Roman"/>
          <w:sz w:val="20"/>
          <w:szCs w:val="20"/>
        </w:rPr>
        <w:t xml:space="preserve"> Business Practice Standards</w:t>
      </w:r>
      <w:r>
        <w:rPr>
          <w:rFonts w:eastAsia="Times New Roman" w:cs="Times New Roman"/>
          <w:sz w:val="20"/>
          <w:szCs w:val="20"/>
        </w:rPr>
        <w:t xml:space="preserve">, the Commission specifically incorporated by reference WEQ-023-5, WEQ-023-5.1, WEQ-023-5.1.1, WEQ-023-5.1.2, WEQ-023-5.1.2.1, WEQ-023-5.1.2.2, WEQ-023-5.1.2.3, WEQ-023-5.1.3, WEQ-023-5.2, WEQ-023-6, WEQ-023-6.1, WEQ-023-6.1.1, </w:t>
      </w:r>
      <w:r>
        <w:rPr>
          <w:rFonts w:eastAsia="Times New Roman" w:cs="Times New Roman"/>
          <w:sz w:val="20"/>
          <w:szCs w:val="20"/>
        </w:rPr>
        <w:lastRenderedPageBreak/>
        <w:t>WEQ-023-6.1.2, and WEQ-023-A.</w:t>
      </w:r>
      <w:r w:rsidR="00AE0668">
        <w:rPr>
          <w:rFonts w:eastAsia="Times New Roman" w:cs="Times New Roman"/>
          <w:sz w:val="20"/>
          <w:szCs w:val="20"/>
        </w:rPr>
        <w:t xml:space="preserve">  </w:t>
      </w:r>
      <w:r w:rsidR="00B13DCB">
        <w:rPr>
          <w:rFonts w:eastAsia="Times New Roman" w:cs="Times New Roman"/>
          <w:sz w:val="20"/>
          <w:szCs w:val="20"/>
        </w:rPr>
        <w:t xml:space="preserve">In the Order, the Commission stated that these thirteen standards and appendix had been </w:t>
      </w:r>
      <w:r w:rsidR="001733C1">
        <w:rPr>
          <w:rFonts w:eastAsia="Times New Roman" w:cs="Times New Roman"/>
          <w:sz w:val="20"/>
          <w:szCs w:val="20"/>
        </w:rPr>
        <w:t>reserved</w:t>
      </w:r>
      <w:r w:rsidR="00B13DCB">
        <w:rPr>
          <w:rFonts w:eastAsia="Times New Roman" w:cs="Times New Roman"/>
          <w:sz w:val="20"/>
          <w:szCs w:val="20"/>
        </w:rPr>
        <w:t xml:space="preserve"> from </w:t>
      </w:r>
      <w:r w:rsidR="00B51D5F">
        <w:rPr>
          <w:rFonts w:eastAsia="Times New Roman" w:cs="Times New Roman"/>
          <w:sz w:val="20"/>
          <w:szCs w:val="20"/>
        </w:rPr>
        <w:t>the</w:t>
      </w:r>
      <w:r w:rsidR="00D47856">
        <w:rPr>
          <w:rFonts w:eastAsia="Times New Roman" w:cs="Times New Roman"/>
          <w:sz w:val="20"/>
          <w:szCs w:val="20"/>
        </w:rPr>
        <w:t>WEQ-001 Open Access Same-Time Information Systems</w:t>
      </w:r>
      <w:r w:rsidR="00696B35">
        <w:rPr>
          <w:rFonts w:eastAsia="Times New Roman" w:cs="Times New Roman"/>
          <w:sz w:val="20"/>
          <w:szCs w:val="20"/>
        </w:rPr>
        <w:t xml:space="preserve"> </w:t>
      </w:r>
      <w:r w:rsidR="00FE1234">
        <w:rPr>
          <w:rFonts w:eastAsia="Times New Roman" w:cs="Times New Roman"/>
          <w:sz w:val="20"/>
          <w:szCs w:val="20"/>
        </w:rPr>
        <w:t xml:space="preserve">(OASIS) </w:t>
      </w:r>
      <w:r w:rsidR="00EA3D86">
        <w:rPr>
          <w:rFonts w:eastAsia="Times New Roman" w:cs="Times New Roman"/>
          <w:sz w:val="20"/>
          <w:szCs w:val="20"/>
        </w:rPr>
        <w:t xml:space="preserve">Business Practice Standards </w:t>
      </w:r>
      <w:r w:rsidR="001733C1">
        <w:rPr>
          <w:rFonts w:eastAsia="Times New Roman" w:cs="Times New Roman"/>
          <w:sz w:val="20"/>
          <w:szCs w:val="20"/>
        </w:rPr>
        <w:t xml:space="preserve">and moved </w:t>
      </w:r>
      <w:r w:rsidR="00696B35">
        <w:rPr>
          <w:rFonts w:eastAsia="Times New Roman" w:cs="Times New Roman"/>
          <w:sz w:val="20"/>
          <w:szCs w:val="20"/>
        </w:rPr>
        <w:t xml:space="preserve">to </w:t>
      </w:r>
      <w:r w:rsidR="00B51D5F">
        <w:rPr>
          <w:rFonts w:eastAsia="Times New Roman" w:cs="Times New Roman"/>
          <w:sz w:val="20"/>
          <w:szCs w:val="20"/>
        </w:rPr>
        <w:t xml:space="preserve">the </w:t>
      </w:r>
      <w:r w:rsidR="00696B35">
        <w:rPr>
          <w:rFonts w:eastAsia="Times New Roman" w:cs="Times New Roman"/>
          <w:sz w:val="20"/>
          <w:szCs w:val="20"/>
        </w:rPr>
        <w:t xml:space="preserve">WEQ-023 Modeling </w:t>
      </w:r>
      <w:r w:rsidR="00EA3D86">
        <w:rPr>
          <w:rFonts w:eastAsia="Times New Roman" w:cs="Times New Roman"/>
          <w:sz w:val="20"/>
          <w:szCs w:val="20"/>
        </w:rPr>
        <w:t xml:space="preserve">Business Practice Standards </w:t>
      </w:r>
      <w:r w:rsidR="00696B35">
        <w:rPr>
          <w:rFonts w:eastAsia="Times New Roman" w:cs="Times New Roman"/>
          <w:sz w:val="20"/>
          <w:szCs w:val="20"/>
        </w:rPr>
        <w:t>as part o</w:t>
      </w:r>
      <w:r w:rsidR="00BE423A">
        <w:rPr>
          <w:rFonts w:eastAsia="Times New Roman" w:cs="Times New Roman"/>
          <w:sz w:val="20"/>
          <w:szCs w:val="20"/>
        </w:rPr>
        <w:t>f NAESB WEQ Version 003.</w:t>
      </w:r>
      <w:r w:rsidR="00D14773">
        <w:rPr>
          <w:rFonts w:eastAsia="Times New Roman" w:cs="Times New Roman"/>
          <w:sz w:val="20"/>
          <w:szCs w:val="20"/>
        </w:rPr>
        <w:t>1</w:t>
      </w:r>
      <w:r w:rsidR="00BE423A">
        <w:rPr>
          <w:rFonts w:eastAsia="Times New Roman" w:cs="Times New Roman"/>
          <w:sz w:val="20"/>
          <w:szCs w:val="20"/>
        </w:rPr>
        <w:t xml:space="preserve">.  </w:t>
      </w:r>
      <w:r w:rsidR="00D14773">
        <w:rPr>
          <w:rFonts w:eastAsia="Times New Roman" w:cs="Times New Roman"/>
          <w:sz w:val="20"/>
          <w:szCs w:val="20"/>
        </w:rPr>
        <w:t xml:space="preserve">The Commission approved moving these thirteen standards and appendix to </w:t>
      </w:r>
      <w:r w:rsidR="00B51D5F">
        <w:rPr>
          <w:rFonts w:eastAsia="Times New Roman" w:cs="Times New Roman"/>
          <w:sz w:val="20"/>
          <w:szCs w:val="20"/>
        </w:rPr>
        <w:t xml:space="preserve">the </w:t>
      </w:r>
      <w:r w:rsidR="00D14773">
        <w:rPr>
          <w:rFonts w:eastAsia="Times New Roman" w:cs="Times New Roman"/>
          <w:sz w:val="20"/>
          <w:szCs w:val="20"/>
        </w:rPr>
        <w:t xml:space="preserve">WEQ-023 Modeling Business Practice Standards and reserving the </w:t>
      </w:r>
      <w:r w:rsidR="00FE1234">
        <w:rPr>
          <w:rFonts w:eastAsia="Times New Roman" w:cs="Times New Roman"/>
          <w:sz w:val="20"/>
          <w:szCs w:val="20"/>
        </w:rPr>
        <w:t xml:space="preserve">thirteen standards and appendix in </w:t>
      </w:r>
      <w:r w:rsidR="00B51D5F">
        <w:rPr>
          <w:rFonts w:eastAsia="Times New Roman" w:cs="Times New Roman"/>
          <w:sz w:val="20"/>
          <w:szCs w:val="20"/>
        </w:rPr>
        <w:t xml:space="preserve">the </w:t>
      </w:r>
      <w:r w:rsidR="00FE1234">
        <w:rPr>
          <w:rFonts w:eastAsia="Times New Roman" w:cs="Times New Roman"/>
          <w:sz w:val="20"/>
          <w:szCs w:val="20"/>
        </w:rPr>
        <w:t xml:space="preserve">WEQ-001 OASIS Business Practice Standards.  </w:t>
      </w:r>
      <w:r w:rsidR="00BE423A">
        <w:rPr>
          <w:rFonts w:eastAsia="Times New Roman" w:cs="Times New Roman"/>
          <w:sz w:val="20"/>
          <w:szCs w:val="20"/>
        </w:rPr>
        <w:t xml:space="preserve">In the Order, the Commission </w:t>
      </w:r>
      <w:r w:rsidR="00FE1234">
        <w:rPr>
          <w:rFonts w:eastAsia="Times New Roman" w:cs="Times New Roman"/>
          <w:sz w:val="20"/>
          <w:szCs w:val="20"/>
        </w:rPr>
        <w:t>did not incorporate by reference the remaining</w:t>
      </w:r>
      <w:r w:rsidR="0057087E">
        <w:rPr>
          <w:rFonts w:eastAsia="Times New Roman" w:cs="Times New Roman"/>
          <w:sz w:val="20"/>
          <w:szCs w:val="20"/>
        </w:rPr>
        <w:t xml:space="preserve"> WEQ-023 Modeling </w:t>
      </w:r>
      <w:r w:rsidR="00EA3D86">
        <w:rPr>
          <w:rFonts w:eastAsia="Times New Roman" w:cs="Times New Roman"/>
          <w:sz w:val="20"/>
          <w:szCs w:val="20"/>
        </w:rPr>
        <w:t xml:space="preserve">Business Practice Standards </w:t>
      </w:r>
      <w:r w:rsidR="00716F14">
        <w:rPr>
          <w:rFonts w:eastAsia="Times New Roman" w:cs="Times New Roman"/>
          <w:sz w:val="20"/>
          <w:szCs w:val="20"/>
        </w:rPr>
        <w:t xml:space="preserve">and </w:t>
      </w:r>
      <w:r w:rsidR="00BE423A">
        <w:rPr>
          <w:rFonts w:eastAsia="Times New Roman" w:cs="Times New Roman"/>
          <w:sz w:val="20"/>
          <w:szCs w:val="20"/>
        </w:rPr>
        <w:t>confirm</w:t>
      </w:r>
      <w:r w:rsidR="00EA3D86">
        <w:rPr>
          <w:rFonts w:eastAsia="Times New Roman" w:cs="Times New Roman"/>
          <w:sz w:val="20"/>
          <w:szCs w:val="20"/>
        </w:rPr>
        <w:t>ed</w:t>
      </w:r>
      <w:r w:rsidR="00BE423A">
        <w:rPr>
          <w:rFonts w:eastAsia="Times New Roman" w:cs="Times New Roman"/>
          <w:sz w:val="20"/>
          <w:szCs w:val="20"/>
        </w:rPr>
        <w:t xml:space="preserve"> its intention to </w:t>
      </w:r>
      <w:r w:rsidR="005D5929">
        <w:rPr>
          <w:rFonts w:eastAsia="Times New Roman" w:cs="Times New Roman"/>
          <w:sz w:val="20"/>
          <w:szCs w:val="20"/>
        </w:rPr>
        <w:t xml:space="preserve">consider </w:t>
      </w:r>
      <w:r w:rsidR="0057087E">
        <w:rPr>
          <w:rFonts w:eastAsia="Times New Roman" w:cs="Times New Roman"/>
          <w:sz w:val="20"/>
          <w:szCs w:val="20"/>
        </w:rPr>
        <w:t>these standards</w:t>
      </w:r>
      <w:r w:rsidR="00BE423A">
        <w:rPr>
          <w:rFonts w:eastAsia="Times New Roman" w:cs="Times New Roman"/>
          <w:sz w:val="20"/>
          <w:szCs w:val="20"/>
        </w:rPr>
        <w:t xml:space="preserve"> as part of </w:t>
      </w:r>
      <w:r w:rsidR="00FE1234">
        <w:rPr>
          <w:rFonts w:eastAsia="Times New Roman" w:cs="Times New Roman"/>
          <w:sz w:val="20"/>
          <w:szCs w:val="20"/>
        </w:rPr>
        <w:t>the</w:t>
      </w:r>
      <w:r w:rsidR="00BE423A">
        <w:rPr>
          <w:rFonts w:eastAsia="Times New Roman" w:cs="Times New Roman"/>
          <w:sz w:val="20"/>
          <w:szCs w:val="20"/>
        </w:rPr>
        <w:t xml:space="preserve"> overall inquiry </w:t>
      </w:r>
      <w:r w:rsidR="00721999">
        <w:rPr>
          <w:rFonts w:eastAsia="Times New Roman" w:cs="Times New Roman"/>
          <w:sz w:val="20"/>
          <w:szCs w:val="20"/>
        </w:rPr>
        <w:t>into ATC calculations in Docket No. AD15-5-000.</w:t>
      </w:r>
    </w:p>
    <w:p w14:paraId="2968944A" w14:textId="2B382FB5" w:rsidR="000A3151" w:rsidRDefault="00BA576D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In addition to these standards, the Commission</w:t>
      </w:r>
      <w:r w:rsidR="002E6BFD">
        <w:rPr>
          <w:rFonts w:eastAsia="Times New Roman" w:cs="Times New Roman"/>
          <w:sz w:val="20"/>
          <w:szCs w:val="20"/>
        </w:rPr>
        <w:t xml:space="preserve"> decline</w:t>
      </w:r>
      <w:r w:rsidR="0058614F">
        <w:rPr>
          <w:rFonts w:eastAsia="Times New Roman" w:cs="Times New Roman"/>
          <w:sz w:val="20"/>
          <w:szCs w:val="20"/>
        </w:rPr>
        <w:t>d</w:t>
      </w:r>
      <w:r w:rsidR="002E6BFD">
        <w:rPr>
          <w:rFonts w:eastAsia="Times New Roman" w:cs="Times New Roman"/>
          <w:sz w:val="20"/>
          <w:szCs w:val="20"/>
        </w:rPr>
        <w:t xml:space="preserve"> to </w:t>
      </w:r>
      <w:r w:rsidR="00721999">
        <w:rPr>
          <w:rFonts w:eastAsia="Times New Roman" w:cs="Times New Roman"/>
          <w:sz w:val="20"/>
          <w:szCs w:val="20"/>
        </w:rPr>
        <w:t xml:space="preserve">adopt WEQ-009 Standards of Conduct for Electric Transmission Providers, </w:t>
      </w:r>
      <w:r w:rsidR="004C7478">
        <w:rPr>
          <w:rFonts w:eastAsia="Times New Roman" w:cs="Times New Roman"/>
          <w:sz w:val="20"/>
          <w:szCs w:val="20"/>
        </w:rPr>
        <w:t>WEQ-010 Contracts Related Business Practice Standards</w:t>
      </w:r>
      <w:r w:rsidR="00CF7DC7">
        <w:rPr>
          <w:rFonts w:eastAsia="Times New Roman" w:cs="Times New Roman"/>
          <w:sz w:val="20"/>
          <w:szCs w:val="20"/>
        </w:rPr>
        <w:t>,</w:t>
      </w:r>
      <w:r w:rsidR="004C7478">
        <w:rPr>
          <w:rFonts w:eastAsia="Times New Roman" w:cs="Times New Roman"/>
          <w:sz w:val="20"/>
          <w:szCs w:val="20"/>
        </w:rPr>
        <w:t xml:space="preserve"> </w:t>
      </w:r>
      <w:r w:rsidR="00F02CD4">
        <w:rPr>
          <w:rFonts w:eastAsia="Times New Roman" w:cs="Times New Roman"/>
          <w:sz w:val="20"/>
          <w:szCs w:val="20"/>
        </w:rPr>
        <w:t xml:space="preserve">and </w:t>
      </w:r>
      <w:proofErr w:type="spellStart"/>
      <w:r w:rsidR="004C7478">
        <w:rPr>
          <w:rFonts w:eastAsia="Times New Roman" w:cs="Times New Roman"/>
          <w:sz w:val="20"/>
          <w:szCs w:val="20"/>
        </w:rPr>
        <w:t>WEQ</w:t>
      </w:r>
      <w:proofErr w:type="spellEnd"/>
      <w:r w:rsidR="004C7478">
        <w:rPr>
          <w:rFonts w:eastAsia="Times New Roman" w:cs="Times New Roman"/>
          <w:sz w:val="20"/>
          <w:szCs w:val="20"/>
        </w:rPr>
        <w:t xml:space="preserve">-014 </w:t>
      </w:r>
      <w:proofErr w:type="spellStart"/>
      <w:r w:rsidR="004C7478">
        <w:rPr>
          <w:rFonts w:eastAsia="Times New Roman" w:cs="Times New Roman"/>
          <w:sz w:val="20"/>
          <w:szCs w:val="20"/>
        </w:rPr>
        <w:t>WEQ</w:t>
      </w:r>
      <w:proofErr w:type="spellEnd"/>
      <w:r w:rsidR="004C7478">
        <w:rPr>
          <w:rFonts w:eastAsia="Times New Roman" w:cs="Times New Roman"/>
          <w:sz w:val="20"/>
          <w:szCs w:val="20"/>
        </w:rPr>
        <w:t>/</w:t>
      </w:r>
      <w:r w:rsidR="00F43777">
        <w:rPr>
          <w:rFonts w:eastAsia="Times New Roman" w:cs="Times New Roman"/>
          <w:sz w:val="20"/>
          <w:szCs w:val="20"/>
        </w:rPr>
        <w:t>W</w:t>
      </w:r>
      <w:r w:rsidR="004C7478">
        <w:rPr>
          <w:rFonts w:eastAsia="Times New Roman" w:cs="Times New Roman"/>
          <w:sz w:val="20"/>
          <w:szCs w:val="20"/>
        </w:rPr>
        <w:t xml:space="preserve">GQ </w:t>
      </w:r>
      <w:proofErr w:type="spellStart"/>
      <w:r w:rsidR="004C7478">
        <w:rPr>
          <w:rFonts w:eastAsia="Times New Roman" w:cs="Times New Roman"/>
          <w:sz w:val="20"/>
          <w:szCs w:val="20"/>
        </w:rPr>
        <w:t>eTariff</w:t>
      </w:r>
      <w:proofErr w:type="spellEnd"/>
      <w:r w:rsidR="004C7478">
        <w:rPr>
          <w:rFonts w:eastAsia="Times New Roman" w:cs="Times New Roman"/>
          <w:sz w:val="20"/>
          <w:szCs w:val="20"/>
        </w:rPr>
        <w:t xml:space="preserve"> Related Business Practice Standards</w:t>
      </w:r>
      <w:r w:rsidR="007F09BA">
        <w:rPr>
          <w:rFonts w:eastAsia="Times New Roman" w:cs="Times New Roman"/>
          <w:sz w:val="20"/>
          <w:szCs w:val="20"/>
        </w:rPr>
        <w:t>.</w:t>
      </w:r>
      <w:r w:rsidR="00100C22">
        <w:rPr>
          <w:rFonts w:eastAsia="Times New Roman" w:cs="Times New Roman"/>
          <w:sz w:val="20"/>
          <w:szCs w:val="20"/>
        </w:rPr>
        <w:t xml:space="preserve">  </w:t>
      </w:r>
      <w:r w:rsidR="0070225C">
        <w:rPr>
          <w:rFonts w:eastAsia="Times New Roman" w:cs="Times New Roman"/>
          <w:sz w:val="20"/>
          <w:szCs w:val="20"/>
        </w:rPr>
        <w:t xml:space="preserve">This is consistent with past actions by the Commission as </w:t>
      </w:r>
      <w:r w:rsidR="002E6BFD">
        <w:rPr>
          <w:rFonts w:eastAsia="Times New Roman" w:cs="Times New Roman"/>
          <w:sz w:val="20"/>
          <w:szCs w:val="20"/>
        </w:rPr>
        <w:t xml:space="preserve">NAESB </w:t>
      </w:r>
      <w:r w:rsidR="0003148E">
        <w:rPr>
          <w:rFonts w:eastAsia="Times New Roman" w:cs="Times New Roman"/>
          <w:sz w:val="20"/>
          <w:szCs w:val="20"/>
        </w:rPr>
        <w:t xml:space="preserve">previously </w:t>
      </w:r>
      <w:r w:rsidR="002E6BFD">
        <w:rPr>
          <w:rFonts w:eastAsia="Times New Roman" w:cs="Times New Roman"/>
          <w:sz w:val="20"/>
          <w:szCs w:val="20"/>
        </w:rPr>
        <w:t>reserved and redacted WEQ-009</w:t>
      </w:r>
      <w:r w:rsidR="00100C22">
        <w:rPr>
          <w:rFonts w:eastAsia="Times New Roman" w:cs="Times New Roman"/>
          <w:sz w:val="20"/>
          <w:szCs w:val="20"/>
        </w:rPr>
        <w:t xml:space="preserve">, </w:t>
      </w:r>
      <w:r w:rsidR="002E6BFD">
        <w:rPr>
          <w:rFonts w:eastAsia="Times New Roman" w:cs="Times New Roman"/>
          <w:sz w:val="20"/>
          <w:szCs w:val="20"/>
        </w:rPr>
        <w:t>WEQ-010 contains model contracts optional for industry use</w:t>
      </w:r>
      <w:r w:rsidR="0070225C">
        <w:rPr>
          <w:rFonts w:eastAsia="Times New Roman" w:cs="Times New Roman"/>
          <w:sz w:val="20"/>
          <w:szCs w:val="20"/>
        </w:rPr>
        <w:t>, and</w:t>
      </w:r>
      <w:r w:rsidR="00100C22">
        <w:rPr>
          <w:rFonts w:eastAsia="Times New Roman" w:cs="Times New Roman"/>
          <w:sz w:val="20"/>
          <w:szCs w:val="20"/>
        </w:rPr>
        <w:t xml:space="preserve"> WEQ-014 </w:t>
      </w:r>
      <w:r w:rsidR="0003148E">
        <w:rPr>
          <w:rFonts w:eastAsia="Times New Roman" w:cs="Times New Roman"/>
          <w:sz w:val="20"/>
          <w:szCs w:val="20"/>
        </w:rPr>
        <w:t>serves as the</w:t>
      </w:r>
      <w:r w:rsidR="00100C22">
        <w:rPr>
          <w:rFonts w:eastAsia="Times New Roman" w:cs="Times New Roman"/>
          <w:sz w:val="20"/>
          <w:szCs w:val="20"/>
        </w:rPr>
        <w:t xml:space="preserve"> basis for the Commission’s own </w:t>
      </w:r>
      <w:r w:rsidR="0003148E">
        <w:rPr>
          <w:rFonts w:eastAsia="Times New Roman" w:cs="Times New Roman"/>
          <w:sz w:val="20"/>
          <w:szCs w:val="20"/>
        </w:rPr>
        <w:t xml:space="preserve">standards </w:t>
      </w:r>
      <w:r w:rsidR="00B2531D">
        <w:rPr>
          <w:rFonts w:eastAsia="Times New Roman" w:cs="Times New Roman"/>
          <w:sz w:val="20"/>
          <w:szCs w:val="20"/>
        </w:rPr>
        <w:t>and protocols electronic tariff</w:t>
      </w:r>
      <w:r w:rsidR="0003148E">
        <w:rPr>
          <w:rFonts w:eastAsia="Times New Roman" w:cs="Times New Roman"/>
          <w:sz w:val="20"/>
          <w:szCs w:val="20"/>
        </w:rPr>
        <w:t xml:space="preserve"> filing</w:t>
      </w:r>
      <w:r w:rsidR="00B2531D">
        <w:rPr>
          <w:rFonts w:eastAsia="Times New Roman" w:cs="Times New Roman"/>
          <w:sz w:val="20"/>
          <w:szCs w:val="20"/>
        </w:rPr>
        <w:t xml:space="preserve">s.  </w:t>
      </w:r>
      <w:r w:rsidR="0070225C">
        <w:rPr>
          <w:rFonts w:eastAsia="Times New Roman" w:cs="Times New Roman"/>
          <w:sz w:val="20"/>
          <w:szCs w:val="20"/>
        </w:rPr>
        <w:t>Finally, s</w:t>
      </w:r>
      <w:r w:rsidR="00F02CD4">
        <w:rPr>
          <w:rFonts w:eastAsia="Times New Roman" w:cs="Times New Roman"/>
          <w:sz w:val="20"/>
          <w:szCs w:val="20"/>
        </w:rPr>
        <w:t xml:space="preserve">imilar </w:t>
      </w:r>
      <w:r w:rsidR="0070225C">
        <w:rPr>
          <w:rFonts w:eastAsia="Times New Roman" w:cs="Times New Roman"/>
          <w:sz w:val="20"/>
          <w:szCs w:val="20"/>
        </w:rPr>
        <w:t xml:space="preserve">to FERC Order 676-H, the Commission declined to adopt </w:t>
      </w:r>
      <w:r w:rsidR="00F02CD4">
        <w:rPr>
          <w:rFonts w:eastAsia="Times New Roman" w:cs="Times New Roman"/>
          <w:sz w:val="20"/>
          <w:szCs w:val="20"/>
        </w:rPr>
        <w:t>NAESB</w:t>
      </w:r>
      <w:r w:rsidR="006B10BF">
        <w:rPr>
          <w:rFonts w:eastAsia="Times New Roman" w:cs="Times New Roman"/>
          <w:sz w:val="20"/>
          <w:szCs w:val="20"/>
        </w:rPr>
        <w:t xml:space="preserve">’s Smart Grid Standards </w:t>
      </w:r>
      <w:r w:rsidR="00F02CD4">
        <w:rPr>
          <w:rFonts w:eastAsia="Times New Roman" w:cs="Times New Roman"/>
          <w:sz w:val="20"/>
          <w:szCs w:val="20"/>
        </w:rPr>
        <w:t>(WEQ-016, WEQ-017, WEQ-018, WEQ-019, and WEQ-020)</w:t>
      </w:r>
      <w:r w:rsidR="001865AD">
        <w:rPr>
          <w:rFonts w:eastAsia="Times New Roman" w:cs="Times New Roman"/>
          <w:sz w:val="20"/>
          <w:szCs w:val="20"/>
        </w:rPr>
        <w:t xml:space="preserve"> </w:t>
      </w:r>
      <w:r w:rsidR="00D55AE5">
        <w:rPr>
          <w:rFonts w:eastAsia="Times New Roman" w:cs="Times New Roman"/>
          <w:sz w:val="20"/>
          <w:szCs w:val="20"/>
        </w:rPr>
        <w:t>as mandatory and enforceable but instead list</w:t>
      </w:r>
      <w:r w:rsidR="00B64D7C">
        <w:rPr>
          <w:rFonts w:eastAsia="Times New Roman" w:cs="Times New Roman"/>
          <w:sz w:val="20"/>
          <w:szCs w:val="20"/>
        </w:rPr>
        <w:t>ed</w:t>
      </w:r>
      <w:r w:rsidR="00D55AE5">
        <w:rPr>
          <w:rFonts w:eastAsia="Times New Roman" w:cs="Times New Roman"/>
          <w:sz w:val="20"/>
          <w:szCs w:val="20"/>
        </w:rPr>
        <w:t xml:space="preserve"> the standards in regulations as part of non-mandatory guidance.</w:t>
      </w:r>
    </w:p>
    <w:p w14:paraId="20BA361A" w14:textId="258B08B3" w:rsidR="00716AF5" w:rsidRDefault="009D08B5" w:rsidP="004A0728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The Order requires public utilities </w:t>
      </w:r>
      <w:r w:rsidR="00555F43">
        <w:rPr>
          <w:rFonts w:eastAsia="Times New Roman" w:cs="Times New Roman"/>
          <w:sz w:val="20"/>
          <w:szCs w:val="20"/>
        </w:rPr>
        <w:t xml:space="preserve">and those entities with </w:t>
      </w:r>
      <w:r w:rsidR="00FB687A">
        <w:rPr>
          <w:rFonts w:eastAsia="Times New Roman" w:cs="Times New Roman"/>
          <w:sz w:val="20"/>
          <w:szCs w:val="20"/>
        </w:rPr>
        <w:t xml:space="preserve">reciprocity tariffs </w:t>
      </w:r>
      <w:r>
        <w:rPr>
          <w:rFonts w:eastAsia="Times New Roman" w:cs="Times New Roman"/>
          <w:sz w:val="20"/>
          <w:szCs w:val="20"/>
        </w:rPr>
        <w:t xml:space="preserve">to make </w:t>
      </w:r>
      <w:r w:rsidR="00457E28">
        <w:rPr>
          <w:rFonts w:eastAsia="Times New Roman" w:cs="Times New Roman"/>
          <w:sz w:val="20"/>
          <w:szCs w:val="20"/>
        </w:rPr>
        <w:t xml:space="preserve">a compliance filing </w:t>
      </w:r>
      <w:r w:rsidR="00555F43">
        <w:rPr>
          <w:rFonts w:eastAsia="Times New Roman" w:cs="Times New Roman"/>
          <w:sz w:val="20"/>
          <w:szCs w:val="20"/>
        </w:rPr>
        <w:t xml:space="preserve">via </w:t>
      </w:r>
      <w:proofErr w:type="spellStart"/>
      <w:r w:rsidR="00555F43">
        <w:rPr>
          <w:rFonts w:eastAsia="Times New Roman" w:cs="Times New Roman"/>
          <w:sz w:val="20"/>
          <w:szCs w:val="20"/>
        </w:rPr>
        <w:t>eTariff</w:t>
      </w:r>
      <w:proofErr w:type="spellEnd"/>
      <w:r w:rsidR="00555F43">
        <w:rPr>
          <w:rFonts w:eastAsia="Times New Roman" w:cs="Times New Roman"/>
          <w:sz w:val="20"/>
          <w:szCs w:val="20"/>
        </w:rPr>
        <w:t xml:space="preserve"> by May 26, 2020.  </w:t>
      </w:r>
      <w:r w:rsidR="00B64D7C">
        <w:rPr>
          <w:rFonts w:eastAsia="Times New Roman" w:cs="Times New Roman"/>
          <w:sz w:val="20"/>
          <w:szCs w:val="20"/>
        </w:rPr>
        <w:t>The</w:t>
      </w:r>
      <w:r w:rsidR="00FB687A">
        <w:rPr>
          <w:rFonts w:eastAsia="Times New Roman" w:cs="Times New Roman"/>
          <w:sz w:val="20"/>
          <w:szCs w:val="20"/>
        </w:rPr>
        <w:t xml:space="preserve"> Commission </w:t>
      </w:r>
      <w:r w:rsidR="00457E28">
        <w:rPr>
          <w:rFonts w:eastAsia="Times New Roman" w:cs="Times New Roman"/>
          <w:sz w:val="20"/>
          <w:szCs w:val="20"/>
        </w:rPr>
        <w:t>will set an effective date for the proposed tariff changes in order</w:t>
      </w:r>
      <w:r w:rsidR="009B465C">
        <w:rPr>
          <w:rFonts w:eastAsia="Times New Roman" w:cs="Times New Roman"/>
          <w:sz w:val="20"/>
          <w:szCs w:val="20"/>
        </w:rPr>
        <w:t>(s)</w:t>
      </w:r>
      <w:r w:rsidR="00457E28">
        <w:rPr>
          <w:rFonts w:eastAsia="Times New Roman" w:cs="Times New Roman"/>
          <w:sz w:val="20"/>
          <w:szCs w:val="20"/>
        </w:rPr>
        <w:t xml:space="preserve"> on the compliance filings</w:t>
      </w:r>
      <w:r w:rsidR="009B465C">
        <w:rPr>
          <w:rFonts w:eastAsia="Times New Roman" w:cs="Times New Roman"/>
          <w:sz w:val="20"/>
          <w:szCs w:val="20"/>
        </w:rPr>
        <w:t>, but no earlier than July 27, 2020.</w:t>
      </w:r>
      <w:r w:rsidR="006E6DFE">
        <w:rPr>
          <w:rFonts w:eastAsia="Times New Roman" w:cs="Times New Roman"/>
          <w:sz w:val="20"/>
          <w:szCs w:val="20"/>
        </w:rPr>
        <w:t xml:space="preserve">  Public utilities </w:t>
      </w:r>
      <w:r w:rsidR="005C1E1D">
        <w:rPr>
          <w:rFonts w:eastAsia="Times New Roman" w:cs="Times New Roman"/>
          <w:sz w:val="20"/>
          <w:szCs w:val="20"/>
        </w:rPr>
        <w:t>seeking a waiver must file the request simultaneously with their compliance filing or in a separate FPA section 205 filing.</w:t>
      </w:r>
    </w:p>
    <w:p w14:paraId="004D5736" w14:textId="6681E368" w:rsidR="00B64D7C" w:rsidRDefault="00B64D7C" w:rsidP="004A0728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NAESB has already </w:t>
      </w:r>
      <w:r w:rsidR="00B51D5F">
        <w:rPr>
          <w:rFonts w:eastAsia="Times New Roman" w:cs="Times New Roman"/>
          <w:sz w:val="20"/>
          <w:szCs w:val="20"/>
        </w:rPr>
        <w:t xml:space="preserve">begun to </w:t>
      </w:r>
      <w:r w:rsidR="00A25B22">
        <w:rPr>
          <w:rFonts w:eastAsia="Times New Roman" w:cs="Times New Roman"/>
          <w:sz w:val="20"/>
          <w:szCs w:val="20"/>
        </w:rPr>
        <w:t>take</w:t>
      </w:r>
      <w:r>
        <w:rPr>
          <w:rFonts w:eastAsia="Times New Roman" w:cs="Times New Roman"/>
          <w:sz w:val="20"/>
          <w:szCs w:val="20"/>
        </w:rPr>
        <w:t xml:space="preserve"> action to ensure that the WEQ Executive Committee and its subcommittees are responsive to the Commission</w:t>
      </w:r>
      <w:r w:rsidR="00DB142D">
        <w:rPr>
          <w:rFonts w:eastAsia="Times New Roman" w:cs="Times New Roman"/>
          <w:sz w:val="20"/>
          <w:szCs w:val="20"/>
        </w:rPr>
        <w:t>’s direction in FERC Order 676-I regarding the NAESB WEQ Business Practice Standards.</w:t>
      </w:r>
    </w:p>
    <w:p w14:paraId="34AFA908" w14:textId="5DF471FF" w:rsidR="0038164E" w:rsidRPr="004A0728" w:rsidRDefault="0038164E" w:rsidP="004A0728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Once again, many thanks to all </w:t>
      </w:r>
      <w:r w:rsidR="000D5ADC">
        <w:rPr>
          <w:rFonts w:eastAsia="Times New Roman" w:cs="Times New Roman"/>
          <w:sz w:val="20"/>
          <w:szCs w:val="20"/>
        </w:rPr>
        <w:t>of you for contributing to this major industry effort.</w:t>
      </w:r>
    </w:p>
    <w:p w14:paraId="22BA3D11" w14:textId="05C63023" w:rsidR="00FF0C80" w:rsidRPr="008854B0" w:rsidRDefault="000D5ADC" w:rsidP="000D5ADC">
      <w:pPr>
        <w:spacing w:before="240"/>
        <w:jc w:val="both"/>
        <w:rPr>
          <w:rFonts w:ascii="Times New Roman" w:hAnsi="Times New Roman"/>
        </w:rPr>
      </w:pPr>
      <w:r w:rsidRPr="00791F65">
        <w:rPr>
          <w:rFonts w:ascii="Times New Roman" w:hAnsi="Times New Roman"/>
          <w:noProof/>
        </w:rPr>
        <w:drawing>
          <wp:anchor distT="0" distB="0" distL="114300" distR="114300" simplePos="0" relativeHeight="251654656" behindDoc="1" locked="0" layoutInCell="1" allowOverlap="1" wp14:anchorId="3E7085E4" wp14:editId="36C51AE3">
            <wp:simplePos x="0" y="0"/>
            <wp:positionH relativeFrom="column">
              <wp:posOffset>26459</wp:posOffset>
            </wp:positionH>
            <wp:positionV relativeFrom="paragraph">
              <wp:posOffset>325332</wp:posOffset>
            </wp:positionV>
            <wp:extent cx="2166620" cy="584835"/>
            <wp:effectExtent l="0" t="0" r="5080" b="5715"/>
            <wp:wrapTopAndBottom/>
            <wp:docPr id="5" name="Picture 2" descr="MD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" t="10001" r="2277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C80" w:rsidRPr="00791F65">
        <w:rPr>
          <w:rFonts w:ascii="Times New Roman" w:hAnsi="Times New Roman"/>
        </w:rPr>
        <w:t>With Best Regards,</w:t>
      </w:r>
    </w:p>
    <w:p w14:paraId="5DC582CD" w14:textId="03812926" w:rsidR="00855F3F" w:rsidRDefault="00BC222D" w:rsidP="00FF0C80">
      <w:pPr>
        <w:spacing w:before="120"/>
        <w:rPr>
          <w:rFonts w:ascii="Times New Roman" w:hAnsi="Times New Roman"/>
        </w:rPr>
      </w:pPr>
      <w:r w:rsidRPr="00E26FA3">
        <w:rPr>
          <w:rFonts w:ascii="Times New Roman" w:hAnsi="Times New Roman"/>
        </w:rPr>
        <w:t>Michael Desselle</w:t>
      </w:r>
      <w:r w:rsidR="00486216" w:rsidRPr="00E26FA3">
        <w:rPr>
          <w:rFonts w:ascii="Times New Roman" w:hAnsi="Times New Roman"/>
        </w:rPr>
        <w:t xml:space="preserve">, </w:t>
      </w:r>
      <w:r w:rsidR="007A247D">
        <w:rPr>
          <w:rFonts w:ascii="Times New Roman" w:hAnsi="Times New Roman"/>
        </w:rPr>
        <w:t>NAESB Chair</w:t>
      </w:r>
      <w:r w:rsidR="00E16A10">
        <w:rPr>
          <w:rFonts w:ascii="Times New Roman" w:hAnsi="Times New Roman"/>
        </w:rPr>
        <w:t>man and Chief Executive Officer, North American Energy Standards Board</w:t>
      </w:r>
    </w:p>
    <w:p w14:paraId="7D37D334" w14:textId="77777777" w:rsidR="007A247D" w:rsidRDefault="00E26FA3" w:rsidP="007A247D">
      <w:pPr>
        <w:spacing w:before="120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</w:rPr>
        <w:t>cc:</w:t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  <w:snapToGrid w:val="0"/>
          <w:color w:val="000000"/>
        </w:rPr>
        <w:t>Ms. Rae McQuade, President &amp; COO, North American Energy Standards Board</w:t>
      </w:r>
    </w:p>
    <w:p w14:paraId="797915C6" w14:textId="77777777"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>Mr. William P. Boswell, General Counsel, North American Energy Standards Board</w:t>
      </w:r>
    </w:p>
    <w:p w14:paraId="35454B8F" w14:textId="1DE1BF61"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>Mr. Jonathan Booe, Vice President</w:t>
      </w:r>
      <w:r w:rsidR="00E16A10">
        <w:rPr>
          <w:rFonts w:ascii="Times New Roman" w:hAnsi="Times New Roman"/>
          <w:snapToGrid w:val="0"/>
          <w:color w:val="000000"/>
        </w:rPr>
        <w:t xml:space="preserve"> &amp; CA</w:t>
      </w:r>
      <w:r w:rsidR="00893D57">
        <w:rPr>
          <w:rFonts w:ascii="Times New Roman" w:hAnsi="Times New Roman"/>
          <w:snapToGrid w:val="0"/>
          <w:color w:val="000000"/>
        </w:rPr>
        <w:t>O</w:t>
      </w:r>
      <w:r>
        <w:rPr>
          <w:rFonts w:ascii="Times New Roman" w:hAnsi="Times New Roman"/>
          <w:snapToGrid w:val="0"/>
          <w:color w:val="000000"/>
        </w:rPr>
        <w:t>, North American Energy Standards Board</w:t>
      </w:r>
    </w:p>
    <w:sectPr w:rsidR="007A247D" w:rsidSect="007A247D">
      <w:headerReference w:type="default" r:id="rId9"/>
      <w:headerReference w:type="first" r:id="rId10"/>
      <w:pgSz w:w="12240" w:h="15840" w:code="1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7E438" w14:textId="77777777" w:rsidR="008220BE" w:rsidRDefault="008220BE">
      <w:r>
        <w:separator/>
      </w:r>
    </w:p>
  </w:endnote>
  <w:endnote w:type="continuationSeparator" w:id="0">
    <w:p w14:paraId="7C8D9021" w14:textId="77777777" w:rsidR="008220BE" w:rsidRDefault="0082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538C" w14:textId="77777777" w:rsidR="008220BE" w:rsidRDefault="008220BE">
      <w:r>
        <w:separator/>
      </w:r>
    </w:p>
  </w:footnote>
  <w:footnote w:type="continuationSeparator" w:id="0">
    <w:p w14:paraId="352F3B63" w14:textId="77777777" w:rsidR="008220BE" w:rsidRDefault="008220BE">
      <w:r>
        <w:continuationSeparator/>
      </w:r>
    </w:p>
  </w:footnote>
  <w:footnote w:id="1">
    <w:p w14:paraId="57F50376" w14:textId="29479CCB" w:rsidR="005A029C" w:rsidRPr="00AF5CC9" w:rsidRDefault="005A029C" w:rsidP="005A029C">
      <w:pPr>
        <w:pStyle w:val="FootnoteText"/>
        <w:rPr>
          <w:rFonts w:ascii="Times New Roman" w:hAnsi="Times New Roman"/>
          <w:sz w:val="16"/>
          <w:szCs w:val="16"/>
          <w:lang w:val="en-US"/>
        </w:rPr>
      </w:pPr>
      <w:r w:rsidRPr="0071438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1438C">
        <w:rPr>
          <w:rFonts w:ascii="Times New Roman" w:hAnsi="Times New Roman"/>
          <w:sz w:val="16"/>
          <w:szCs w:val="16"/>
        </w:rPr>
        <w:t xml:space="preserve"> FERC Order No. 676-</w:t>
      </w:r>
      <w:r w:rsidR="004A0728">
        <w:rPr>
          <w:rFonts w:ascii="Times New Roman" w:hAnsi="Times New Roman"/>
          <w:sz w:val="16"/>
          <w:szCs w:val="16"/>
          <w:lang w:val="en-US"/>
        </w:rPr>
        <w:t>I</w:t>
      </w:r>
      <w:r w:rsidRPr="0071438C">
        <w:rPr>
          <w:rFonts w:ascii="Times New Roman" w:hAnsi="Times New Roman"/>
          <w:sz w:val="16"/>
          <w:szCs w:val="16"/>
        </w:rPr>
        <w:t xml:space="preserve">, </w:t>
      </w:r>
      <w:r w:rsidRPr="0071438C">
        <w:rPr>
          <w:rFonts w:ascii="Times New Roman" w:hAnsi="Times New Roman"/>
          <w:i/>
          <w:sz w:val="16"/>
          <w:szCs w:val="16"/>
        </w:rPr>
        <w:t>Standards for Business Practices and Communication Protocols for Public Utilities</w:t>
      </w:r>
      <w:r w:rsidRPr="0071438C">
        <w:rPr>
          <w:rFonts w:ascii="Times New Roman" w:hAnsi="Times New Roman"/>
          <w:sz w:val="16"/>
          <w:szCs w:val="16"/>
        </w:rPr>
        <w:t xml:space="preserve">, was issued on </w:t>
      </w:r>
      <w:r w:rsidR="004A0728">
        <w:rPr>
          <w:rFonts w:ascii="Times New Roman" w:hAnsi="Times New Roman"/>
          <w:sz w:val="16"/>
          <w:szCs w:val="16"/>
          <w:lang w:val="en-US"/>
        </w:rPr>
        <w:t>February 4, 2020</w:t>
      </w:r>
      <w:r w:rsidRPr="0071438C">
        <w:rPr>
          <w:rFonts w:ascii="Times New Roman" w:hAnsi="Times New Roman"/>
          <w:sz w:val="16"/>
          <w:szCs w:val="16"/>
        </w:rPr>
        <w:t xml:space="preserve"> in Docket No</w:t>
      </w:r>
      <w:r w:rsidR="00AF5CC9">
        <w:rPr>
          <w:rFonts w:ascii="Times New Roman" w:hAnsi="Times New Roman"/>
          <w:sz w:val="16"/>
          <w:szCs w:val="16"/>
          <w:lang w:val="en-US"/>
        </w:rPr>
        <w:t>s</w:t>
      </w:r>
      <w:r w:rsidRPr="0071438C">
        <w:rPr>
          <w:rFonts w:ascii="Times New Roman" w:hAnsi="Times New Roman"/>
          <w:sz w:val="16"/>
          <w:szCs w:val="16"/>
        </w:rPr>
        <w:t>. RM05-5-02</w:t>
      </w:r>
      <w:r w:rsidR="00AF5CC9">
        <w:rPr>
          <w:rFonts w:ascii="Times New Roman" w:hAnsi="Times New Roman"/>
          <w:sz w:val="16"/>
          <w:szCs w:val="16"/>
          <w:lang w:val="en-US"/>
        </w:rPr>
        <w:t>5, RM05-5-026, and RM05-027.  The order</w:t>
      </w:r>
      <w:r w:rsidRPr="0071438C">
        <w:rPr>
          <w:rFonts w:ascii="Times New Roman" w:hAnsi="Times New Roman"/>
          <w:sz w:val="16"/>
          <w:szCs w:val="16"/>
        </w:rPr>
        <w:t xml:space="preserve"> can be accessed at the following link: </w:t>
      </w:r>
      <w:hyperlink r:id="rId1" w:history="1">
        <w:r w:rsidR="00AF5CC9" w:rsidRPr="00BB0620">
          <w:rPr>
            <w:rStyle w:val="Hyperlink"/>
            <w:rFonts w:ascii="Times New Roman" w:hAnsi="Times New Roman"/>
            <w:sz w:val="16"/>
            <w:szCs w:val="16"/>
          </w:rPr>
          <w:t>https://naesb.org/pdf4/ferc020420_final_rule_weq_v003.2_RM05-5_Order_No676-I.pdf</w:t>
        </w:r>
      </w:hyperlink>
      <w:r w:rsidR="00AF5CC9">
        <w:rPr>
          <w:rFonts w:ascii="Times New Roman" w:hAnsi="Times New Roman"/>
          <w:sz w:val="16"/>
          <w:szCs w:val="16"/>
          <w:lang w:val="en-US"/>
        </w:rPr>
        <w:t xml:space="preserve">. </w:t>
      </w:r>
    </w:p>
  </w:footnote>
  <w:footnote w:id="2">
    <w:p w14:paraId="2D9B2DB4" w14:textId="123F7CC2" w:rsidR="003E7087" w:rsidRPr="00BA19DA" w:rsidRDefault="003E7087" w:rsidP="00BA19DA">
      <w:pPr>
        <w:pStyle w:val="PlainText"/>
        <w:jc w:val="both"/>
        <w:rPr>
          <w:sz w:val="20"/>
          <w:szCs w:val="20"/>
        </w:rPr>
      </w:pPr>
      <w:r w:rsidRPr="003E7087">
        <w:rPr>
          <w:rStyle w:val="FootnoteReference"/>
          <w:rFonts w:eastAsia="Times New Roman" w:cs="Times New Roman"/>
          <w:sz w:val="16"/>
          <w:szCs w:val="16"/>
          <w:lang w:val="x-none" w:eastAsia="x-none"/>
        </w:rPr>
        <w:footnoteRef/>
      </w:r>
      <w:r w:rsidRPr="003E7087">
        <w:rPr>
          <w:rStyle w:val="FootnoteReference"/>
          <w:rFonts w:eastAsia="Times New Roman" w:cs="Times New Roman"/>
          <w:sz w:val="16"/>
          <w:szCs w:val="16"/>
          <w:lang w:val="x-none" w:eastAsia="x-none"/>
        </w:rPr>
        <w:t xml:space="preserve"> </w:t>
      </w:r>
      <w:r w:rsidRPr="003E7087">
        <w:rPr>
          <w:i/>
          <w:sz w:val="16"/>
          <w:szCs w:val="16"/>
        </w:rPr>
        <w:t>Standards for Business Practices and Communication Protocols for Public Utilities</w:t>
      </w:r>
      <w:r w:rsidRPr="003E7087">
        <w:rPr>
          <w:sz w:val="16"/>
          <w:szCs w:val="16"/>
        </w:rPr>
        <w:t xml:space="preserve">, Notice of Proposed Rulemaking, </w:t>
      </w:r>
      <w:r w:rsidR="00BA19DA">
        <w:rPr>
          <w:sz w:val="16"/>
          <w:szCs w:val="16"/>
        </w:rPr>
        <w:t>84 FR 24050</w:t>
      </w:r>
      <w:r w:rsidRPr="003E7087">
        <w:rPr>
          <w:sz w:val="16"/>
          <w:szCs w:val="16"/>
        </w:rPr>
        <w:t xml:space="preserve"> (</w:t>
      </w:r>
      <w:r w:rsidR="00BA19DA">
        <w:rPr>
          <w:sz w:val="16"/>
          <w:szCs w:val="16"/>
        </w:rPr>
        <w:t>May 16, 2019</w:t>
      </w:r>
      <w:r w:rsidRPr="003E7087">
        <w:rPr>
          <w:sz w:val="16"/>
          <w:szCs w:val="16"/>
        </w:rPr>
        <w:t xml:space="preserve">), FERC Stats. &amp; Regs. ¶ </w:t>
      </w:r>
      <w:r w:rsidR="00BA19DA">
        <w:rPr>
          <w:sz w:val="16"/>
          <w:szCs w:val="16"/>
        </w:rPr>
        <w:t>61,127</w:t>
      </w:r>
      <w:r w:rsidRPr="003E7087">
        <w:rPr>
          <w:sz w:val="16"/>
          <w:szCs w:val="16"/>
        </w:rPr>
        <w:t xml:space="preserve"> (201</w:t>
      </w:r>
      <w:r w:rsidR="00BA19DA">
        <w:rPr>
          <w:sz w:val="16"/>
          <w:szCs w:val="16"/>
        </w:rPr>
        <w:t>9</w:t>
      </w:r>
      <w:r w:rsidRPr="003E7087">
        <w:rPr>
          <w:sz w:val="16"/>
          <w:szCs w:val="16"/>
        </w:rPr>
        <w:t>) (WEQ Version 003</w:t>
      </w:r>
      <w:r w:rsidR="00BA19DA">
        <w:rPr>
          <w:sz w:val="16"/>
          <w:szCs w:val="16"/>
        </w:rPr>
        <w:t>.2</w:t>
      </w:r>
      <w:r w:rsidRPr="003E7087">
        <w:rPr>
          <w:sz w:val="16"/>
          <w:szCs w:val="16"/>
        </w:rPr>
        <w:t xml:space="preserve"> NOPR)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1C4D" w14:textId="77777777" w:rsidR="005008DD" w:rsidRDefault="005008DD" w:rsidP="005008D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3355568" wp14:editId="401A4F6C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3B537CA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0CE11158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3163232E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434956C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6F92090B" w14:textId="77777777" w:rsidR="005008DD" w:rsidRPr="004A30D2" w:rsidRDefault="005008DD" w:rsidP="005008D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071F085" w14:textId="77777777" w:rsidR="005008DD" w:rsidRPr="004A30D2" w:rsidRDefault="005008DD" w:rsidP="005008D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</w:t>
    </w:r>
    <w:proofErr w:type="gramStart"/>
    <w:r w:rsidRPr="004A30D2">
      <w:rPr>
        <w:rFonts w:ascii="Times New Roman" w:hAnsi="Times New Roman"/>
        <w:b/>
        <w:sz w:val="16"/>
      </w:rPr>
      <w:t xml:space="preserve">:  </w:t>
    </w:r>
    <w:r w:rsidRPr="004A30D2">
      <w:rPr>
        <w:rFonts w:ascii="Times New Roman" w:hAnsi="Times New Roman"/>
        <w:sz w:val="16"/>
      </w:rPr>
      <w:t>(</w:t>
    </w:r>
    <w:proofErr w:type="gramEnd"/>
    <w:r w:rsidRPr="004A30D2">
      <w:rPr>
        <w:rFonts w:ascii="Times New Roman" w:hAnsi="Times New Roman"/>
        <w:sz w:val="16"/>
      </w:rPr>
      <w:t>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3E24EC2B" w14:textId="77777777" w:rsidR="005008DD" w:rsidRDefault="005008DD" w:rsidP="005008DD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  <w:p w14:paraId="2984FCE6" w14:textId="3636DFDD" w:rsidR="005008DD" w:rsidRDefault="00E24D96" w:rsidP="005008DD">
    <w:pPr>
      <w:pStyle w:val="Header"/>
      <w:tabs>
        <w:tab w:val="left" w:pos="7317"/>
      </w:tabs>
      <w:spacing w:before="120"/>
      <w:jc w:val="right"/>
      <w:rPr>
        <w:rFonts w:ascii="Times New Roman" w:hAnsi="Times New Roman"/>
      </w:rPr>
    </w:pPr>
    <w:r>
      <w:rPr>
        <w:rFonts w:ascii="Times New Roman" w:hAnsi="Times New Roman"/>
      </w:rPr>
      <w:t>February 28, 2020</w:t>
    </w:r>
  </w:p>
  <w:p w14:paraId="480B33F0" w14:textId="32A797FE" w:rsidR="005008DD" w:rsidRDefault="005008DD" w:rsidP="00893D57">
    <w:pPr>
      <w:pStyle w:val="Header"/>
      <w:tabs>
        <w:tab w:val="left" w:pos="7317"/>
      </w:tabs>
      <w:spacing w:after="360"/>
      <w:jc w:val="right"/>
    </w:pPr>
    <w:r>
      <w:rPr>
        <w:rFonts w:ascii="Times New Roman" w:hAnsi="Times New Roman"/>
      </w:rPr>
      <w:t xml:space="preserve">Page </w:t>
    </w:r>
    <w:r w:rsidR="00893D57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4102" w14:textId="77777777" w:rsidR="00E8339D" w:rsidRDefault="00E8339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5B781" wp14:editId="753D9E76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26DFAB97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DC68CBB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7511C9B5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4674149F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E47F8F1" w14:textId="77777777" w:rsidR="00E8339D" w:rsidRPr="004A30D2" w:rsidRDefault="00E8339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A2625F1" w14:textId="77777777" w:rsidR="00E8339D" w:rsidRPr="004A30D2" w:rsidRDefault="00E8339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</w:t>
    </w:r>
    <w:proofErr w:type="gramStart"/>
    <w:r w:rsidRPr="004A30D2">
      <w:rPr>
        <w:rFonts w:ascii="Times New Roman" w:hAnsi="Times New Roman"/>
        <w:b/>
        <w:sz w:val="16"/>
      </w:rPr>
      <w:t xml:space="preserve">:  </w:t>
    </w:r>
    <w:r w:rsidRPr="004A30D2">
      <w:rPr>
        <w:rFonts w:ascii="Times New Roman" w:hAnsi="Times New Roman"/>
        <w:sz w:val="16"/>
      </w:rPr>
      <w:t>(</w:t>
    </w:r>
    <w:proofErr w:type="gramEnd"/>
    <w:r w:rsidRPr="004A30D2">
      <w:rPr>
        <w:rFonts w:ascii="Times New Roman" w:hAnsi="Times New Roman"/>
        <w:sz w:val="16"/>
      </w:rPr>
      <w:t>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048A7A14" w14:textId="77777777" w:rsidR="00E8339D" w:rsidRDefault="00E8339D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A26"/>
    <w:multiLevelType w:val="hybridMultilevel"/>
    <w:tmpl w:val="DD12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405"/>
    <w:multiLevelType w:val="hybridMultilevel"/>
    <w:tmpl w:val="B3902D7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94"/>
    <w:multiLevelType w:val="hybridMultilevel"/>
    <w:tmpl w:val="98B0332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3A5"/>
    <w:multiLevelType w:val="hybridMultilevel"/>
    <w:tmpl w:val="EF145CB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0DC"/>
    <w:multiLevelType w:val="hybridMultilevel"/>
    <w:tmpl w:val="29724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E06E7E"/>
    <w:multiLevelType w:val="hybridMultilevel"/>
    <w:tmpl w:val="68FAC3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2D857BF"/>
    <w:multiLevelType w:val="hybridMultilevel"/>
    <w:tmpl w:val="21F05A6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28"/>
    <w:multiLevelType w:val="hybridMultilevel"/>
    <w:tmpl w:val="C51A3340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B67"/>
    <w:multiLevelType w:val="hybridMultilevel"/>
    <w:tmpl w:val="CB68118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E73"/>
    <w:multiLevelType w:val="hybridMultilevel"/>
    <w:tmpl w:val="F7D2D7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C0E"/>
    <w:multiLevelType w:val="hybridMultilevel"/>
    <w:tmpl w:val="F31C1D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5979"/>
    <w:multiLevelType w:val="hybridMultilevel"/>
    <w:tmpl w:val="60C85D5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2037"/>
    <w:multiLevelType w:val="hybridMultilevel"/>
    <w:tmpl w:val="12BAD5B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E5A"/>
    <w:multiLevelType w:val="hybridMultilevel"/>
    <w:tmpl w:val="E4D8B7DC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327B55"/>
    <w:multiLevelType w:val="hybridMultilevel"/>
    <w:tmpl w:val="594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60B"/>
    <w:multiLevelType w:val="hybridMultilevel"/>
    <w:tmpl w:val="4D4813D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5174"/>
    <w:multiLevelType w:val="hybridMultilevel"/>
    <w:tmpl w:val="3E1E71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C20E4"/>
    <w:multiLevelType w:val="hybridMultilevel"/>
    <w:tmpl w:val="12C44D78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57BD7"/>
    <w:multiLevelType w:val="hybridMultilevel"/>
    <w:tmpl w:val="25D25AF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E5DA4"/>
    <w:multiLevelType w:val="hybridMultilevel"/>
    <w:tmpl w:val="569C077E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8"/>
  </w:num>
  <w:num w:numId="5">
    <w:abstractNumId w:val="23"/>
  </w:num>
  <w:num w:numId="6">
    <w:abstractNumId w:val="16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  <w:num w:numId="22">
    <w:abstractNumId w:val="9"/>
  </w:num>
  <w:num w:numId="23">
    <w:abstractNumId w:val="2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D"/>
    <w:rsid w:val="0003148E"/>
    <w:rsid w:val="000377CF"/>
    <w:rsid w:val="00043CF6"/>
    <w:rsid w:val="00080CDE"/>
    <w:rsid w:val="000A3151"/>
    <w:rsid w:val="000A5FDC"/>
    <w:rsid w:val="000D5ADC"/>
    <w:rsid w:val="000F4D9F"/>
    <w:rsid w:val="00100C22"/>
    <w:rsid w:val="00112E85"/>
    <w:rsid w:val="001165C3"/>
    <w:rsid w:val="001261EA"/>
    <w:rsid w:val="00156EA6"/>
    <w:rsid w:val="001733C1"/>
    <w:rsid w:val="00175B40"/>
    <w:rsid w:val="001865AD"/>
    <w:rsid w:val="00187D33"/>
    <w:rsid w:val="00197859"/>
    <w:rsid w:val="001D0B7C"/>
    <w:rsid w:val="001D2CFF"/>
    <w:rsid w:val="001F77C6"/>
    <w:rsid w:val="0020577F"/>
    <w:rsid w:val="0021379D"/>
    <w:rsid w:val="002157DB"/>
    <w:rsid w:val="00221B70"/>
    <w:rsid w:val="00227668"/>
    <w:rsid w:val="00227CAD"/>
    <w:rsid w:val="00242516"/>
    <w:rsid w:val="002573B8"/>
    <w:rsid w:val="0025746C"/>
    <w:rsid w:val="00261912"/>
    <w:rsid w:val="0027652D"/>
    <w:rsid w:val="00296285"/>
    <w:rsid w:val="002A568B"/>
    <w:rsid w:val="002B1B11"/>
    <w:rsid w:val="002E411C"/>
    <w:rsid w:val="002E6BFD"/>
    <w:rsid w:val="002F41EC"/>
    <w:rsid w:val="00332F23"/>
    <w:rsid w:val="003344B9"/>
    <w:rsid w:val="003415D1"/>
    <w:rsid w:val="00366F38"/>
    <w:rsid w:val="0038164E"/>
    <w:rsid w:val="00383B7D"/>
    <w:rsid w:val="003D0B1E"/>
    <w:rsid w:val="003E57D9"/>
    <w:rsid w:val="003E7087"/>
    <w:rsid w:val="003F25CD"/>
    <w:rsid w:val="003F3164"/>
    <w:rsid w:val="003F3AAE"/>
    <w:rsid w:val="003F55EA"/>
    <w:rsid w:val="00400CF2"/>
    <w:rsid w:val="00405285"/>
    <w:rsid w:val="00405AA6"/>
    <w:rsid w:val="004108CA"/>
    <w:rsid w:val="00452554"/>
    <w:rsid w:val="0045269E"/>
    <w:rsid w:val="00457811"/>
    <w:rsid w:val="00457E28"/>
    <w:rsid w:val="0048137E"/>
    <w:rsid w:val="00486216"/>
    <w:rsid w:val="0048764D"/>
    <w:rsid w:val="004958E2"/>
    <w:rsid w:val="00497C97"/>
    <w:rsid w:val="004A0728"/>
    <w:rsid w:val="004A30D2"/>
    <w:rsid w:val="004A6A8F"/>
    <w:rsid w:val="004B5AAC"/>
    <w:rsid w:val="004C7478"/>
    <w:rsid w:val="004D48CE"/>
    <w:rsid w:val="004D662D"/>
    <w:rsid w:val="004D75DE"/>
    <w:rsid w:val="004E1458"/>
    <w:rsid w:val="004F2C88"/>
    <w:rsid w:val="004F49B5"/>
    <w:rsid w:val="005008DD"/>
    <w:rsid w:val="005465B4"/>
    <w:rsid w:val="00547A87"/>
    <w:rsid w:val="00554019"/>
    <w:rsid w:val="00555F43"/>
    <w:rsid w:val="00567F83"/>
    <w:rsid w:val="0057087E"/>
    <w:rsid w:val="0057519E"/>
    <w:rsid w:val="0058614F"/>
    <w:rsid w:val="005A029C"/>
    <w:rsid w:val="005B6AA2"/>
    <w:rsid w:val="005C1E1D"/>
    <w:rsid w:val="005D5082"/>
    <w:rsid w:val="005D5929"/>
    <w:rsid w:val="005F3F31"/>
    <w:rsid w:val="005F74CE"/>
    <w:rsid w:val="006069CD"/>
    <w:rsid w:val="00614ADE"/>
    <w:rsid w:val="00631A9E"/>
    <w:rsid w:val="00633986"/>
    <w:rsid w:val="00654022"/>
    <w:rsid w:val="00654CB5"/>
    <w:rsid w:val="00682417"/>
    <w:rsid w:val="00684C3B"/>
    <w:rsid w:val="006920E5"/>
    <w:rsid w:val="00693973"/>
    <w:rsid w:val="00696360"/>
    <w:rsid w:val="00696B35"/>
    <w:rsid w:val="006B10BF"/>
    <w:rsid w:val="006E6DFE"/>
    <w:rsid w:val="0070225C"/>
    <w:rsid w:val="00716AF5"/>
    <w:rsid w:val="00716F14"/>
    <w:rsid w:val="00717203"/>
    <w:rsid w:val="00721999"/>
    <w:rsid w:val="00736DCB"/>
    <w:rsid w:val="00774915"/>
    <w:rsid w:val="00790CD5"/>
    <w:rsid w:val="007917EE"/>
    <w:rsid w:val="00791F65"/>
    <w:rsid w:val="00792A09"/>
    <w:rsid w:val="00796EF1"/>
    <w:rsid w:val="007979CF"/>
    <w:rsid w:val="007A247D"/>
    <w:rsid w:val="007A5003"/>
    <w:rsid w:val="007B1C4D"/>
    <w:rsid w:val="007D16EB"/>
    <w:rsid w:val="007E3041"/>
    <w:rsid w:val="007F09BA"/>
    <w:rsid w:val="008064ED"/>
    <w:rsid w:val="0081734C"/>
    <w:rsid w:val="00817EB4"/>
    <w:rsid w:val="008220BE"/>
    <w:rsid w:val="00826B86"/>
    <w:rsid w:val="00827FF4"/>
    <w:rsid w:val="00843319"/>
    <w:rsid w:val="00846931"/>
    <w:rsid w:val="00853FF1"/>
    <w:rsid w:val="00855F3F"/>
    <w:rsid w:val="00880248"/>
    <w:rsid w:val="008854B0"/>
    <w:rsid w:val="00885CAD"/>
    <w:rsid w:val="00891F28"/>
    <w:rsid w:val="00893D57"/>
    <w:rsid w:val="00897E6F"/>
    <w:rsid w:val="008B6B8F"/>
    <w:rsid w:val="008C3A89"/>
    <w:rsid w:val="008D4625"/>
    <w:rsid w:val="008E0405"/>
    <w:rsid w:val="008E0BF4"/>
    <w:rsid w:val="008F2088"/>
    <w:rsid w:val="00902241"/>
    <w:rsid w:val="0092049C"/>
    <w:rsid w:val="00926E8D"/>
    <w:rsid w:val="00930C22"/>
    <w:rsid w:val="00947345"/>
    <w:rsid w:val="00956F81"/>
    <w:rsid w:val="00975654"/>
    <w:rsid w:val="009805E8"/>
    <w:rsid w:val="00985BE1"/>
    <w:rsid w:val="009945CC"/>
    <w:rsid w:val="009B465C"/>
    <w:rsid w:val="009B6B83"/>
    <w:rsid w:val="009D08B5"/>
    <w:rsid w:val="009D26DA"/>
    <w:rsid w:val="009E3532"/>
    <w:rsid w:val="009E3707"/>
    <w:rsid w:val="00A01723"/>
    <w:rsid w:val="00A14400"/>
    <w:rsid w:val="00A20C06"/>
    <w:rsid w:val="00A25B22"/>
    <w:rsid w:val="00A44386"/>
    <w:rsid w:val="00A527B0"/>
    <w:rsid w:val="00A67250"/>
    <w:rsid w:val="00A7545F"/>
    <w:rsid w:val="00A7655C"/>
    <w:rsid w:val="00A96E07"/>
    <w:rsid w:val="00AB6568"/>
    <w:rsid w:val="00AE0668"/>
    <w:rsid w:val="00AF3FFC"/>
    <w:rsid w:val="00AF5CC9"/>
    <w:rsid w:val="00B13DCB"/>
    <w:rsid w:val="00B150B7"/>
    <w:rsid w:val="00B23536"/>
    <w:rsid w:val="00B2531D"/>
    <w:rsid w:val="00B36F13"/>
    <w:rsid w:val="00B51D5F"/>
    <w:rsid w:val="00B62AD6"/>
    <w:rsid w:val="00B64D7C"/>
    <w:rsid w:val="00B65CC8"/>
    <w:rsid w:val="00B67CC6"/>
    <w:rsid w:val="00B72BE5"/>
    <w:rsid w:val="00B7536B"/>
    <w:rsid w:val="00B81EDF"/>
    <w:rsid w:val="00BA19DA"/>
    <w:rsid w:val="00BA576D"/>
    <w:rsid w:val="00BB2147"/>
    <w:rsid w:val="00BC222D"/>
    <w:rsid w:val="00BC7245"/>
    <w:rsid w:val="00BD49EB"/>
    <w:rsid w:val="00BE10D4"/>
    <w:rsid w:val="00BE423A"/>
    <w:rsid w:val="00C339EB"/>
    <w:rsid w:val="00C36294"/>
    <w:rsid w:val="00C54B01"/>
    <w:rsid w:val="00C97F76"/>
    <w:rsid w:val="00CC41DC"/>
    <w:rsid w:val="00CD1DC9"/>
    <w:rsid w:val="00CE3AB9"/>
    <w:rsid w:val="00CF7DC7"/>
    <w:rsid w:val="00D05971"/>
    <w:rsid w:val="00D1011F"/>
    <w:rsid w:val="00D118AA"/>
    <w:rsid w:val="00D1296D"/>
    <w:rsid w:val="00D132E8"/>
    <w:rsid w:val="00D14773"/>
    <w:rsid w:val="00D22B48"/>
    <w:rsid w:val="00D27F51"/>
    <w:rsid w:val="00D31B5D"/>
    <w:rsid w:val="00D47856"/>
    <w:rsid w:val="00D55AE5"/>
    <w:rsid w:val="00D76AC4"/>
    <w:rsid w:val="00DB06B1"/>
    <w:rsid w:val="00DB142D"/>
    <w:rsid w:val="00DB6379"/>
    <w:rsid w:val="00DC2E94"/>
    <w:rsid w:val="00DC4C73"/>
    <w:rsid w:val="00DE508C"/>
    <w:rsid w:val="00DF0513"/>
    <w:rsid w:val="00E07B62"/>
    <w:rsid w:val="00E16A10"/>
    <w:rsid w:val="00E24D96"/>
    <w:rsid w:val="00E257C7"/>
    <w:rsid w:val="00E26FA3"/>
    <w:rsid w:val="00E61867"/>
    <w:rsid w:val="00E62141"/>
    <w:rsid w:val="00E67F82"/>
    <w:rsid w:val="00E71B57"/>
    <w:rsid w:val="00E80DA4"/>
    <w:rsid w:val="00E8231A"/>
    <w:rsid w:val="00E8339D"/>
    <w:rsid w:val="00E85888"/>
    <w:rsid w:val="00EA3D86"/>
    <w:rsid w:val="00EC2668"/>
    <w:rsid w:val="00ED65FC"/>
    <w:rsid w:val="00F00A3F"/>
    <w:rsid w:val="00F02CD4"/>
    <w:rsid w:val="00F42BB2"/>
    <w:rsid w:val="00F43777"/>
    <w:rsid w:val="00F47B4E"/>
    <w:rsid w:val="00F51A81"/>
    <w:rsid w:val="00F558B2"/>
    <w:rsid w:val="00F7093E"/>
    <w:rsid w:val="00F74F93"/>
    <w:rsid w:val="00F8633F"/>
    <w:rsid w:val="00FA0504"/>
    <w:rsid w:val="00FA42E5"/>
    <w:rsid w:val="00FB2844"/>
    <w:rsid w:val="00FB299D"/>
    <w:rsid w:val="00FB687A"/>
    <w:rsid w:val="00FC2C61"/>
    <w:rsid w:val="00FE1234"/>
    <w:rsid w:val="00FE21BE"/>
    <w:rsid w:val="00FF0C8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31771"/>
  <w15:docId w15:val="{AC547C5B-E6FD-4BE1-AFFC-84B3E24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aesb.org/pdf4/ferc020420_final_rule_weq_v003.2_RM05-5_Order_No676-I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909E-0265-4CE8-B16E-067DBAE9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</Template>
  <TotalTime>3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6327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NAESB</cp:lastModifiedBy>
  <cp:revision>2</cp:revision>
  <cp:lastPrinted>2013-08-02T20:53:00Z</cp:lastPrinted>
  <dcterms:created xsi:type="dcterms:W3CDTF">2020-02-28T21:31:00Z</dcterms:created>
  <dcterms:modified xsi:type="dcterms:W3CDTF">2020-02-28T21:31:00Z</dcterms:modified>
</cp:coreProperties>
</file>