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4D" w:rsidRPr="004A30D2" w:rsidRDefault="00792A09" w:rsidP="00716AF5">
      <w:pPr>
        <w:spacing w:before="120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September </w:t>
      </w:r>
      <w:r w:rsidR="001F77C6">
        <w:rPr>
          <w:rFonts w:ascii="Times New Roman" w:hAnsi="Times New Roman"/>
        </w:rPr>
        <w:t>30</w:t>
      </w:r>
      <w:r w:rsidR="004A6A8F">
        <w:rPr>
          <w:rFonts w:ascii="Times New Roman" w:hAnsi="Times New Roman"/>
        </w:rPr>
        <w:t xml:space="preserve">, </w:t>
      </w:r>
      <w:r w:rsidR="00716AF5" w:rsidRPr="00A20C06">
        <w:rPr>
          <w:rFonts w:ascii="Times New Roman" w:hAnsi="Times New Roman"/>
        </w:rPr>
        <w:t>201</w:t>
      </w:r>
      <w:r w:rsidR="00817EB4">
        <w:rPr>
          <w:rFonts w:ascii="Times New Roman" w:hAnsi="Times New Roman"/>
        </w:rPr>
        <w:t>4</w:t>
      </w:r>
    </w:p>
    <w:p w:rsidR="00716AF5" w:rsidRPr="00716AF5" w:rsidRDefault="005A029C" w:rsidP="00486216">
      <w:pPr>
        <w:spacing w:before="600" w:after="600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Federal Energy Regulatory Commission Action on WEQ Version 003 Standards</w:t>
      </w:r>
    </w:p>
    <w:p w:rsidR="00716AF5" w:rsidRPr="00716AF5" w:rsidRDefault="00716AF5" w:rsidP="00486216">
      <w:pPr>
        <w:spacing w:before="360" w:after="120"/>
        <w:jc w:val="both"/>
        <w:rPr>
          <w:rFonts w:ascii="Times New Roman" w:hAnsi="Times New Roman"/>
        </w:rPr>
      </w:pPr>
      <w:r w:rsidRPr="00716AF5">
        <w:rPr>
          <w:rFonts w:ascii="Times New Roman" w:hAnsi="Times New Roman"/>
        </w:rPr>
        <w:t xml:space="preserve">Dear </w:t>
      </w:r>
      <w:r w:rsidR="00405AA6">
        <w:rPr>
          <w:rFonts w:ascii="Times New Roman" w:hAnsi="Times New Roman"/>
        </w:rPr>
        <w:t xml:space="preserve">Members of the </w:t>
      </w:r>
      <w:r w:rsidR="005A029C">
        <w:rPr>
          <w:rFonts w:ascii="Times New Roman" w:hAnsi="Times New Roman"/>
        </w:rPr>
        <w:t>Wholesale Electric Quadrant</w:t>
      </w:r>
      <w:r w:rsidR="00F00A3F">
        <w:rPr>
          <w:rFonts w:ascii="Times New Roman" w:hAnsi="Times New Roman"/>
        </w:rPr>
        <w:t>,</w:t>
      </w:r>
    </w:p>
    <w:p w:rsidR="005A029C" w:rsidRDefault="005A029C" w:rsidP="005A029C">
      <w:pPr>
        <w:pStyle w:val="PlainText"/>
        <w:spacing w:before="120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As you may know, on </w:t>
      </w:r>
      <w:r w:rsidRPr="00E416C0">
        <w:rPr>
          <w:rFonts w:eastAsia="Times New Roman" w:cs="Times New Roman"/>
          <w:sz w:val="20"/>
          <w:szCs w:val="20"/>
        </w:rPr>
        <w:t>September 18, 2014</w:t>
      </w:r>
      <w:r>
        <w:rPr>
          <w:rFonts w:eastAsia="Times New Roman" w:cs="Times New Roman"/>
          <w:sz w:val="20"/>
          <w:szCs w:val="20"/>
        </w:rPr>
        <w:t>,</w:t>
      </w:r>
      <w:r w:rsidRPr="00E416C0">
        <w:rPr>
          <w:rFonts w:eastAsia="Times New Roman" w:cs="Times New Roman"/>
          <w:sz w:val="20"/>
          <w:szCs w:val="20"/>
        </w:rPr>
        <w:t xml:space="preserve"> the Federal Energy Regulatory</w:t>
      </w:r>
      <w:r>
        <w:rPr>
          <w:rFonts w:eastAsia="Times New Roman" w:cs="Times New Roman"/>
          <w:sz w:val="20"/>
          <w:szCs w:val="20"/>
        </w:rPr>
        <w:t xml:space="preserve"> Commission (</w:t>
      </w:r>
      <w:r w:rsidRPr="00E416C0">
        <w:rPr>
          <w:rFonts w:eastAsia="Times New Roman" w:cs="Times New Roman"/>
          <w:sz w:val="20"/>
          <w:szCs w:val="20"/>
        </w:rPr>
        <w:t>Commission) issued FERC Order No. 676-H</w:t>
      </w:r>
      <w:r>
        <w:rPr>
          <w:rFonts w:eastAsia="Times New Roman" w:cs="Times New Roman"/>
          <w:sz w:val="20"/>
          <w:szCs w:val="20"/>
        </w:rPr>
        <w:t xml:space="preserve">, </w:t>
      </w:r>
      <w:r w:rsidRPr="00E416C0">
        <w:rPr>
          <w:rFonts w:eastAsia="Times New Roman" w:cs="Times New Roman"/>
          <w:i/>
          <w:sz w:val="20"/>
          <w:szCs w:val="20"/>
        </w:rPr>
        <w:t>Standards for Business Practices and Communication Protocols for Public Utilities</w:t>
      </w:r>
      <w:r w:rsidRPr="00E416C0">
        <w:rPr>
          <w:rFonts w:eastAsia="Times New Roman" w:cs="Times New Roman"/>
          <w:sz w:val="20"/>
          <w:szCs w:val="20"/>
        </w:rPr>
        <w:t>, in Docket No. RM05-5-022</w:t>
      </w:r>
      <w:r>
        <w:rPr>
          <w:rFonts w:eastAsia="Times New Roman" w:cs="Times New Roman"/>
          <w:sz w:val="20"/>
          <w:szCs w:val="20"/>
        </w:rPr>
        <w:t xml:space="preserve"> (Order)</w:t>
      </w:r>
      <w:r w:rsidRPr="00E416C0">
        <w:rPr>
          <w:rFonts w:eastAsia="Times New Roman" w:cs="Times New Roman"/>
          <w:sz w:val="20"/>
          <w:szCs w:val="20"/>
        </w:rPr>
        <w:t>.</w:t>
      </w:r>
      <w:r w:rsidRPr="00E416C0">
        <w:rPr>
          <w:rStyle w:val="FootnoteReference"/>
          <w:rFonts w:eastAsia="Times New Roman" w:cs="Times New Roman"/>
          <w:sz w:val="20"/>
          <w:szCs w:val="20"/>
        </w:rPr>
        <w:footnoteReference w:id="1"/>
      </w:r>
      <w:r w:rsidRPr="00E416C0">
        <w:rPr>
          <w:rFonts w:eastAsia="Times New Roman" w:cs="Times New Roman"/>
          <w:sz w:val="20"/>
          <w:szCs w:val="20"/>
        </w:rPr>
        <w:t xml:space="preserve">  </w:t>
      </w:r>
      <w:r>
        <w:rPr>
          <w:rFonts w:eastAsia="Times New Roman" w:cs="Times New Roman"/>
          <w:sz w:val="20"/>
          <w:szCs w:val="20"/>
        </w:rPr>
        <w:t xml:space="preserve">In the Order, effective 30 days from publication in the Federal Register, the Commission revised its regulations to </w:t>
      </w:r>
      <w:r w:rsidRPr="00E416C0">
        <w:rPr>
          <w:rFonts w:eastAsia="Times New Roman" w:cs="Times New Roman"/>
          <w:bCs/>
          <w:iCs/>
          <w:sz w:val="20"/>
          <w:szCs w:val="20"/>
        </w:rPr>
        <w:t>incorporate by reference</w:t>
      </w:r>
      <w:r w:rsidRPr="00E416C0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the </w:t>
      </w:r>
      <w:r w:rsidRPr="00E416C0">
        <w:rPr>
          <w:rFonts w:eastAsia="Times New Roman" w:cs="Times New Roman"/>
          <w:sz w:val="20"/>
          <w:szCs w:val="20"/>
        </w:rPr>
        <w:t>NAESB WEQ Version 003 Business Practice Standards</w:t>
      </w:r>
      <w:r w:rsidR="00F8633F">
        <w:rPr>
          <w:rFonts w:eastAsia="Times New Roman" w:cs="Times New Roman"/>
          <w:sz w:val="20"/>
          <w:szCs w:val="20"/>
        </w:rPr>
        <w:t xml:space="preserve"> (Standards)</w:t>
      </w:r>
      <w:r>
        <w:rPr>
          <w:rFonts w:eastAsia="Times New Roman" w:cs="Times New Roman"/>
          <w:sz w:val="20"/>
          <w:szCs w:val="20"/>
        </w:rPr>
        <w:t xml:space="preserve"> </w:t>
      </w:r>
      <w:r w:rsidR="007F09BA">
        <w:rPr>
          <w:rFonts w:eastAsia="Times New Roman" w:cs="Times New Roman"/>
          <w:sz w:val="20"/>
          <w:szCs w:val="20"/>
        </w:rPr>
        <w:t>as proposed in the related July 18, 2013 Notice of Proposed Rulemaking (NOPR)</w:t>
      </w:r>
      <w:r w:rsidR="003E7087">
        <w:rPr>
          <w:rStyle w:val="FootnoteReference"/>
          <w:rFonts w:eastAsia="Times New Roman" w:cs="Times New Roman"/>
          <w:sz w:val="20"/>
          <w:szCs w:val="20"/>
        </w:rPr>
        <w:footnoteReference w:id="2"/>
      </w:r>
      <w:r w:rsidR="007F09BA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with certain exceptions. </w:t>
      </w:r>
      <w:r w:rsidR="00F8633F">
        <w:rPr>
          <w:rFonts w:eastAsia="Times New Roman" w:cs="Times New Roman"/>
          <w:sz w:val="20"/>
          <w:szCs w:val="20"/>
        </w:rPr>
        <w:t>The S</w:t>
      </w:r>
      <w:r w:rsidR="00F8633F" w:rsidRPr="00E416C0">
        <w:rPr>
          <w:rFonts w:eastAsia="Times New Roman" w:cs="Times New Roman"/>
          <w:sz w:val="20"/>
          <w:szCs w:val="20"/>
        </w:rPr>
        <w:t xml:space="preserve">tandards contained within the </w:t>
      </w:r>
      <w:r w:rsidR="00F8633F">
        <w:rPr>
          <w:rFonts w:eastAsia="Times New Roman" w:cs="Times New Roman"/>
          <w:sz w:val="20"/>
          <w:szCs w:val="20"/>
        </w:rPr>
        <w:t>Order</w:t>
      </w:r>
      <w:r w:rsidR="00F8633F" w:rsidRPr="00E416C0">
        <w:rPr>
          <w:rFonts w:eastAsia="Times New Roman" w:cs="Times New Roman"/>
          <w:sz w:val="20"/>
          <w:szCs w:val="20"/>
        </w:rPr>
        <w:t xml:space="preserve"> mark a devel</w:t>
      </w:r>
      <w:r w:rsidR="00F8633F">
        <w:rPr>
          <w:rFonts w:eastAsia="Times New Roman" w:cs="Times New Roman"/>
          <w:sz w:val="20"/>
          <w:szCs w:val="20"/>
        </w:rPr>
        <w:t>opment period from March 2009 through</w:t>
      </w:r>
      <w:r w:rsidR="00F8633F" w:rsidRPr="00E416C0">
        <w:rPr>
          <w:rFonts w:eastAsia="Times New Roman" w:cs="Times New Roman"/>
          <w:sz w:val="20"/>
          <w:szCs w:val="20"/>
        </w:rPr>
        <w:t xml:space="preserve"> </w:t>
      </w:r>
      <w:r w:rsidR="00F8633F">
        <w:rPr>
          <w:rFonts w:eastAsia="Times New Roman" w:cs="Times New Roman"/>
          <w:sz w:val="20"/>
          <w:szCs w:val="20"/>
        </w:rPr>
        <w:t xml:space="preserve">November </w:t>
      </w:r>
      <w:r w:rsidR="00F8633F" w:rsidRPr="00E416C0">
        <w:rPr>
          <w:rFonts w:eastAsia="Times New Roman" w:cs="Times New Roman"/>
          <w:sz w:val="20"/>
          <w:szCs w:val="20"/>
        </w:rPr>
        <w:t>2012</w:t>
      </w:r>
      <w:r w:rsidR="00F8633F">
        <w:rPr>
          <w:rFonts w:eastAsia="Times New Roman" w:cs="Times New Roman"/>
          <w:sz w:val="20"/>
          <w:szCs w:val="20"/>
        </w:rPr>
        <w:t xml:space="preserve"> and support</w:t>
      </w:r>
      <w:r w:rsidR="00F8633F" w:rsidRPr="00E416C0">
        <w:rPr>
          <w:rFonts w:eastAsia="Times New Roman" w:cs="Times New Roman"/>
          <w:sz w:val="20"/>
          <w:szCs w:val="20"/>
        </w:rPr>
        <w:t xml:space="preserve"> FERC Order Nos. 890, 890-A, 890-B, 890-C, 676, 676-A, 676-E, and 717.</w:t>
      </w:r>
      <w:r w:rsidR="00F8633F">
        <w:rPr>
          <w:rFonts w:eastAsia="Times New Roman" w:cs="Times New Roman"/>
          <w:sz w:val="20"/>
          <w:szCs w:val="20"/>
        </w:rPr>
        <w:t xml:space="preserve"> </w:t>
      </w:r>
      <w:r w:rsidR="00F8633F">
        <w:rPr>
          <w:sz w:val="20"/>
          <w:szCs w:val="20"/>
        </w:rPr>
        <w:t>This body of S</w:t>
      </w:r>
      <w:r w:rsidRPr="00E416C0">
        <w:rPr>
          <w:sz w:val="20"/>
          <w:szCs w:val="20"/>
        </w:rPr>
        <w:t xml:space="preserve">tandards represents a significant effort by the industry, and </w:t>
      </w:r>
      <w:r>
        <w:rPr>
          <w:sz w:val="20"/>
          <w:szCs w:val="20"/>
        </w:rPr>
        <w:t>NAESB</w:t>
      </w:r>
      <w:r w:rsidRPr="00E416C0">
        <w:rPr>
          <w:sz w:val="20"/>
          <w:szCs w:val="20"/>
        </w:rPr>
        <w:t xml:space="preserve"> would like to thank everyone who</w:t>
      </w:r>
      <w:r>
        <w:rPr>
          <w:sz w:val="20"/>
          <w:szCs w:val="20"/>
        </w:rPr>
        <w:t xml:space="preserve"> contributed by participating</w:t>
      </w:r>
      <w:r w:rsidRPr="00E416C0">
        <w:rPr>
          <w:sz w:val="20"/>
          <w:szCs w:val="20"/>
        </w:rPr>
        <w:t xml:space="preserve"> in the development of these </w:t>
      </w:r>
      <w:r w:rsidR="00CF7DC7">
        <w:rPr>
          <w:sz w:val="20"/>
          <w:szCs w:val="20"/>
        </w:rPr>
        <w:t>S</w:t>
      </w:r>
      <w:r w:rsidRPr="00E416C0">
        <w:rPr>
          <w:sz w:val="20"/>
          <w:szCs w:val="20"/>
        </w:rPr>
        <w:t xml:space="preserve">tandards.  </w:t>
      </w:r>
    </w:p>
    <w:p w:rsidR="005D5082" w:rsidRDefault="00F8633F" w:rsidP="004C747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Although the Order adopts a large majority of the Standards, certain exceptions were made and NAESB has been requested to address a </w:t>
      </w:r>
      <w:r w:rsidR="00554019">
        <w:rPr>
          <w:rFonts w:eastAsia="Times New Roman" w:cs="Times New Roman"/>
          <w:sz w:val="20"/>
          <w:szCs w:val="20"/>
        </w:rPr>
        <w:t>few</w:t>
      </w:r>
      <w:r>
        <w:rPr>
          <w:rFonts w:eastAsia="Times New Roman" w:cs="Times New Roman"/>
          <w:sz w:val="20"/>
          <w:szCs w:val="20"/>
        </w:rPr>
        <w:t xml:space="preserve"> </w:t>
      </w:r>
      <w:r w:rsidR="00497C97">
        <w:rPr>
          <w:rFonts w:eastAsia="Times New Roman" w:cs="Times New Roman"/>
          <w:sz w:val="20"/>
          <w:szCs w:val="20"/>
        </w:rPr>
        <w:t xml:space="preserve">identified </w:t>
      </w:r>
      <w:r w:rsidR="00554019">
        <w:rPr>
          <w:rFonts w:eastAsia="Times New Roman" w:cs="Times New Roman"/>
          <w:sz w:val="20"/>
          <w:szCs w:val="20"/>
        </w:rPr>
        <w:t>issues</w:t>
      </w:r>
      <w:r>
        <w:rPr>
          <w:rFonts w:eastAsia="Times New Roman" w:cs="Times New Roman"/>
          <w:sz w:val="20"/>
          <w:szCs w:val="20"/>
        </w:rPr>
        <w:t xml:space="preserve"> through its process.  Specifically, the Commission declined to adopt WEQ-001-14.1.3, WEQ-001-15.1.2</w:t>
      </w:r>
      <w:r w:rsidR="00497C97">
        <w:rPr>
          <w:rFonts w:eastAsia="Times New Roman" w:cs="Times New Roman"/>
          <w:sz w:val="20"/>
          <w:szCs w:val="20"/>
        </w:rPr>
        <w:t>,</w:t>
      </w:r>
      <w:r w:rsidR="00497C97" w:rsidRPr="00497C97">
        <w:rPr>
          <w:rFonts w:eastAsia="Times New Roman" w:cs="Times New Roman"/>
          <w:sz w:val="20"/>
          <w:szCs w:val="20"/>
        </w:rPr>
        <w:t xml:space="preserve"> </w:t>
      </w:r>
      <w:r w:rsidR="00497C97">
        <w:rPr>
          <w:rFonts w:eastAsia="Times New Roman" w:cs="Times New Roman"/>
          <w:sz w:val="20"/>
          <w:szCs w:val="20"/>
        </w:rPr>
        <w:t xml:space="preserve">WEQ-001-9.5, WEQ-001-10.5 </w:t>
      </w:r>
      <w:r>
        <w:rPr>
          <w:rFonts w:eastAsia="Times New Roman" w:cs="Times New Roman"/>
          <w:sz w:val="20"/>
          <w:szCs w:val="20"/>
        </w:rPr>
        <w:t>and WEQ-001-106.2.5.</w:t>
      </w:r>
      <w:r w:rsidR="004C7478">
        <w:rPr>
          <w:rFonts w:eastAsia="Times New Roman" w:cs="Times New Roman"/>
          <w:sz w:val="20"/>
          <w:szCs w:val="20"/>
        </w:rPr>
        <w:t xml:space="preserve">  </w:t>
      </w:r>
    </w:p>
    <w:p w:rsidR="004C7478" w:rsidRDefault="00497C97" w:rsidP="005D5082">
      <w:pPr>
        <w:pStyle w:val="PlainText"/>
        <w:numPr>
          <w:ilvl w:val="0"/>
          <w:numId w:val="24"/>
        </w:numPr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NAESB </w:t>
      </w:r>
      <w:r w:rsidR="00791F65"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tandards WEQ-001-14.1.3 and WEQ-001-15.1.2 establish the timing requirements for posting Available Transfer Capability narratives</w:t>
      </w:r>
      <w:r w:rsidR="004C7478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and currently </w:t>
      </w:r>
      <w:r w:rsidR="00843319">
        <w:rPr>
          <w:rFonts w:eastAsia="Times New Roman" w:cs="Times New Roman"/>
          <w:sz w:val="20"/>
          <w:szCs w:val="20"/>
        </w:rPr>
        <w:t>set a five business day requirement</w:t>
      </w:r>
      <w:r w:rsidR="00CF7DC7">
        <w:rPr>
          <w:rFonts w:eastAsia="Times New Roman" w:cs="Times New Roman"/>
          <w:sz w:val="20"/>
          <w:szCs w:val="20"/>
        </w:rPr>
        <w:t xml:space="preserve"> while</w:t>
      </w:r>
      <w:r w:rsidR="00843319">
        <w:rPr>
          <w:rFonts w:eastAsia="Times New Roman" w:cs="Times New Roman"/>
          <w:sz w:val="20"/>
          <w:szCs w:val="20"/>
        </w:rPr>
        <w:t xml:space="preserve"> </w:t>
      </w:r>
      <w:r w:rsidR="00CF7DC7">
        <w:rPr>
          <w:rFonts w:eastAsia="Times New Roman" w:cs="Times New Roman"/>
          <w:sz w:val="20"/>
          <w:szCs w:val="20"/>
        </w:rPr>
        <w:t xml:space="preserve">encouraging the </w:t>
      </w:r>
      <w:r w:rsidR="00843319">
        <w:rPr>
          <w:rFonts w:eastAsia="Times New Roman" w:cs="Times New Roman"/>
          <w:sz w:val="20"/>
          <w:szCs w:val="20"/>
        </w:rPr>
        <w:t xml:space="preserve">posting </w:t>
      </w:r>
      <w:r w:rsidR="00CF7DC7">
        <w:rPr>
          <w:rFonts w:eastAsia="Times New Roman" w:cs="Times New Roman"/>
          <w:sz w:val="20"/>
          <w:szCs w:val="20"/>
        </w:rPr>
        <w:t xml:space="preserve">of </w:t>
      </w:r>
      <w:r w:rsidR="00843319">
        <w:rPr>
          <w:rFonts w:eastAsia="Times New Roman" w:cs="Times New Roman"/>
          <w:sz w:val="20"/>
          <w:szCs w:val="20"/>
        </w:rPr>
        <w:t>the narratives within one business day.  The Commission has requested that NAESB consider revising the standards to provide for</w:t>
      </w:r>
      <w:r w:rsidR="000A5FDC">
        <w:rPr>
          <w:rFonts w:eastAsia="Times New Roman" w:cs="Times New Roman"/>
          <w:sz w:val="20"/>
          <w:szCs w:val="20"/>
        </w:rPr>
        <w:t xml:space="preserve"> a one-day posting requirement as </w:t>
      </w:r>
      <w:r w:rsidR="005D5082">
        <w:rPr>
          <w:rFonts w:eastAsia="Times New Roman" w:cs="Times New Roman"/>
          <w:sz w:val="20"/>
          <w:szCs w:val="20"/>
        </w:rPr>
        <w:t>articulated in FERC Order No. 890.</w:t>
      </w:r>
    </w:p>
    <w:p w:rsidR="005D5082" w:rsidRDefault="005D5082" w:rsidP="005D5082">
      <w:pPr>
        <w:pStyle w:val="PlainText"/>
        <w:numPr>
          <w:ilvl w:val="0"/>
          <w:numId w:val="24"/>
        </w:numPr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NAESB </w:t>
      </w:r>
      <w:r w:rsidR="00791F65"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>tandards WEQ-001-9.5 and WEQ-001-10.5</w:t>
      </w:r>
      <w:r w:rsidR="00332F23">
        <w:rPr>
          <w:rFonts w:eastAsia="Times New Roman" w:cs="Times New Roman"/>
          <w:sz w:val="20"/>
          <w:szCs w:val="20"/>
        </w:rPr>
        <w:t xml:space="preserve"> establish when a transmission customer loses rights to capacity on an original path after requesting a redirect</w:t>
      </w:r>
      <w:r w:rsidR="00D118AA">
        <w:rPr>
          <w:rFonts w:eastAsia="Times New Roman" w:cs="Times New Roman"/>
          <w:sz w:val="20"/>
          <w:szCs w:val="20"/>
        </w:rPr>
        <w:t xml:space="preserve"> on a firm and non-firm basis</w:t>
      </w:r>
      <w:r>
        <w:rPr>
          <w:rFonts w:eastAsia="Times New Roman" w:cs="Times New Roman"/>
          <w:sz w:val="20"/>
          <w:szCs w:val="20"/>
        </w:rPr>
        <w:t>.</w:t>
      </w:r>
      <w:r w:rsidR="00332F23">
        <w:rPr>
          <w:rFonts w:eastAsia="Times New Roman" w:cs="Times New Roman"/>
          <w:sz w:val="20"/>
          <w:szCs w:val="20"/>
        </w:rPr>
        <w:t xml:space="preserve">  The </w:t>
      </w:r>
      <w:r w:rsidR="00D118AA">
        <w:rPr>
          <w:rFonts w:eastAsia="Times New Roman" w:cs="Times New Roman"/>
          <w:sz w:val="20"/>
          <w:szCs w:val="20"/>
        </w:rPr>
        <w:t>Commission requested that NAESB revise standards WEQ-001-9.5 and WEQ-00</w:t>
      </w:r>
      <w:r w:rsidR="00817EB4">
        <w:rPr>
          <w:rFonts w:eastAsia="Times New Roman" w:cs="Times New Roman"/>
          <w:sz w:val="20"/>
          <w:szCs w:val="20"/>
        </w:rPr>
        <w:t>1</w:t>
      </w:r>
      <w:r w:rsidR="00D118AA">
        <w:rPr>
          <w:rFonts w:eastAsia="Times New Roman" w:cs="Times New Roman"/>
          <w:sz w:val="20"/>
          <w:szCs w:val="20"/>
        </w:rPr>
        <w:t xml:space="preserve">-10.5 and any other standards affected by these standards to be consistent with the Commission’s policy in </w:t>
      </w:r>
      <w:r w:rsidR="00D118AA" w:rsidRPr="00D118AA">
        <w:rPr>
          <w:rFonts w:eastAsia="Times New Roman" w:cs="Times New Roman"/>
          <w:i/>
          <w:sz w:val="20"/>
          <w:szCs w:val="20"/>
        </w:rPr>
        <w:t>Dynegy Power Marketing, Inc.</w:t>
      </w:r>
      <w:r w:rsidR="00D118AA">
        <w:rPr>
          <w:rFonts w:eastAsia="Times New Roman" w:cs="Times New Roman"/>
          <w:sz w:val="20"/>
          <w:szCs w:val="20"/>
        </w:rPr>
        <w:t xml:space="preserve">, 99 FERC ¶ 61,054 </w:t>
      </w:r>
      <w:r w:rsidR="00CF7DC7">
        <w:rPr>
          <w:rFonts w:eastAsia="Times New Roman" w:cs="Times New Roman"/>
          <w:sz w:val="20"/>
          <w:szCs w:val="20"/>
        </w:rPr>
        <w:t xml:space="preserve">(2002) </w:t>
      </w:r>
      <w:r w:rsidR="00D118AA">
        <w:rPr>
          <w:rFonts w:eastAsia="Times New Roman" w:cs="Times New Roman"/>
          <w:sz w:val="20"/>
          <w:szCs w:val="20"/>
        </w:rPr>
        <w:t xml:space="preserve">and </w:t>
      </w:r>
      <w:r w:rsidR="00D118AA" w:rsidRPr="00D118AA">
        <w:rPr>
          <w:rFonts w:eastAsia="Times New Roman" w:cs="Times New Roman"/>
          <w:i/>
          <w:sz w:val="20"/>
          <w:szCs w:val="20"/>
        </w:rPr>
        <w:t>Entergy Services, Inc.</w:t>
      </w:r>
      <w:r w:rsidR="00D118AA">
        <w:rPr>
          <w:rFonts w:eastAsia="Times New Roman" w:cs="Times New Roman"/>
          <w:sz w:val="20"/>
          <w:szCs w:val="20"/>
        </w:rPr>
        <w:t xml:space="preserve">, 137 FERC ¶ 61,199 (2011), </w:t>
      </w:r>
      <w:r w:rsidR="00D118AA" w:rsidRPr="00D118AA">
        <w:rPr>
          <w:rFonts w:eastAsia="Times New Roman" w:cs="Times New Roman"/>
          <w:i/>
          <w:sz w:val="20"/>
          <w:szCs w:val="20"/>
        </w:rPr>
        <w:t>order on reh’g and compliance</w:t>
      </w:r>
      <w:r w:rsidR="00D118AA">
        <w:rPr>
          <w:rFonts w:eastAsia="Times New Roman" w:cs="Times New Roman"/>
          <w:sz w:val="20"/>
          <w:szCs w:val="20"/>
        </w:rPr>
        <w:t>, 143 FERC ¶ 61,143</w:t>
      </w:r>
      <w:r w:rsidR="00CF7DC7">
        <w:rPr>
          <w:rFonts w:eastAsia="Times New Roman" w:cs="Times New Roman"/>
          <w:sz w:val="20"/>
          <w:szCs w:val="20"/>
        </w:rPr>
        <w:t xml:space="preserve"> (2013)</w:t>
      </w:r>
      <w:r w:rsidR="00D118AA">
        <w:rPr>
          <w:rFonts w:eastAsia="Times New Roman" w:cs="Times New Roman"/>
          <w:sz w:val="20"/>
          <w:szCs w:val="20"/>
        </w:rPr>
        <w:t xml:space="preserve">. </w:t>
      </w:r>
      <w:r>
        <w:rPr>
          <w:rFonts w:eastAsia="Times New Roman" w:cs="Times New Roman"/>
          <w:sz w:val="20"/>
          <w:szCs w:val="20"/>
        </w:rPr>
        <w:t xml:space="preserve"> </w:t>
      </w:r>
      <w:r w:rsidR="00175B40">
        <w:rPr>
          <w:rFonts w:eastAsia="Times New Roman" w:cs="Times New Roman"/>
          <w:sz w:val="20"/>
          <w:szCs w:val="20"/>
        </w:rPr>
        <w:t xml:space="preserve">The Commission also requested that this project be a priority for NAESB. </w:t>
      </w:r>
    </w:p>
    <w:p w:rsidR="00175B40" w:rsidRDefault="00175B40" w:rsidP="005D5082">
      <w:pPr>
        <w:pStyle w:val="PlainText"/>
        <w:numPr>
          <w:ilvl w:val="0"/>
          <w:numId w:val="24"/>
        </w:numPr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NAESB </w:t>
      </w:r>
      <w:r w:rsidR="00791F65">
        <w:rPr>
          <w:rFonts w:eastAsia="Times New Roman" w:cs="Times New Roman"/>
          <w:sz w:val="20"/>
          <w:szCs w:val="20"/>
        </w:rPr>
        <w:t>s</w:t>
      </w:r>
      <w:r>
        <w:rPr>
          <w:rFonts w:eastAsia="Times New Roman" w:cs="Times New Roman"/>
          <w:sz w:val="20"/>
          <w:szCs w:val="20"/>
        </w:rPr>
        <w:t xml:space="preserve">tandard WEQ-001-106.2.5 allows transmission providers to refuse a request for terminating secondary network service based on the availability of capacity.  The Commission has requested that NAESB revise the standard to clarify </w:t>
      </w:r>
      <w:r w:rsidR="004D48CE">
        <w:rPr>
          <w:rFonts w:eastAsia="Times New Roman" w:cs="Times New Roman"/>
          <w:sz w:val="20"/>
          <w:szCs w:val="20"/>
        </w:rPr>
        <w:t>when transmission providers may exercise such a refusal</w:t>
      </w:r>
      <w:r>
        <w:rPr>
          <w:rFonts w:eastAsia="Times New Roman" w:cs="Times New Roman"/>
          <w:sz w:val="20"/>
          <w:szCs w:val="20"/>
        </w:rPr>
        <w:t>.</w:t>
      </w:r>
    </w:p>
    <w:p w:rsidR="004C7478" w:rsidRDefault="004C7478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In addition to these individual standards</w:t>
      </w:r>
      <w:r w:rsidR="007F09BA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the Commission declined to adopt</w:t>
      </w:r>
      <w:r w:rsidR="00175B40">
        <w:rPr>
          <w:rFonts w:eastAsia="Times New Roman" w:cs="Times New Roman"/>
          <w:sz w:val="20"/>
          <w:szCs w:val="20"/>
        </w:rPr>
        <w:t xml:space="preserve">, </w:t>
      </w:r>
      <w:r w:rsidR="004D48CE">
        <w:rPr>
          <w:rFonts w:eastAsia="Times New Roman" w:cs="Times New Roman"/>
          <w:sz w:val="20"/>
          <w:szCs w:val="20"/>
        </w:rPr>
        <w:t>WEQ-009 Standards of Conduct for Electric Transmission Providers (reserved),</w:t>
      </w:r>
      <w:r>
        <w:rPr>
          <w:rFonts w:eastAsia="Times New Roman" w:cs="Times New Roman"/>
          <w:sz w:val="20"/>
          <w:szCs w:val="20"/>
        </w:rPr>
        <w:t xml:space="preserve"> WEQ-010 Contracts Related Business Practice Standards</w:t>
      </w:r>
      <w:r w:rsidR="00CF7DC7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and WEQ-014 WEQ/</w:t>
      </w:r>
      <w:r w:rsidR="00F43777">
        <w:rPr>
          <w:rFonts w:eastAsia="Times New Roman" w:cs="Times New Roman"/>
          <w:sz w:val="20"/>
          <w:szCs w:val="20"/>
        </w:rPr>
        <w:t>W</w:t>
      </w:r>
      <w:r>
        <w:rPr>
          <w:rFonts w:eastAsia="Times New Roman" w:cs="Times New Roman"/>
          <w:sz w:val="20"/>
          <w:szCs w:val="20"/>
        </w:rPr>
        <w:t xml:space="preserve">GQ </w:t>
      </w:r>
      <w:proofErr w:type="spellStart"/>
      <w:r>
        <w:rPr>
          <w:rFonts w:eastAsia="Times New Roman" w:cs="Times New Roman"/>
          <w:sz w:val="20"/>
          <w:szCs w:val="20"/>
        </w:rPr>
        <w:t>eTariff</w:t>
      </w:r>
      <w:proofErr w:type="spellEnd"/>
      <w:r>
        <w:rPr>
          <w:rFonts w:eastAsia="Times New Roman" w:cs="Times New Roman"/>
          <w:sz w:val="20"/>
          <w:szCs w:val="20"/>
        </w:rPr>
        <w:t xml:space="preserve"> Related Business Practice Standards</w:t>
      </w:r>
      <w:r w:rsidR="007F09BA">
        <w:rPr>
          <w:rFonts w:eastAsia="Times New Roman" w:cs="Times New Roman"/>
          <w:sz w:val="20"/>
          <w:szCs w:val="20"/>
        </w:rPr>
        <w:t>.  This is consistent with past action</w:t>
      </w:r>
      <w:r w:rsidR="00E71B57">
        <w:rPr>
          <w:rFonts w:eastAsia="Times New Roman" w:cs="Times New Roman"/>
          <w:sz w:val="20"/>
          <w:szCs w:val="20"/>
        </w:rPr>
        <w:t>s</w:t>
      </w:r>
      <w:r w:rsidR="007F09BA">
        <w:rPr>
          <w:rFonts w:eastAsia="Times New Roman" w:cs="Times New Roman"/>
          <w:sz w:val="20"/>
          <w:szCs w:val="20"/>
        </w:rPr>
        <w:t xml:space="preserve"> by the </w:t>
      </w:r>
      <w:r w:rsidR="007F09BA">
        <w:rPr>
          <w:rFonts w:eastAsia="Times New Roman" w:cs="Times New Roman"/>
          <w:sz w:val="20"/>
          <w:szCs w:val="20"/>
        </w:rPr>
        <w:lastRenderedPageBreak/>
        <w:t xml:space="preserve">Commission, as WEQ-009 has been </w:t>
      </w:r>
      <w:r w:rsidR="00A7545F">
        <w:rPr>
          <w:rFonts w:eastAsia="Times New Roman" w:cs="Times New Roman"/>
          <w:sz w:val="20"/>
          <w:szCs w:val="20"/>
        </w:rPr>
        <w:t xml:space="preserve">previously </w:t>
      </w:r>
      <w:r w:rsidR="007F09BA">
        <w:rPr>
          <w:rFonts w:eastAsia="Times New Roman" w:cs="Times New Roman"/>
          <w:sz w:val="20"/>
          <w:szCs w:val="20"/>
        </w:rPr>
        <w:t>redacted and reserved, WEQ-010 contain</w:t>
      </w:r>
      <w:r w:rsidR="00E71B57">
        <w:rPr>
          <w:rFonts w:eastAsia="Times New Roman" w:cs="Times New Roman"/>
          <w:sz w:val="20"/>
          <w:szCs w:val="20"/>
        </w:rPr>
        <w:t>s</w:t>
      </w:r>
      <w:r w:rsidR="007F09BA">
        <w:rPr>
          <w:rFonts w:eastAsia="Times New Roman" w:cs="Times New Roman"/>
          <w:sz w:val="20"/>
          <w:szCs w:val="20"/>
        </w:rPr>
        <w:t xml:space="preserve"> optional contracts not required by the Commission</w:t>
      </w:r>
      <w:r w:rsidR="00E71B57">
        <w:rPr>
          <w:rFonts w:eastAsia="Times New Roman" w:cs="Times New Roman"/>
          <w:sz w:val="20"/>
          <w:szCs w:val="20"/>
        </w:rPr>
        <w:t>,</w:t>
      </w:r>
      <w:r w:rsidR="007F09BA">
        <w:rPr>
          <w:rFonts w:eastAsia="Times New Roman" w:cs="Times New Roman"/>
          <w:sz w:val="20"/>
          <w:szCs w:val="20"/>
        </w:rPr>
        <w:t xml:space="preserve"> and WEQ-014 serves as a basis for the </w:t>
      </w:r>
      <w:r w:rsidR="007F09BA" w:rsidRPr="00E71B57">
        <w:rPr>
          <w:rFonts w:eastAsia="Times New Roman" w:cs="Times New Roman"/>
          <w:sz w:val="20"/>
          <w:szCs w:val="20"/>
        </w:rPr>
        <w:t>Commission</w:t>
      </w:r>
      <w:r w:rsidR="00E71B57" w:rsidRPr="00E71B57">
        <w:rPr>
          <w:rFonts w:eastAsia="Times New Roman" w:cs="Times New Roman"/>
          <w:sz w:val="20"/>
          <w:szCs w:val="20"/>
        </w:rPr>
        <w:t>’s</w:t>
      </w:r>
      <w:r w:rsidR="007F09BA" w:rsidRPr="00E71B57">
        <w:rPr>
          <w:rFonts w:eastAsia="Times New Roman" w:cs="Times New Roman"/>
          <w:sz w:val="20"/>
          <w:szCs w:val="20"/>
        </w:rPr>
        <w:t xml:space="preserve"> own standards</w:t>
      </w:r>
      <w:r w:rsidR="007F09BA">
        <w:rPr>
          <w:rFonts w:eastAsia="Times New Roman" w:cs="Times New Roman"/>
          <w:sz w:val="20"/>
          <w:szCs w:val="20"/>
        </w:rPr>
        <w:t xml:space="preserve"> and protocols for electronic tariff filing.</w:t>
      </w:r>
      <w:r w:rsidR="003E7087">
        <w:rPr>
          <w:rFonts w:eastAsia="Times New Roman" w:cs="Times New Roman"/>
          <w:sz w:val="20"/>
          <w:szCs w:val="20"/>
        </w:rPr>
        <w:t xml:space="preserve">  The Commission also declined to adopt the NAESB smart grid related suite of standards (WEQ-016, WEQ-017, WEQ-018, WEQ-019 and WEQ-020) as mandatory enforceable standards</w:t>
      </w:r>
      <w:r w:rsidR="00A7545F">
        <w:rPr>
          <w:rFonts w:eastAsia="Times New Roman" w:cs="Times New Roman"/>
          <w:sz w:val="20"/>
          <w:szCs w:val="20"/>
        </w:rPr>
        <w:t>; however, the standards will be listed</w:t>
      </w:r>
      <w:r w:rsidR="003E7087">
        <w:rPr>
          <w:rFonts w:eastAsia="Times New Roman" w:cs="Times New Roman"/>
          <w:sz w:val="20"/>
          <w:szCs w:val="20"/>
        </w:rPr>
        <w:t xml:space="preserve"> informationally in the regulations as non-mandatory guidance. </w:t>
      </w:r>
    </w:p>
    <w:p w:rsidR="00A7545F" w:rsidRDefault="00791F65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Also, i</w:t>
      </w:r>
      <w:r w:rsidR="007917EE">
        <w:rPr>
          <w:rFonts w:eastAsia="Times New Roman" w:cs="Times New Roman"/>
          <w:sz w:val="20"/>
          <w:szCs w:val="20"/>
        </w:rPr>
        <w:t>n</w:t>
      </w:r>
      <w:r w:rsidR="00792A09">
        <w:rPr>
          <w:rFonts w:eastAsia="Times New Roman" w:cs="Times New Roman"/>
          <w:sz w:val="20"/>
          <w:szCs w:val="20"/>
        </w:rPr>
        <w:t xml:space="preserve"> </w:t>
      </w:r>
      <w:r w:rsidR="007917EE">
        <w:rPr>
          <w:rFonts w:eastAsia="Times New Roman" w:cs="Times New Roman"/>
          <w:sz w:val="20"/>
          <w:szCs w:val="20"/>
        </w:rPr>
        <w:t xml:space="preserve">consideration of the </w:t>
      </w:r>
      <w:r w:rsidR="002157DB">
        <w:rPr>
          <w:rFonts w:eastAsia="Times New Roman" w:cs="Times New Roman"/>
          <w:sz w:val="20"/>
          <w:szCs w:val="20"/>
        </w:rPr>
        <w:t>Service Across Multiple Tra</w:t>
      </w:r>
      <w:r w:rsidR="007917EE">
        <w:rPr>
          <w:rFonts w:eastAsia="Times New Roman" w:cs="Times New Roman"/>
          <w:sz w:val="20"/>
          <w:szCs w:val="20"/>
        </w:rPr>
        <w:t xml:space="preserve">nsmission Systems </w:t>
      </w:r>
      <w:r w:rsidR="004958E2">
        <w:rPr>
          <w:rFonts w:eastAsia="Times New Roman" w:cs="Times New Roman"/>
          <w:sz w:val="20"/>
          <w:szCs w:val="20"/>
        </w:rPr>
        <w:t>s</w:t>
      </w:r>
      <w:r w:rsidR="007917EE">
        <w:rPr>
          <w:rFonts w:eastAsia="Times New Roman" w:cs="Times New Roman"/>
          <w:sz w:val="20"/>
          <w:szCs w:val="20"/>
        </w:rPr>
        <w:t>tandards</w:t>
      </w:r>
      <w:r>
        <w:rPr>
          <w:rFonts w:eastAsia="Times New Roman" w:cs="Times New Roman"/>
          <w:sz w:val="20"/>
          <w:szCs w:val="20"/>
        </w:rPr>
        <w:t>, the Commission provided NAESB with guidance concerning future standards development</w:t>
      </w:r>
      <w:r w:rsidR="007917EE">
        <w:rPr>
          <w:rFonts w:eastAsia="Times New Roman" w:cs="Times New Roman"/>
          <w:sz w:val="20"/>
          <w:szCs w:val="20"/>
        </w:rPr>
        <w:t xml:space="preserve">.  Specifically, the Commission requested that NAESB consider the Bonneville Power Administration comment concerning the treatment of a conditional point-to-point reservation included </w:t>
      </w:r>
      <w:r w:rsidR="00A44386">
        <w:rPr>
          <w:rFonts w:eastAsia="Times New Roman" w:cs="Times New Roman"/>
          <w:sz w:val="20"/>
          <w:szCs w:val="20"/>
        </w:rPr>
        <w:t xml:space="preserve">in a coordinated group </w:t>
      </w:r>
      <w:r w:rsidR="00792A09">
        <w:rPr>
          <w:rFonts w:eastAsia="Times New Roman" w:cs="Times New Roman"/>
          <w:sz w:val="20"/>
          <w:szCs w:val="20"/>
        </w:rPr>
        <w:t xml:space="preserve">when displaced through preemption.  NAESB was requested to consider the request as part of its ongoing standards development and </w:t>
      </w:r>
      <w:r>
        <w:rPr>
          <w:rFonts w:eastAsia="Times New Roman" w:cs="Times New Roman"/>
          <w:sz w:val="20"/>
          <w:szCs w:val="20"/>
        </w:rPr>
        <w:t>to provide an update in the next relevant WEQ standards report filed with the Commission.</w:t>
      </w:r>
      <w:r w:rsidR="00792A09">
        <w:rPr>
          <w:rFonts w:eastAsia="Times New Roman" w:cs="Times New Roman"/>
          <w:sz w:val="20"/>
          <w:szCs w:val="20"/>
        </w:rPr>
        <w:t xml:space="preserve"> </w:t>
      </w:r>
    </w:p>
    <w:p w:rsidR="004C7478" w:rsidRDefault="00792A09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Compliance filings and waiver requests in response to the Order must be made by December 1, 2014</w:t>
      </w:r>
      <w:r w:rsidR="00E71B57">
        <w:rPr>
          <w:rFonts w:eastAsia="Times New Roman" w:cs="Times New Roman"/>
          <w:sz w:val="20"/>
          <w:szCs w:val="20"/>
        </w:rPr>
        <w:t>,</w:t>
      </w:r>
      <w:r w:rsidR="00D31B5D">
        <w:rPr>
          <w:rFonts w:eastAsia="Times New Roman" w:cs="Times New Roman"/>
          <w:sz w:val="20"/>
          <w:szCs w:val="20"/>
        </w:rPr>
        <w:t xml:space="preserve"> and compliance is required on February 2, 2015; however, a separate 18-month compliance schedule was established for implementation of the Network Integration Transmission Service (NITS) OASIS templates.  Compliance filings for the NITS OASIS templates are required two months before implementation.  </w:t>
      </w:r>
      <w:r>
        <w:rPr>
          <w:rFonts w:eastAsia="Times New Roman" w:cs="Times New Roman"/>
          <w:sz w:val="20"/>
          <w:szCs w:val="20"/>
        </w:rPr>
        <w:t xml:space="preserve">  </w:t>
      </w:r>
    </w:p>
    <w:p w:rsidR="00791F65" w:rsidRPr="00E416C0" w:rsidRDefault="00791F65" w:rsidP="00791F6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Coordination is already underway by the NAESB</w:t>
      </w:r>
      <w:r w:rsidR="00614ADE">
        <w:rPr>
          <w:rFonts w:ascii="Times New Roman" w:hAnsi="Times New Roman"/>
        </w:rPr>
        <w:t xml:space="preserve"> WEQ</w:t>
      </w:r>
      <w:r>
        <w:rPr>
          <w:rFonts w:ascii="Times New Roman" w:hAnsi="Times New Roman"/>
        </w:rPr>
        <w:t xml:space="preserve"> leadership to ensure that the WEQ Executive Committee</w:t>
      </w:r>
      <w:r w:rsidR="00614ADE">
        <w:rPr>
          <w:rFonts w:ascii="Times New Roman" w:hAnsi="Times New Roman"/>
        </w:rPr>
        <w:t xml:space="preserve"> and its subcommittees are responsive to the requests of the Commission contained in the Order.</w:t>
      </w:r>
      <w:r w:rsidRPr="00E416C0">
        <w:rPr>
          <w:rFonts w:ascii="Times New Roman" w:hAnsi="Times New Roman"/>
        </w:rPr>
        <w:t xml:space="preserve"> </w:t>
      </w:r>
    </w:p>
    <w:p w:rsidR="005A029C" w:rsidRPr="00E416C0" w:rsidRDefault="005A029C" w:rsidP="00791F65">
      <w:pPr>
        <w:spacing w:before="120"/>
        <w:rPr>
          <w:rFonts w:ascii="Times New Roman" w:hAnsi="Times New Roman"/>
        </w:rPr>
      </w:pPr>
      <w:r w:rsidRPr="00E416C0">
        <w:rPr>
          <w:rFonts w:ascii="Times New Roman" w:hAnsi="Times New Roman"/>
        </w:rPr>
        <w:t>Once</w:t>
      </w:r>
      <w:r w:rsidRPr="00E416C0">
        <w:rPr>
          <w:rFonts w:ascii="Times New Roman" w:hAnsi="Times New Roman"/>
          <w:spacing w:val="1"/>
        </w:rPr>
        <w:t xml:space="preserve"> </w:t>
      </w:r>
      <w:r w:rsidRPr="00E416C0">
        <w:rPr>
          <w:rFonts w:ascii="Times New Roman" w:hAnsi="Times New Roman"/>
        </w:rPr>
        <w:t>a</w:t>
      </w:r>
      <w:r w:rsidRPr="00E416C0">
        <w:rPr>
          <w:rFonts w:ascii="Times New Roman" w:hAnsi="Times New Roman"/>
          <w:spacing w:val="-1"/>
        </w:rPr>
        <w:t>g</w:t>
      </w:r>
      <w:r w:rsidRPr="00E416C0">
        <w:rPr>
          <w:rFonts w:ascii="Times New Roman" w:hAnsi="Times New Roman"/>
        </w:rPr>
        <w:t>ai</w:t>
      </w:r>
      <w:r w:rsidRPr="00E416C0">
        <w:rPr>
          <w:rFonts w:ascii="Times New Roman" w:hAnsi="Times New Roman"/>
          <w:spacing w:val="-1"/>
        </w:rPr>
        <w:t>n</w:t>
      </w:r>
      <w:r w:rsidRPr="00E416C0">
        <w:rPr>
          <w:rFonts w:ascii="Times New Roman" w:hAnsi="Times New Roman"/>
        </w:rPr>
        <w:t>,</w:t>
      </w:r>
      <w:r w:rsidRPr="00E416C0">
        <w:rPr>
          <w:rFonts w:ascii="Times New Roman" w:hAnsi="Times New Roman"/>
          <w:spacing w:val="1"/>
        </w:rPr>
        <w:t xml:space="preserve"> </w:t>
      </w:r>
      <w:r w:rsidRPr="00E416C0">
        <w:rPr>
          <w:rFonts w:ascii="Times New Roman" w:hAnsi="Times New Roman"/>
        </w:rPr>
        <w:t>ma</w:t>
      </w:r>
      <w:r w:rsidRPr="00E416C0">
        <w:rPr>
          <w:rFonts w:ascii="Times New Roman" w:hAnsi="Times New Roman"/>
          <w:spacing w:val="-1"/>
        </w:rPr>
        <w:t>n</w:t>
      </w:r>
      <w:r w:rsidRPr="00E416C0">
        <w:rPr>
          <w:rFonts w:ascii="Times New Roman" w:hAnsi="Times New Roman"/>
        </w:rPr>
        <w:t>y</w:t>
      </w:r>
      <w:r w:rsidRPr="00E416C0">
        <w:rPr>
          <w:rFonts w:ascii="Times New Roman" w:hAnsi="Times New Roman"/>
          <w:spacing w:val="1"/>
        </w:rPr>
        <w:t xml:space="preserve"> </w:t>
      </w:r>
      <w:r w:rsidRPr="00E416C0">
        <w:rPr>
          <w:rFonts w:ascii="Times New Roman" w:hAnsi="Times New Roman"/>
        </w:rPr>
        <w:t>t</w:t>
      </w:r>
      <w:r w:rsidRPr="00E416C0">
        <w:rPr>
          <w:rFonts w:ascii="Times New Roman" w:hAnsi="Times New Roman"/>
          <w:spacing w:val="-1"/>
        </w:rPr>
        <w:t>h</w:t>
      </w:r>
      <w:r w:rsidRPr="00E416C0">
        <w:rPr>
          <w:rFonts w:ascii="Times New Roman" w:hAnsi="Times New Roman"/>
        </w:rPr>
        <w:t>anks</w:t>
      </w:r>
      <w:r w:rsidRPr="00E416C0">
        <w:rPr>
          <w:rFonts w:ascii="Times New Roman" w:hAnsi="Times New Roman"/>
          <w:spacing w:val="1"/>
        </w:rPr>
        <w:t xml:space="preserve"> </w:t>
      </w:r>
      <w:r w:rsidRPr="00E416C0">
        <w:rPr>
          <w:rFonts w:ascii="Times New Roman" w:hAnsi="Times New Roman"/>
        </w:rPr>
        <w:t>to</w:t>
      </w:r>
      <w:r w:rsidRPr="00E416C0">
        <w:rPr>
          <w:rFonts w:ascii="Times New Roman" w:hAnsi="Times New Roman"/>
          <w:spacing w:val="1"/>
        </w:rPr>
        <w:t xml:space="preserve"> </w:t>
      </w:r>
      <w:r w:rsidRPr="00E416C0">
        <w:rPr>
          <w:rFonts w:ascii="Times New Roman" w:hAnsi="Times New Roman"/>
        </w:rPr>
        <w:t>all</w:t>
      </w:r>
      <w:r w:rsidRPr="00E416C0">
        <w:rPr>
          <w:rFonts w:ascii="Times New Roman" w:hAnsi="Times New Roman"/>
          <w:spacing w:val="1"/>
        </w:rPr>
        <w:t xml:space="preserve"> </w:t>
      </w:r>
      <w:r w:rsidRPr="00E416C0">
        <w:rPr>
          <w:rFonts w:ascii="Times New Roman" w:hAnsi="Times New Roman"/>
        </w:rPr>
        <w:t>of</w:t>
      </w:r>
      <w:r w:rsidRPr="00E416C0">
        <w:rPr>
          <w:rFonts w:ascii="Times New Roman" w:hAnsi="Times New Roman"/>
          <w:spacing w:val="-2"/>
        </w:rPr>
        <w:t xml:space="preserve"> </w:t>
      </w:r>
      <w:r w:rsidRPr="00E416C0">
        <w:rPr>
          <w:rFonts w:ascii="Times New Roman" w:hAnsi="Times New Roman"/>
          <w:spacing w:val="1"/>
        </w:rPr>
        <w:t>y</w:t>
      </w:r>
      <w:r w:rsidRPr="00E416C0">
        <w:rPr>
          <w:rFonts w:ascii="Times New Roman" w:hAnsi="Times New Roman"/>
        </w:rPr>
        <w:t>ou</w:t>
      </w:r>
      <w:r w:rsidRPr="00E416C0">
        <w:rPr>
          <w:rFonts w:ascii="Times New Roman" w:hAnsi="Times New Roman"/>
          <w:spacing w:val="-1"/>
        </w:rPr>
        <w:t xml:space="preserve"> </w:t>
      </w:r>
      <w:r w:rsidRPr="00E416C0">
        <w:rPr>
          <w:rFonts w:ascii="Times New Roman" w:hAnsi="Times New Roman"/>
        </w:rPr>
        <w:t>for</w:t>
      </w:r>
      <w:r w:rsidRPr="00E416C0">
        <w:rPr>
          <w:rFonts w:ascii="Times New Roman" w:hAnsi="Times New Roman"/>
          <w:spacing w:val="-1"/>
        </w:rPr>
        <w:t xml:space="preserve"> </w:t>
      </w:r>
      <w:r w:rsidRPr="00E416C0">
        <w:rPr>
          <w:rFonts w:ascii="Times New Roman" w:hAnsi="Times New Roman"/>
        </w:rPr>
        <w:t>contributing</w:t>
      </w:r>
      <w:r w:rsidRPr="00E416C0">
        <w:rPr>
          <w:rFonts w:ascii="Times New Roman" w:hAnsi="Times New Roman"/>
          <w:spacing w:val="-1"/>
        </w:rPr>
        <w:t xml:space="preserve"> </w:t>
      </w:r>
      <w:r w:rsidRPr="00E416C0">
        <w:rPr>
          <w:rFonts w:ascii="Times New Roman" w:hAnsi="Times New Roman"/>
        </w:rPr>
        <w:t>to</w:t>
      </w:r>
      <w:r w:rsidRPr="00E416C0">
        <w:rPr>
          <w:rFonts w:ascii="Times New Roman" w:hAnsi="Times New Roman"/>
          <w:spacing w:val="-1"/>
        </w:rPr>
        <w:t xml:space="preserve"> </w:t>
      </w:r>
      <w:r w:rsidRPr="00E416C0">
        <w:rPr>
          <w:rFonts w:ascii="Times New Roman" w:hAnsi="Times New Roman"/>
        </w:rPr>
        <w:t>this</w:t>
      </w:r>
      <w:r w:rsidRPr="00E416C0">
        <w:rPr>
          <w:rFonts w:ascii="Times New Roman" w:hAnsi="Times New Roman"/>
          <w:spacing w:val="1"/>
        </w:rPr>
        <w:t xml:space="preserve"> </w:t>
      </w:r>
      <w:r w:rsidR="00614ADE">
        <w:rPr>
          <w:rFonts w:ascii="Times New Roman" w:hAnsi="Times New Roman"/>
          <w:spacing w:val="1"/>
        </w:rPr>
        <w:t xml:space="preserve">major </w:t>
      </w:r>
      <w:r w:rsidRPr="00E416C0">
        <w:rPr>
          <w:rFonts w:ascii="Times New Roman" w:hAnsi="Times New Roman"/>
        </w:rPr>
        <w:t>indust</w:t>
      </w:r>
      <w:r w:rsidRPr="00E416C0">
        <w:rPr>
          <w:rFonts w:ascii="Times New Roman" w:hAnsi="Times New Roman"/>
          <w:spacing w:val="-1"/>
        </w:rPr>
        <w:t>r</w:t>
      </w:r>
      <w:r w:rsidRPr="00E416C0">
        <w:rPr>
          <w:rFonts w:ascii="Times New Roman" w:hAnsi="Times New Roman"/>
        </w:rPr>
        <w:t>y</w:t>
      </w:r>
      <w:r w:rsidRPr="00E416C0">
        <w:rPr>
          <w:rFonts w:ascii="Times New Roman" w:hAnsi="Times New Roman"/>
          <w:spacing w:val="2"/>
        </w:rPr>
        <w:t xml:space="preserve"> </w:t>
      </w:r>
      <w:r w:rsidRPr="00E416C0">
        <w:rPr>
          <w:rFonts w:ascii="Times New Roman" w:hAnsi="Times New Roman"/>
        </w:rPr>
        <w:t>e</w:t>
      </w:r>
      <w:r w:rsidRPr="00E416C0"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fort –</w:t>
      </w:r>
      <w:r w:rsidRPr="00E416C0">
        <w:rPr>
          <w:rFonts w:ascii="Times New Roman" w:hAnsi="Times New Roman"/>
        </w:rPr>
        <w:t xml:space="preserve"> </w:t>
      </w:r>
    </w:p>
    <w:p w:rsidR="005A029C" w:rsidRPr="00E416C0" w:rsidRDefault="005A029C" w:rsidP="005A029C">
      <w:pPr>
        <w:spacing w:line="217" w:lineRule="auto"/>
        <w:ind w:left="120" w:right="3250"/>
        <w:rPr>
          <w:rFonts w:ascii="Times New Roman" w:hAnsi="Times New Roman"/>
        </w:rPr>
      </w:pPr>
    </w:p>
    <w:p w:rsidR="00716AF5" w:rsidRPr="00791F65" w:rsidRDefault="00716AF5" w:rsidP="00486216">
      <w:pPr>
        <w:spacing w:before="120"/>
        <w:jc w:val="both"/>
        <w:rPr>
          <w:rFonts w:ascii="Times New Roman" w:hAnsi="Times New Roman"/>
          <w:highlight w:val="yellow"/>
        </w:rPr>
      </w:pPr>
    </w:p>
    <w:p w:rsidR="00FF0C80" w:rsidRPr="008854B0" w:rsidRDefault="00FF0C80" w:rsidP="00FF0C80">
      <w:pPr>
        <w:spacing w:before="480"/>
        <w:jc w:val="both"/>
        <w:rPr>
          <w:rFonts w:ascii="Times New Roman" w:hAnsi="Times New Roman"/>
        </w:rPr>
      </w:pPr>
      <w:r w:rsidRPr="00791F65">
        <w:rPr>
          <w:rFonts w:ascii="Times New Roman" w:hAnsi="Times New Roman"/>
          <w:noProof/>
        </w:rPr>
        <w:drawing>
          <wp:anchor distT="0" distB="0" distL="114300" distR="114300" simplePos="0" relativeHeight="251654656" behindDoc="1" locked="0" layoutInCell="1" allowOverlap="1" wp14:anchorId="0D1B6502" wp14:editId="6EFEA7FC">
            <wp:simplePos x="0" y="0"/>
            <wp:positionH relativeFrom="column">
              <wp:posOffset>9525</wp:posOffset>
            </wp:positionH>
            <wp:positionV relativeFrom="paragraph">
              <wp:posOffset>494665</wp:posOffset>
            </wp:positionV>
            <wp:extent cx="2166620" cy="584835"/>
            <wp:effectExtent l="0" t="0" r="5080" b="5715"/>
            <wp:wrapTopAndBottom/>
            <wp:docPr id="5" name="Picture 2" descr="MD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t="10001" r="2277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F65">
        <w:rPr>
          <w:rFonts w:ascii="Times New Roman" w:hAnsi="Times New Roman"/>
        </w:rPr>
        <w:t>With Best Regards,</w:t>
      </w:r>
    </w:p>
    <w:p w:rsidR="00855F3F" w:rsidRDefault="00BC222D" w:rsidP="00FF0C80">
      <w:pPr>
        <w:spacing w:before="120"/>
        <w:rPr>
          <w:rFonts w:ascii="Times New Roman" w:hAnsi="Times New Roman"/>
        </w:rPr>
      </w:pPr>
      <w:r w:rsidRPr="00E26FA3">
        <w:rPr>
          <w:rFonts w:ascii="Times New Roman" w:hAnsi="Times New Roman"/>
        </w:rPr>
        <w:t>Michael Desselle</w:t>
      </w:r>
      <w:r w:rsidR="00486216" w:rsidRPr="00E26FA3">
        <w:rPr>
          <w:rFonts w:ascii="Times New Roman" w:hAnsi="Times New Roman"/>
        </w:rPr>
        <w:t xml:space="preserve">, </w:t>
      </w:r>
      <w:r w:rsidR="007A247D">
        <w:rPr>
          <w:rFonts w:ascii="Times New Roman" w:hAnsi="Times New Roman"/>
        </w:rPr>
        <w:t>NAESB Chair</w:t>
      </w:r>
      <w:r w:rsidRPr="00E26FA3">
        <w:rPr>
          <w:rFonts w:ascii="Times New Roman" w:hAnsi="Times New Roman"/>
        </w:rPr>
        <w:t xml:space="preserve"> </w:t>
      </w:r>
      <w:r w:rsidR="007A247D" w:rsidRPr="00E26FA3">
        <w:rPr>
          <w:rFonts w:ascii="Times New Roman" w:hAnsi="Times New Roman"/>
        </w:rPr>
        <w:t xml:space="preserve">of </w:t>
      </w:r>
      <w:r w:rsidR="007A247D">
        <w:rPr>
          <w:rFonts w:ascii="Times New Roman" w:hAnsi="Times New Roman"/>
        </w:rPr>
        <w:t>the Wholesale Electric Quadrant</w:t>
      </w:r>
    </w:p>
    <w:p w:rsidR="007A247D" w:rsidRDefault="00E26FA3" w:rsidP="007A247D">
      <w:pPr>
        <w:spacing w:before="1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</w:rPr>
        <w:t>cc:</w:t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  <w:snapToGrid w:val="0"/>
          <w:color w:val="000000"/>
        </w:rPr>
        <w:t>Ms. Rae McQuade, President &amp; COO, North American Energy Standards Board</w:t>
      </w:r>
    </w:p>
    <w:p w:rsidR="007A247D" w:rsidRDefault="007A247D" w:rsidP="007A247D">
      <w:pPr>
        <w:ind w:left="720" w:firstLine="7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Ms. Valerie Crockett, Chairman and CEO, North American Energy Standards Board</w:t>
      </w:r>
    </w:p>
    <w:p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>Mr. William P. Boswell, General Counsel, North American Energy Standards Board</w:t>
      </w:r>
    </w:p>
    <w:p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>Mr. Jonathan Booe, Vice President, North American Energy Standards Board</w:t>
      </w:r>
    </w:p>
    <w:sectPr w:rsidR="007A247D" w:rsidSect="007A247D">
      <w:headerReference w:type="default" r:id="rId10"/>
      <w:headerReference w:type="first" r:id="rId11"/>
      <w:pgSz w:w="12240" w:h="15840" w:code="1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9E" w:rsidRDefault="0057519E">
      <w:r>
        <w:separator/>
      </w:r>
    </w:p>
  </w:endnote>
  <w:endnote w:type="continuationSeparator" w:id="0">
    <w:p w:rsidR="0057519E" w:rsidRDefault="0057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9E" w:rsidRDefault="0057519E">
      <w:r>
        <w:separator/>
      </w:r>
    </w:p>
  </w:footnote>
  <w:footnote w:type="continuationSeparator" w:id="0">
    <w:p w:rsidR="0057519E" w:rsidRDefault="0057519E">
      <w:r>
        <w:continuationSeparator/>
      </w:r>
    </w:p>
  </w:footnote>
  <w:footnote w:id="1">
    <w:p w:rsidR="005A029C" w:rsidRPr="0071438C" w:rsidRDefault="005A029C" w:rsidP="005A029C">
      <w:pPr>
        <w:pStyle w:val="FootnoteText"/>
        <w:rPr>
          <w:rFonts w:ascii="Times New Roman" w:hAnsi="Times New Roman"/>
          <w:sz w:val="16"/>
          <w:szCs w:val="16"/>
        </w:rPr>
      </w:pPr>
      <w:r w:rsidRPr="0071438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1438C">
        <w:rPr>
          <w:rFonts w:ascii="Times New Roman" w:hAnsi="Times New Roman"/>
          <w:sz w:val="16"/>
          <w:szCs w:val="16"/>
        </w:rPr>
        <w:t xml:space="preserve"> FERC Order No. 676-H, </w:t>
      </w:r>
      <w:r w:rsidRPr="0071438C">
        <w:rPr>
          <w:rFonts w:ascii="Times New Roman" w:hAnsi="Times New Roman"/>
          <w:i/>
          <w:sz w:val="16"/>
          <w:szCs w:val="16"/>
        </w:rPr>
        <w:t>Standards for Business Practices and Communication Protocols for Public Utilities</w:t>
      </w:r>
      <w:r w:rsidRPr="0071438C">
        <w:rPr>
          <w:rFonts w:ascii="Times New Roman" w:hAnsi="Times New Roman"/>
          <w:sz w:val="16"/>
          <w:szCs w:val="16"/>
        </w:rPr>
        <w:t xml:space="preserve">, was issued on September 18, 2014 in Docket No. RM05-5-022 and can be accessed at the following link: </w:t>
      </w:r>
      <w:hyperlink r:id="rId1" w:history="1">
        <w:r w:rsidRPr="0071438C">
          <w:rPr>
            <w:rStyle w:val="Hyperlink"/>
            <w:rFonts w:ascii="Times New Roman" w:hAnsi="Times New Roman"/>
            <w:sz w:val="16"/>
            <w:szCs w:val="16"/>
          </w:rPr>
          <w:t>https://www.naesb.org/pdf4/ferc091814_finalrule_weq_v003_rm05-5-022_order676-h.pdf</w:t>
        </w:r>
      </w:hyperlink>
      <w:r w:rsidRPr="0071438C">
        <w:rPr>
          <w:rFonts w:ascii="Times New Roman" w:hAnsi="Times New Roman"/>
          <w:sz w:val="16"/>
          <w:szCs w:val="16"/>
        </w:rPr>
        <w:t xml:space="preserve">. </w:t>
      </w:r>
    </w:p>
  </w:footnote>
  <w:footnote w:id="2">
    <w:p w:rsidR="003E7087" w:rsidRDefault="003E7087" w:rsidP="003E7087">
      <w:pPr>
        <w:pStyle w:val="PlainText"/>
        <w:jc w:val="both"/>
        <w:rPr>
          <w:sz w:val="20"/>
          <w:szCs w:val="20"/>
        </w:rPr>
      </w:pPr>
      <w:r w:rsidRPr="003E7087">
        <w:rPr>
          <w:rStyle w:val="FootnoteReference"/>
          <w:rFonts w:eastAsia="Times New Roman" w:cs="Times New Roman"/>
          <w:sz w:val="16"/>
          <w:szCs w:val="16"/>
          <w:lang w:val="x-none" w:eastAsia="x-none"/>
        </w:rPr>
        <w:footnoteRef/>
      </w:r>
      <w:r w:rsidRPr="003E7087">
        <w:rPr>
          <w:rStyle w:val="FootnoteReference"/>
          <w:rFonts w:eastAsia="Times New Roman" w:cs="Times New Roman"/>
          <w:sz w:val="16"/>
          <w:szCs w:val="16"/>
          <w:lang w:val="x-none" w:eastAsia="x-none"/>
        </w:rPr>
        <w:t xml:space="preserve"> </w:t>
      </w:r>
      <w:r w:rsidRPr="003E7087">
        <w:rPr>
          <w:i/>
          <w:sz w:val="16"/>
          <w:szCs w:val="16"/>
        </w:rPr>
        <w:t>Standards for Business Practices and Communication Protocols for Public Utilities</w:t>
      </w:r>
      <w:r w:rsidRPr="003E7087">
        <w:rPr>
          <w:sz w:val="16"/>
          <w:szCs w:val="16"/>
        </w:rPr>
        <w:t>, Notice of Proposed Rulemaking, 78 FR 45,096 (July 26, 2013), FERC Stats. &amp; Regs. ¶ 32,698 (2013) (WEQ Version 003 NOPR)</w:t>
      </w:r>
      <w:r>
        <w:rPr>
          <w:sz w:val="16"/>
          <w:szCs w:val="16"/>
        </w:rPr>
        <w:t>.</w:t>
      </w:r>
    </w:p>
    <w:p w:rsidR="003E7087" w:rsidRPr="003E7087" w:rsidRDefault="003E708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D5DCBC0" wp14:editId="325E4FE7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5008DD" w:rsidRPr="004A30D2" w:rsidRDefault="005008DD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  <w:p w:rsidR="005008DD" w:rsidRDefault="005008DD" w:rsidP="005008DD">
    <w:pPr>
      <w:pStyle w:val="Header"/>
      <w:tabs>
        <w:tab w:val="left" w:pos="7317"/>
      </w:tabs>
      <w:spacing w:before="12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September </w:t>
    </w:r>
    <w:r w:rsidR="001F77C6">
      <w:rPr>
        <w:rFonts w:ascii="Times New Roman" w:hAnsi="Times New Roman"/>
      </w:rPr>
      <w:t>30</w:t>
    </w:r>
    <w:r>
      <w:rPr>
        <w:rFonts w:ascii="Times New Roman" w:hAnsi="Times New Roman"/>
      </w:rPr>
      <w:t>, 2014</w:t>
    </w:r>
  </w:p>
  <w:p w:rsidR="005008DD" w:rsidRDefault="005008DD" w:rsidP="005008DD">
    <w:pPr>
      <w:pStyle w:val="Header"/>
      <w:tabs>
        <w:tab w:val="left" w:pos="7317"/>
      </w:tabs>
      <w:spacing w:after="360"/>
      <w:jc w:val="right"/>
    </w:pPr>
    <w:r>
      <w:rPr>
        <w:rFonts w:ascii="Times New Roman" w:hAnsi="Times New Roman"/>
      </w:rPr>
      <w:t>Page 2</w:t>
    </w:r>
  </w:p>
  <w:p w:rsidR="005008DD" w:rsidRDefault="005008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A252E3" wp14:editId="1752A755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:rsidR="00E8339D" w:rsidRDefault="00E8339D">
    <w:pPr>
      <w:pStyle w:val="Header"/>
      <w:jc w:val="center"/>
      <w:outlineLvl w:val="0"/>
      <w:rPr>
        <w:b/>
        <w:smallCaps/>
        <w:sz w:val="28"/>
      </w:rPr>
    </w:pPr>
  </w:p>
  <w:p w:rsidR="00E8339D" w:rsidRDefault="00E8339D">
    <w:pPr>
      <w:pStyle w:val="Header"/>
      <w:jc w:val="center"/>
      <w:outlineLvl w:val="0"/>
      <w:rPr>
        <w:b/>
        <w:smallCaps/>
        <w:sz w:val="28"/>
      </w:rPr>
    </w:pPr>
  </w:p>
  <w:p w:rsidR="00E8339D" w:rsidRDefault="00E8339D">
    <w:pPr>
      <w:pStyle w:val="Header"/>
      <w:jc w:val="center"/>
      <w:outlineLvl w:val="0"/>
      <w:rPr>
        <w:b/>
        <w:smallCaps/>
        <w:sz w:val="28"/>
      </w:rPr>
    </w:pPr>
  </w:p>
  <w:p w:rsidR="00E8339D" w:rsidRDefault="00E8339D">
    <w:pPr>
      <w:pStyle w:val="Header"/>
      <w:jc w:val="center"/>
      <w:outlineLvl w:val="0"/>
      <w:rPr>
        <w:b/>
        <w:smallCaps/>
        <w:sz w:val="28"/>
      </w:rPr>
    </w:pPr>
  </w:p>
  <w:p w:rsidR="00E8339D" w:rsidRPr="004A30D2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E8339D" w:rsidRPr="004A30D2" w:rsidRDefault="00E8339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E8339D" w:rsidRDefault="00E8339D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7"/>
  </w:num>
  <w:num w:numId="5">
    <w:abstractNumId w:val="22"/>
  </w:num>
  <w:num w:numId="6">
    <w:abstractNumId w:val="15"/>
  </w:num>
  <w:num w:numId="7">
    <w:abstractNumId w:val="0"/>
  </w:num>
  <w:num w:numId="8">
    <w:abstractNumId w:val="17"/>
  </w:num>
  <w:num w:numId="9">
    <w:abstractNumId w:val="19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  <w:num w:numId="15">
    <w:abstractNumId w:val="14"/>
  </w:num>
  <w:num w:numId="16">
    <w:abstractNumId w:val="13"/>
  </w:num>
  <w:num w:numId="17">
    <w:abstractNumId w:val="18"/>
  </w:num>
  <w:num w:numId="18">
    <w:abstractNumId w:val="5"/>
  </w:num>
  <w:num w:numId="19">
    <w:abstractNumId w:val="10"/>
  </w:num>
  <w:num w:numId="20">
    <w:abstractNumId w:val="2"/>
  </w:num>
  <w:num w:numId="21">
    <w:abstractNumId w:val="11"/>
  </w:num>
  <w:num w:numId="22">
    <w:abstractNumId w:val="8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4D"/>
    <w:rsid w:val="000377CF"/>
    <w:rsid w:val="00080CDE"/>
    <w:rsid w:val="000A5FDC"/>
    <w:rsid w:val="00112E85"/>
    <w:rsid w:val="001261EA"/>
    <w:rsid w:val="00156EA6"/>
    <w:rsid w:val="00175B40"/>
    <w:rsid w:val="00197859"/>
    <w:rsid w:val="001F77C6"/>
    <w:rsid w:val="002157DB"/>
    <w:rsid w:val="00221B70"/>
    <w:rsid w:val="00227668"/>
    <w:rsid w:val="00227CAD"/>
    <w:rsid w:val="00242516"/>
    <w:rsid w:val="002573B8"/>
    <w:rsid w:val="0025746C"/>
    <w:rsid w:val="0027652D"/>
    <w:rsid w:val="002A568B"/>
    <w:rsid w:val="002B1B11"/>
    <w:rsid w:val="002E411C"/>
    <w:rsid w:val="002F41EC"/>
    <w:rsid w:val="00332F23"/>
    <w:rsid w:val="003344B9"/>
    <w:rsid w:val="003415D1"/>
    <w:rsid w:val="003D0B1E"/>
    <w:rsid w:val="003E7087"/>
    <w:rsid w:val="003F25CD"/>
    <w:rsid w:val="003F3164"/>
    <w:rsid w:val="003F3AAE"/>
    <w:rsid w:val="003F55EA"/>
    <w:rsid w:val="00400CF2"/>
    <w:rsid w:val="00405AA6"/>
    <w:rsid w:val="004108CA"/>
    <w:rsid w:val="00452554"/>
    <w:rsid w:val="0045269E"/>
    <w:rsid w:val="00457811"/>
    <w:rsid w:val="0048137E"/>
    <w:rsid w:val="00486216"/>
    <w:rsid w:val="0048764D"/>
    <w:rsid w:val="004958E2"/>
    <w:rsid w:val="00497C97"/>
    <w:rsid w:val="004A30D2"/>
    <w:rsid w:val="004A6A8F"/>
    <w:rsid w:val="004B5AAC"/>
    <w:rsid w:val="004C7478"/>
    <w:rsid w:val="004D48CE"/>
    <w:rsid w:val="004D662D"/>
    <w:rsid w:val="004D75DE"/>
    <w:rsid w:val="004F2C88"/>
    <w:rsid w:val="005008DD"/>
    <w:rsid w:val="005465B4"/>
    <w:rsid w:val="00547A87"/>
    <w:rsid w:val="00554019"/>
    <w:rsid w:val="0057519E"/>
    <w:rsid w:val="005A029C"/>
    <w:rsid w:val="005B6AA2"/>
    <w:rsid w:val="005D5082"/>
    <w:rsid w:val="005F3F31"/>
    <w:rsid w:val="005F74CE"/>
    <w:rsid w:val="006069CD"/>
    <w:rsid w:val="00614ADE"/>
    <w:rsid w:val="00631A9E"/>
    <w:rsid w:val="00633986"/>
    <w:rsid w:val="00654022"/>
    <w:rsid w:val="00684C3B"/>
    <w:rsid w:val="00693973"/>
    <w:rsid w:val="00716AF5"/>
    <w:rsid w:val="00717203"/>
    <w:rsid w:val="00774915"/>
    <w:rsid w:val="00790CD5"/>
    <w:rsid w:val="007917EE"/>
    <w:rsid w:val="00791F65"/>
    <w:rsid w:val="00792A09"/>
    <w:rsid w:val="00796EF1"/>
    <w:rsid w:val="007A247D"/>
    <w:rsid w:val="007B1C4D"/>
    <w:rsid w:val="007D16EB"/>
    <w:rsid w:val="007E3041"/>
    <w:rsid w:val="007F09BA"/>
    <w:rsid w:val="0081734C"/>
    <w:rsid w:val="00817EB4"/>
    <w:rsid w:val="00826B86"/>
    <w:rsid w:val="00827FF4"/>
    <w:rsid w:val="00843319"/>
    <w:rsid w:val="00853FF1"/>
    <w:rsid w:val="00855F3F"/>
    <w:rsid w:val="00880248"/>
    <w:rsid w:val="008854B0"/>
    <w:rsid w:val="00885CAD"/>
    <w:rsid w:val="008B6B8F"/>
    <w:rsid w:val="008C3A89"/>
    <w:rsid w:val="008E0BF4"/>
    <w:rsid w:val="00902241"/>
    <w:rsid w:val="0092049C"/>
    <w:rsid w:val="00930C22"/>
    <w:rsid w:val="00956F81"/>
    <w:rsid w:val="009805E8"/>
    <w:rsid w:val="00985BE1"/>
    <w:rsid w:val="00A14400"/>
    <w:rsid w:val="00A20C06"/>
    <w:rsid w:val="00A44386"/>
    <w:rsid w:val="00A7545F"/>
    <w:rsid w:val="00A7655C"/>
    <w:rsid w:val="00A96E07"/>
    <w:rsid w:val="00B150B7"/>
    <w:rsid w:val="00B62AD6"/>
    <w:rsid w:val="00B65CC8"/>
    <w:rsid w:val="00B7536B"/>
    <w:rsid w:val="00B81EDF"/>
    <w:rsid w:val="00BC222D"/>
    <w:rsid w:val="00BC7245"/>
    <w:rsid w:val="00BD49EB"/>
    <w:rsid w:val="00BE10D4"/>
    <w:rsid w:val="00C339EB"/>
    <w:rsid w:val="00C36294"/>
    <w:rsid w:val="00C54B01"/>
    <w:rsid w:val="00CC41DC"/>
    <w:rsid w:val="00CD1DC9"/>
    <w:rsid w:val="00CF7DC7"/>
    <w:rsid w:val="00D1011F"/>
    <w:rsid w:val="00D118AA"/>
    <w:rsid w:val="00D1296D"/>
    <w:rsid w:val="00D132E8"/>
    <w:rsid w:val="00D31B5D"/>
    <w:rsid w:val="00D76AC4"/>
    <w:rsid w:val="00DC4C73"/>
    <w:rsid w:val="00DE508C"/>
    <w:rsid w:val="00E257C7"/>
    <w:rsid w:val="00E26FA3"/>
    <w:rsid w:val="00E61867"/>
    <w:rsid w:val="00E67F82"/>
    <w:rsid w:val="00E71B57"/>
    <w:rsid w:val="00E80DA4"/>
    <w:rsid w:val="00E8231A"/>
    <w:rsid w:val="00E8339D"/>
    <w:rsid w:val="00E85888"/>
    <w:rsid w:val="00EC2668"/>
    <w:rsid w:val="00ED65FC"/>
    <w:rsid w:val="00F00A3F"/>
    <w:rsid w:val="00F42BB2"/>
    <w:rsid w:val="00F43777"/>
    <w:rsid w:val="00F47B4E"/>
    <w:rsid w:val="00F51A81"/>
    <w:rsid w:val="00F558B2"/>
    <w:rsid w:val="00F7093E"/>
    <w:rsid w:val="00F8633F"/>
    <w:rsid w:val="00FB2844"/>
    <w:rsid w:val="00FC2C61"/>
    <w:rsid w:val="00FE21BE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esb.org/pdf4/ferc091814_finalrule_weq_v003_rm05-5-022_order676-h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238A-4318-47D9-A39A-26A04834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Letterhead.dot</Template>
  <TotalTime>1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5197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NAESB</cp:lastModifiedBy>
  <cp:revision>4</cp:revision>
  <cp:lastPrinted>2013-08-02T20:53:00Z</cp:lastPrinted>
  <dcterms:created xsi:type="dcterms:W3CDTF">2014-09-29T21:56:00Z</dcterms:created>
  <dcterms:modified xsi:type="dcterms:W3CDTF">2014-09-30T14:25:00Z</dcterms:modified>
</cp:coreProperties>
</file>